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contextualSpacing/>
        <w:jc w:val="center"/>
        <w:rPr>
          <w:rFonts w:hint="eastAsia" w:ascii="方正小标宋简体" w:hAnsi="Arial" w:eastAsia="方正小标宋简体" w:cs="Arial"/>
          <w:b w:val="0"/>
          <w:bCs/>
          <w:color w:val="333333"/>
          <w:kern w:val="0"/>
          <w:sz w:val="44"/>
          <w:szCs w:val="44"/>
        </w:rPr>
      </w:pPr>
      <w:bookmarkStart w:id="0" w:name="_GoBack"/>
      <w:bookmarkEnd w:id="0"/>
      <w:r>
        <w:rPr>
          <w:rFonts w:hint="eastAsia" w:ascii="方正小标宋简体" w:hAnsi="宋体" w:eastAsia="方正小标宋简体" w:cs="Arial"/>
          <w:b w:val="0"/>
          <w:bCs/>
          <w:color w:val="000000"/>
          <w:kern w:val="0"/>
          <w:sz w:val="44"/>
          <w:szCs w:val="44"/>
        </w:rPr>
        <w:t>韶关市浈江区财政性资金基本建设投资</w:t>
      </w:r>
    </w:p>
    <w:p>
      <w:pPr>
        <w:widowControl/>
        <w:shd w:val="clear" w:color="auto" w:fill="FFFFFF"/>
        <w:spacing w:line="560" w:lineRule="exact"/>
        <w:contextualSpacing/>
        <w:jc w:val="center"/>
        <w:rPr>
          <w:rFonts w:hint="eastAsia" w:ascii="方正小标宋简体" w:hAnsi="Arial" w:eastAsia="方正小标宋简体" w:cs="Arial"/>
          <w:b w:val="0"/>
          <w:bCs/>
          <w:color w:val="333333"/>
          <w:kern w:val="0"/>
          <w:sz w:val="44"/>
          <w:szCs w:val="44"/>
        </w:rPr>
      </w:pPr>
      <w:r>
        <w:rPr>
          <w:rFonts w:hint="eastAsia" w:ascii="方正小标宋简体" w:hAnsi="宋体" w:eastAsia="方正小标宋简体" w:cs="Arial"/>
          <w:b w:val="0"/>
          <w:bCs/>
          <w:color w:val="000000"/>
          <w:kern w:val="0"/>
          <w:sz w:val="44"/>
          <w:szCs w:val="44"/>
        </w:rPr>
        <w:t>评审管理暂行办法（试行）</w:t>
      </w:r>
    </w:p>
    <w:p>
      <w:pPr>
        <w:widowControl/>
        <w:shd w:val="clear" w:color="auto" w:fill="FFFFFF"/>
        <w:spacing w:line="560" w:lineRule="exact"/>
        <w:contextualSpacing/>
        <w:rPr>
          <w:rFonts w:ascii="Arial" w:hAnsi="Arial" w:cs="Arial"/>
          <w:color w:val="333333"/>
          <w:kern w:val="0"/>
          <w:sz w:val="15"/>
          <w:szCs w:val="15"/>
        </w:rPr>
      </w:pPr>
      <w:r>
        <w:rPr>
          <w:rFonts w:hint="eastAsia" w:ascii="宋体" w:hAnsi="宋体" w:cs="Arial"/>
          <w:color w:val="333333"/>
          <w:kern w:val="0"/>
          <w:sz w:val="32"/>
          <w:szCs w:val="32"/>
        </w:rPr>
        <w:t> </w:t>
      </w:r>
    </w:p>
    <w:p>
      <w:pPr>
        <w:widowControl/>
        <w:shd w:val="clear" w:color="auto" w:fill="FFFFFF"/>
        <w:spacing w:line="560" w:lineRule="exact"/>
        <w:contextualSpacing/>
        <w:jc w:val="center"/>
        <w:rPr>
          <w:rFonts w:ascii="Arial" w:hAnsi="Arial" w:cs="Arial"/>
          <w:color w:val="333333"/>
          <w:kern w:val="0"/>
          <w:sz w:val="32"/>
          <w:szCs w:val="32"/>
        </w:rPr>
      </w:pPr>
      <w:r>
        <w:rPr>
          <w:rFonts w:hint="eastAsia" w:ascii="黑体" w:hAnsi="Arial" w:eastAsia="黑体" w:cs="Arial"/>
          <w:bCs/>
          <w:color w:val="000000"/>
          <w:kern w:val="0"/>
          <w:sz w:val="32"/>
          <w:szCs w:val="32"/>
        </w:rPr>
        <w:t>第一章  总则</w:t>
      </w:r>
    </w:p>
    <w:p>
      <w:pPr>
        <w:widowControl/>
        <w:shd w:val="clear" w:color="auto" w:fill="FFFFFF"/>
        <w:spacing w:line="560" w:lineRule="exact"/>
        <w:contextualSpacing/>
        <w:rPr>
          <w:rFonts w:ascii="Arial" w:hAnsi="Arial" w:cs="Arial"/>
          <w:color w:val="333333"/>
          <w:kern w:val="0"/>
          <w:sz w:val="32"/>
          <w:szCs w:val="32"/>
        </w:rPr>
      </w:pPr>
      <w:r>
        <w:rPr>
          <w:rFonts w:hint="eastAsia" w:ascii="仿宋_GB2312" w:hAnsi="Arial" w:eastAsia="仿宋_GB2312" w:cs="Arial"/>
          <w:color w:val="333333"/>
          <w:kern w:val="0"/>
          <w:sz w:val="32"/>
          <w:szCs w:val="32"/>
        </w:rPr>
        <w:t> </w:t>
      </w:r>
    </w:p>
    <w:p>
      <w:pPr>
        <w:widowControl/>
        <w:shd w:val="clear" w:color="auto" w:fill="FFFFFF"/>
        <w:spacing w:line="560" w:lineRule="exact"/>
        <w:ind w:firstLine="642"/>
        <w:contextualSpacing/>
        <w:rPr>
          <w:rFonts w:hint="eastAsia" w:ascii="Arial" w:hAnsi="Arial" w:cs="Arial"/>
          <w:color w:val="333333"/>
          <w:kern w:val="0"/>
          <w:sz w:val="32"/>
          <w:szCs w:val="32"/>
        </w:rPr>
      </w:pPr>
      <w:r>
        <w:rPr>
          <w:rFonts w:hint="eastAsia" w:ascii="仿宋_GB2312" w:hAnsi="Arial" w:eastAsia="仿宋_GB2312" w:cs="Arial"/>
          <w:b/>
          <w:bCs/>
          <w:color w:val="000000"/>
          <w:kern w:val="0"/>
          <w:sz w:val="32"/>
          <w:szCs w:val="32"/>
        </w:rPr>
        <w:t xml:space="preserve">第一条  </w:t>
      </w:r>
      <w:r>
        <w:rPr>
          <w:rFonts w:hint="eastAsia" w:ascii="仿宋_GB2312" w:hAnsi="Arial" w:eastAsia="仿宋_GB2312" w:cs="Arial"/>
          <w:color w:val="000000"/>
          <w:kern w:val="0"/>
          <w:sz w:val="32"/>
          <w:szCs w:val="32"/>
        </w:rPr>
        <w:t>为进一步规范浈江区财政性资金基本建设投资评审工作，切实加强财政支出管理，提高投资效益，根据新修订的《中华人民共和国预算法》《财政投资评审管理规定》(财建〔2009〕648 号)、《广东省建设工程造价管理规定》(省政府令第205号)、《韶关市市级政府投资项目管理办法》《韶关市政府投资项目建设成本控制办法》（韶府办〔2017〕2号）、《韶关市市级财政性资金基本建设投资评审管理暂行办法（试行）》（韶财建〔2017〕5号）等有关法律法规的规定，结合本区实际，制定本暂行办法。</w:t>
      </w:r>
    </w:p>
    <w:p>
      <w:pPr>
        <w:widowControl/>
        <w:shd w:val="clear" w:color="auto" w:fill="FFFFFF"/>
        <w:spacing w:line="560" w:lineRule="exact"/>
        <w:ind w:firstLine="642"/>
        <w:contextualSpacing/>
        <w:rPr>
          <w:rFonts w:ascii="Arial" w:hAnsi="Arial" w:cs="Arial"/>
          <w:color w:val="333333"/>
          <w:kern w:val="0"/>
          <w:sz w:val="32"/>
          <w:szCs w:val="32"/>
        </w:rPr>
      </w:pPr>
      <w:r>
        <w:rPr>
          <w:rFonts w:hint="eastAsia" w:ascii="仿宋_GB2312" w:hAnsi="Arial" w:eastAsia="仿宋_GB2312" w:cs="Arial"/>
          <w:b/>
          <w:bCs/>
          <w:color w:val="000000"/>
          <w:kern w:val="0"/>
          <w:sz w:val="32"/>
          <w:szCs w:val="32"/>
        </w:rPr>
        <w:t>第二条</w:t>
      </w:r>
      <w:r>
        <w:rPr>
          <w:rFonts w:hint="eastAsia" w:ascii="仿宋_GB2312" w:hAnsi="Arial" w:eastAsia="仿宋_GB2312" w:cs="Arial"/>
          <w:color w:val="000000"/>
          <w:kern w:val="0"/>
          <w:sz w:val="32"/>
          <w:szCs w:val="32"/>
        </w:rPr>
        <w:t xml:space="preserve">  本办法适用于我区财政性资金投资的基本建设项目的投资评审活动。涉及国家秘密以及法律、法规、政策另有规定的，从其规定。</w:t>
      </w:r>
    </w:p>
    <w:p>
      <w:pPr>
        <w:widowControl/>
        <w:shd w:val="clear" w:color="auto" w:fill="FFFFFF"/>
        <w:spacing w:line="560" w:lineRule="exact"/>
        <w:ind w:firstLine="640"/>
        <w:contextualSpacing/>
        <w:rPr>
          <w:rFonts w:hint="eastAsia" w:ascii="Arial" w:hAnsi="Arial" w:cs="Arial"/>
          <w:color w:val="333333"/>
          <w:kern w:val="0"/>
          <w:sz w:val="32"/>
          <w:szCs w:val="32"/>
        </w:rPr>
      </w:pPr>
      <w:r>
        <w:rPr>
          <w:rFonts w:hint="eastAsia" w:ascii="仿宋_GB2312" w:hAnsi="Arial" w:eastAsia="仿宋_GB2312" w:cs="Arial"/>
          <w:b/>
          <w:bCs/>
          <w:color w:val="000000"/>
          <w:kern w:val="0"/>
          <w:sz w:val="32"/>
          <w:szCs w:val="32"/>
        </w:rPr>
        <w:t>第三条</w:t>
      </w:r>
      <w:r>
        <w:rPr>
          <w:rFonts w:hint="eastAsia" w:ascii="仿宋_GB2312" w:hAnsi="Arial" w:eastAsia="仿宋_GB2312" w:cs="Arial"/>
          <w:color w:val="000000"/>
          <w:kern w:val="0"/>
          <w:sz w:val="32"/>
          <w:szCs w:val="32"/>
        </w:rPr>
        <w:t xml:space="preserve">  本办法所称的财政性资金基本建设投资评审（以下简称财政投资评审）行为，是指区政府投资项目评审中心对财政性资金投资的基本建设项目工程预算、结算进行政策性、技术性、经济性的审查行为。</w:t>
      </w:r>
    </w:p>
    <w:p>
      <w:pPr>
        <w:widowControl/>
        <w:shd w:val="clear" w:color="auto" w:fill="FFFFFF"/>
        <w:spacing w:line="560" w:lineRule="exact"/>
        <w:ind w:firstLine="640"/>
        <w:contextualSpacing/>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 xml:space="preserve">第四条  </w:t>
      </w:r>
      <w:r>
        <w:rPr>
          <w:rFonts w:hint="eastAsia" w:ascii="仿宋_GB2312" w:hAnsi="仿宋_GB2312" w:eastAsia="仿宋_GB2312" w:cs="仿宋_GB2312"/>
          <w:sz w:val="32"/>
          <w:szCs w:val="32"/>
        </w:rPr>
        <w:t>韶关市浈江区政府投资项目评审中心</w:t>
      </w:r>
      <w:r>
        <w:rPr>
          <w:rFonts w:hint="eastAsia" w:ascii="仿宋_GB2312" w:hAnsi="仿宋_GB2312" w:eastAsia="仿宋_GB2312" w:cs="仿宋_GB2312"/>
          <w:color w:val="000000"/>
          <w:kern w:val="0"/>
          <w:sz w:val="32"/>
          <w:szCs w:val="32"/>
        </w:rPr>
        <w:t>(以下简称“评审中心” )负责具体组织和实施财政投资评审工作,评审中心应保持评审的独立性和公正性，任何单位和个人不得以任何理由和形式干涉评审工作。</w:t>
      </w:r>
    </w:p>
    <w:p>
      <w:pPr>
        <w:widowControl/>
        <w:shd w:val="clear" w:color="auto" w:fill="FFFFFF"/>
        <w:spacing w:line="560" w:lineRule="exact"/>
        <w:ind w:firstLine="640"/>
        <w:contextualSpacing/>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第五条</w:t>
      </w:r>
      <w:r>
        <w:rPr>
          <w:rFonts w:hint="eastAsia" w:ascii="仿宋_GB2312" w:hAnsi="仿宋_GB2312" w:eastAsia="仿宋_GB2312" w:cs="仿宋_GB2312"/>
          <w:color w:val="000000"/>
          <w:kern w:val="0"/>
          <w:sz w:val="32"/>
          <w:szCs w:val="32"/>
        </w:rPr>
        <w:t xml:space="preserve">  财政投资评审的范围： </w:t>
      </w:r>
    </w:p>
    <w:p>
      <w:pPr>
        <w:widowControl/>
        <w:shd w:val="clear" w:color="auto" w:fill="FFFFFF"/>
        <w:spacing w:line="560" w:lineRule="exact"/>
        <w:ind w:firstLine="640"/>
        <w:contextualSpacing/>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（一）公共财政预算资金、政府性基金、财政非税收入资金安排（不含财政贴息）的建设、维护、修缮等项目；</w:t>
      </w:r>
    </w:p>
    <w:p>
      <w:pPr>
        <w:widowControl/>
        <w:shd w:val="clear" w:color="auto" w:fill="FFFFFF"/>
        <w:spacing w:line="560" w:lineRule="exact"/>
        <w:ind w:firstLine="640"/>
        <w:contextualSpacing/>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（二）使用财政性资金占项目总投资的比例超过50%的建设、维护、修缮等项目(包括注入资本金、投资补助、还本补助等方式)；</w:t>
      </w:r>
    </w:p>
    <w:p>
      <w:pPr>
        <w:widowControl/>
        <w:shd w:val="clear" w:color="auto" w:fill="FFFFFF"/>
        <w:spacing w:line="560" w:lineRule="exact"/>
        <w:ind w:firstLine="640"/>
        <w:contextualSpacing/>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（三）采用政府和社会资本合作（PPP）模式的非经营性项目或使用财政补贴比例超过50%的准经营性项目；</w:t>
      </w:r>
    </w:p>
    <w:p>
      <w:pPr>
        <w:widowControl/>
        <w:shd w:val="clear" w:color="auto" w:fill="FFFFFF"/>
        <w:spacing w:line="560" w:lineRule="exact"/>
        <w:ind w:firstLine="640"/>
        <w:contextualSpacing/>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（四）使用财政性资金比例未达到本条第二、三款规定，但政府另有批示或财政视情况需纳入财政投资评审的项目。</w:t>
      </w:r>
    </w:p>
    <w:p>
      <w:pPr>
        <w:widowControl/>
        <w:shd w:val="clear" w:color="auto" w:fill="FFFFFF"/>
        <w:spacing w:line="560" w:lineRule="exact"/>
        <w:ind w:firstLine="640"/>
        <w:contextualSpacing/>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spacing w:val="-11"/>
          <w:kern w:val="0"/>
          <w:sz w:val="32"/>
          <w:szCs w:val="32"/>
        </w:rPr>
        <w:t>（五）其他纳入财政管理资金安排的建设、维护、修缮等项</w:t>
      </w:r>
      <w:r>
        <w:rPr>
          <w:rFonts w:hint="eastAsia" w:ascii="仿宋_GB2312" w:hAnsi="仿宋_GB2312" w:eastAsia="仿宋_GB2312" w:cs="仿宋_GB2312"/>
          <w:color w:val="000000"/>
          <w:kern w:val="0"/>
          <w:sz w:val="32"/>
          <w:szCs w:val="32"/>
        </w:rPr>
        <w:t>目；</w:t>
      </w:r>
    </w:p>
    <w:p>
      <w:pPr>
        <w:widowControl/>
        <w:shd w:val="clear" w:color="auto" w:fill="FFFFFF"/>
        <w:spacing w:line="560" w:lineRule="exact"/>
        <w:ind w:firstLine="640"/>
        <w:contextualSpacing/>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（六）中央、省、市与我区两方或三方共同出资的水利项目、公路和水运项目、轨道交通和民用航空项目，财政投资评审职责分工有规定的从其规定；</w:t>
      </w:r>
    </w:p>
    <w:p>
      <w:pPr>
        <w:widowControl/>
        <w:shd w:val="clear" w:color="auto" w:fill="FFFFFF"/>
        <w:spacing w:line="560" w:lineRule="exact"/>
        <w:ind w:firstLine="640"/>
        <w:contextualSpacing/>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kern w:val="0"/>
          <w:sz w:val="32"/>
          <w:szCs w:val="32"/>
        </w:rPr>
        <w:t xml:space="preserve">第六条  </w:t>
      </w:r>
      <w:r>
        <w:rPr>
          <w:rFonts w:hint="eastAsia" w:ascii="仿宋_GB2312" w:hAnsi="仿宋_GB2312" w:eastAsia="仿宋_GB2312" w:cs="仿宋_GB2312"/>
          <w:color w:val="000000"/>
          <w:kern w:val="0"/>
          <w:sz w:val="32"/>
          <w:szCs w:val="32"/>
        </w:rPr>
        <w:t>财政投资评审的内容：</w:t>
      </w:r>
    </w:p>
    <w:p>
      <w:pPr>
        <w:widowControl/>
        <w:shd w:val="clear" w:color="auto" w:fill="FFFFFF"/>
        <w:spacing w:line="560" w:lineRule="exact"/>
        <w:ind w:firstLine="640"/>
        <w:contextualSpacing/>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（一）项目预算及结算的真实性、准确性、完整性和时效性；</w:t>
      </w:r>
    </w:p>
    <w:p>
      <w:pPr>
        <w:widowControl/>
        <w:shd w:val="clear" w:color="auto" w:fill="FFFFFF"/>
        <w:spacing w:line="560" w:lineRule="exact"/>
        <w:ind w:firstLine="640"/>
        <w:contextualSpacing/>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spacing w:val="-11"/>
          <w:kern w:val="0"/>
          <w:sz w:val="32"/>
          <w:szCs w:val="32"/>
        </w:rPr>
        <w:t>（二）项目基本建设程序合规性和基本建设管理制度执行情</w:t>
      </w:r>
      <w:r>
        <w:rPr>
          <w:rFonts w:hint="eastAsia" w:ascii="仿宋_GB2312" w:hAnsi="仿宋_GB2312" w:eastAsia="仿宋_GB2312" w:cs="仿宋_GB2312"/>
          <w:color w:val="000000"/>
          <w:kern w:val="0"/>
          <w:sz w:val="32"/>
          <w:szCs w:val="32"/>
        </w:rPr>
        <w:t>况；</w:t>
      </w:r>
    </w:p>
    <w:p>
      <w:pPr>
        <w:widowControl/>
        <w:shd w:val="clear" w:color="auto" w:fill="FFFFFF"/>
        <w:spacing w:line="560" w:lineRule="exact"/>
        <w:ind w:firstLine="640"/>
        <w:contextualSpacing/>
        <w:rPr>
          <w:rFonts w:hint="eastAsia" w:ascii="Arial" w:hAnsi="Arial" w:cs="Arial"/>
          <w:color w:val="333333"/>
          <w:kern w:val="0"/>
          <w:sz w:val="32"/>
          <w:szCs w:val="32"/>
        </w:rPr>
      </w:pPr>
      <w:r>
        <w:rPr>
          <w:rFonts w:hint="eastAsia" w:ascii="仿宋_GB2312" w:hAnsi="Arial" w:eastAsia="仿宋_GB2312" w:cs="Arial"/>
          <w:color w:val="000000"/>
          <w:kern w:val="0"/>
          <w:sz w:val="32"/>
          <w:szCs w:val="32"/>
        </w:rPr>
        <w:t>（三）项目招标方式、招标程序、招标文件、各项合同的合规性；</w:t>
      </w:r>
    </w:p>
    <w:p>
      <w:pPr>
        <w:widowControl/>
        <w:shd w:val="clear" w:color="auto" w:fill="FFFFFF"/>
        <w:spacing w:line="560" w:lineRule="exact"/>
        <w:ind w:firstLine="640"/>
        <w:contextualSpacing/>
        <w:rPr>
          <w:rFonts w:hint="eastAsia" w:ascii="Arial" w:hAnsi="Arial" w:cs="Arial"/>
          <w:color w:val="333333"/>
          <w:kern w:val="0"/>
          <w:sz w:val="32"/>
          <w:szCs w:val="32"/>
        </w:rPr>
      </w:pPr>
      <w:r>
        <w:rPr>
          <w:rFonts w:hint="eastAsia" w:ascii="仿宋_GB2312" w:hAnsi="Arial" w:eastAsia="仿宋_GB2312" w:cs="Arial"/>
          <w:color w:val="000000"/>
          <w:kern w:val="0"/>
          <w:sz w:val="32"/>
          <w:szCs w:val="32"/>
        </w:rPr>
        <w:t>（四）项目政府采购情况；</w:t>
      </w:r>
    </w:p>
    <w:p>
      <w:pPr>
        <w:widowControl/>
        <w:shd w:val="clear" w:color="auto" w:fill="FFFFFF"/>
        <w:spacing w:line="560" w:lineRule="exact"/>
        <w:ind w:firstLine="640"/>
        <w:contextualSpacing/>
        <w:rPr>
          <w:rFonts w:hint="eastAsia" w:ascii="Arial" w:hAnsi="Arial" w:cs="Arial"/>
          <w:color w:val="333333"/>
          <w:kern w:val="0"/>
          <w:sz w:val="32"/>
          <w:szCs w:val="32"/>
        </w:rPr>
      </w:pPr>
      <w:r>
        <w:rPr>
          <w:rFonts w:hint="eastAsia" w:ascii="仿宋_GB2312" w:hAnsi="Arial" w:eastAsia="仿宋_GB2312" w:cs="Arial"/>
          <w:color w:val="000000"/>
          <w:kern w:val="0"/>
          <w:sz w:val="32"/>
          <w:szCs w:val="32"/>
        </w:rPr>
        <w:t>（五）项目实施过程中发生的重大设计变更及索赔情况；</w:t>
      </w:r>
    </w:p>
    <w:p>
      <w:pPr>
        <w:widowControl/>
        <w:shd w:val="clear" w:color="auto" w:fill="FFFFFF"/>
        <w:spacing w:line="560" w:lineRule="exact"/>
        <w:ind w:firstLine="640"/>
        <w:contextualSpacing/>
        <w:rPr>
          <w:rFonts w:hint="eastAsia" w:ascii="Arial" w:hAnsi="Arial" w:cs="Arial"/>
          <w:color w:val="333333"/>
          <w:kern w:val="0"/>
          <w:sz w:val="32"/>
          <w:szCs w:val="32"/>
        </w:rPr>
      </w:pPr>
      <w:r>
        <w:rPr>
          <w:rFonts w:hint="eastAsia" w:ascii="仿宋_GB2312" w:hAnsi="Arial" w:eastAsia="仿宋_GB2312" w:cs="Arial"/>
          <w:color w:val="000000"/>
          <w:kern w:val="0"/>
          <w:sz w:val="32"/>
          <w:szCs w:val="32"/>
        </w:rPr>
        <w:t>（六）其他需要评审的内容。</w:t>
      </w:r>
    </w:p>
    <w:p>
      <w:pPr>
        <w:widowControl/>
        <w:shd w:val="clear" w:color="auto" w:fill="FFFFFF"/>
        <w:spacing w:line="560" w:lineRule="exact"/>
        <w:ind w:firstLine="640"/>
        <w:contextualSpacing/>
        <w:rPr>
          <w:rFonts w:hint="eastAsia" w:ascii="Arial" w:hAnsi="Arial" w:cs="Arial"/>
          <w:color w:val="333333"/>
          <w:kern w:val="0"/>
          <w:sz w:val="32"/>
          <w:szCs w:val="32"/>
        </w:rPr>
      </w:pPr>
      <w:r>
        <w:rPr>
          <w:rFonts w:hint="eastAsia" w:ascii="仿宋_GB2312" w:hAnsi="Arial" w:eastAsia="仿宋_GB2312" w:cs="Arial"/>
          <w:b/>
          <w:bCs/>
          <w:color w:val="000000"/>
          <w:kern w:val="0"/>
          <w:sz w:val="32"/>
          <w:szCs w:val="32"/>
        </w:rPr>
        <w:t>第七条</w:t>
      </w:r>
      <w:r>
        <w:rPr>
          <w:rFonts w:hint="eastAsia" w:ascii="仿宋_GB2312" w:hAnsi="Arial" w:eastAsia="仿宋_GB2312" w:cs="Arial"/>
          <w:color w:val="000000"/>
          <w:kern w:val="0"/>
          <w:sz w:val="32"/>
          <w:szCs w:val="32"/>
        </w:rPr>
        <w:t xml:space="preserve">  凡属于财政投资评审范围的项目，须接受评审中心的评审。经审定的工程预算（含变更工程预算）、结算作为政府采购预算、项目招标最高投标限价（或合同价）、核拨项目建设进度款、办理工程价款结算的依据。</w:t>
      </w:r>
    </w:p>
    <w:p>
      <w:pPr>
        <w:widowControl/>
        <w:shd w:val="clear" w:color="auto" w:fill="FFFFFF"/>
        <w:spacing w:line="560" w:lineRule="exact"/>
        <w:ind w:firstLine="640"/>
        <w:contextualSpacing/>
        <w:rPr>
          <w:rFonts w:hint="eastAsia" w:ascii="Arial" w:hAnsi="Arial" w:cs="Arial"/>
          <w:color w:val="333333"/>
          <w:kern w:val="0"/>
          <w:sz w:val="32"/>
          <w:szCs w:val="32"/>
        </w:rPr>
      </w:pPr>
      <w:r>
        <w:rPr>
          <w:rFonts w:hint="eastAsia" w:ascii="仿宋_GB2312" w:hAnsi="Arial" w:eastAsia="仿宋_GB2312" w:cs="Arial"/>
          <w:b/>
          <w:bCs/>
          <w:color w:val="000000"/>
          <w:kern w:val="0"/>
          <w:sz w:val="32"/>
          <w:szCs w:val="32"/>
        </w:rPr>
        <w:t xml:space="preserve">第八条  </w:t>
      </w:r>
      <w:r>
        <w:rPr>
          <w:rFonts w:hint="eastAsia" w:ascii="仿宋_GB2312" w:hAnsi="Arial" w:eastAsia="仿宋_GB2312" w:cs="Arial"/>
          <w:color w:val="000000"/>
          <w:kern w:val="0"/>
          <w:sz w:val="32"/>
          <w:szCs w:val="32"/>
        </w:rPr>
        <w:t>财政投资评审的时限：</w:t>
      </w:r>
    </w:p>
    <w:p>
      <w:pPr>
        <w:widowControl/>
        <w:shd w:val="clear" w:color="auto" w:fill="FFFFFF"/>
        <w:spacing w:line="560" w:lineRule="exact"/>
        <w:ind w:firstLine="640"/>
        <w:contextualSpacing/>
        <w:rPr>
          <w:rFonts w:hint="eastAsia" w:ascii="Arial" w:hAnsi="Arial" w:cs="Arial"/>
          <w:color w:val="333333"/>
          <w:kern w:val="0"/>
          <w:sz w:val="32"/>
          <w:szCs w:val="32"/>
        </w:rPr>
      </w:pPr>
      <w:r>
        <w:rPr>
          <w:rFonts w:hint="eastAsia" w:ascii="仿宋_GB2312" w:hAnsi="Arial" w:eastAsia="仿宋_GB2312" w:cs="Arial"/>
          <w:color w:val="000000"/>
          <w:kern w:val="0"/>
          <w:sz w:val="32"/>
          <w:szCs w:val="32"/>
        </w:rPr>
        <w:t>一般情况下，评审中心对建设单位送审的完整齐全的工程预算、结算文件及其相关资料，自送达签收之日起以下时限内（会审和复核时间另计）完成评审工作：</w:t>
      </w:r>
    </w:p>
    <w:p>
      <w:pPr>
        <w:widowControl/>
        <w:shd w:val="clear" w:color="auto" w:fill="FFFFFF"/>
        <w:spacing w:line="560" w:lineRule="exact"/>
        <w:ind w:firstLine="640"/>
        <w:contextualSpacing/>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000000"/>
          <w:kern w:val="0"/>
          <w:sz w:val="32"/>
          <w:szCs w:val="32"/>
        </w:rPr>
        <w:t>（一）工程预算（最高投标限价）：</w:t>
      </w:r>
    </w:p>
    <w:p>
      <w:pPr>
        <w:widowControl/>
        <w:shd w:val="clear" w:color="auto" w:fill="FFFFFF"/>
        <w:spacing w:line="560" w:lineRule="exact"/>
        <w:ind w:firstLine="640"/>
        <w:contextualSpacing/>
        <w:rPr>
          <w:rFonts w:hint="eastAsia" w:ascii="Arial" w:hAnsi="Arial" w:cs="Arial"/>
          <w:color w:val="333333"/>
          <w:kern w:val="0"/>
          <w:sz w:val="32"/>
          <w:szCs w:val="32"/>
        </w:rPr>
      </w:pPr>
      <w:r>
        <w:rPr>
          <w:rFonts w:hint="eastAsia" w:ascii="仿宋_GB2312" w:hAnsi="Arial" w:eastAsia="仿宋_GB2312" w:cs="Arial"/>
          <w:color w:val="000000"/>
          <w:kern w:val="0"/>
          <w:sz w:val="32"/>
          <w:szCs w:val="32"/>
        </w:rPr>
        <w:t>投资100万元以内的：10个工作日；</w:t>
      </w:r>
    </w:p>
    <w:p>
      <w:pPr>
        <w:widowControl/>
        <w:shd w:val="clear" w:color="auto" w:fill="FFFFFF"/>
        <w:spacing w:line="560" w:lineRule="exact"/>
        <w:ind w:firstLine="640"/>
        <w:contextualSpacing/>
        <w:rPr>
          <w:rFonts w:hint="eastAsia" w:ascii="Arial" w:hAnsi="Arial" w:cs="Arial"/>
          <w:color w:val="333333"/>
          <w:kern w:val="0"/>
          <w:sz w:val="32"/>
          <w:szCs w:val="32"/>
        </w:rPr>
      </w:pPr>
      <w:r>
        <w:rPr>
          <w:rFonts w:hint="eastAsia" w:ascii="仿宋_GB2312" w:hAnsi="Arial" w:eastAsia="仿宋_GB2312" w:cs="Arial"/>
          <w:color w:val="000000"/>
          <w:kern w:val="0"/>
          <w:sz w:val="32"/>
          <w:szCs w:val="32"/>
        </w:rPr>
        <w:t>投资100～500万元的：15个工作日；</w:t>
      </w:r>
    </w:p>
    <w:p>
      <w:pPr>
        <w:widowControl/>
        <w:shd w:val="clear" w:color="auto" w:fill="FFFFFF"/>
        <w:spacing w:line="560" w:lineRule="exact"/>
        <w:ind w:firstLine="640"/>
        <w:contextualSpacing/>
        <w:rPr>
          <w:rFonts w:hint="eastAsia" w:ascii="Arial" w:hAnsi="Arial" w:cs="Arial"/>
          <w:color w:val="333333"/>
          <w:kern w:val="0"/>
          <w:sz w:val="32"/>
          <w:szCs w:val="32"/>
        </w:rPr>
      </w:pPr>
      <w:r>
        <w:rPr>
          <w:rFonts w:hint="eastAsia" w:ascii="仿宋_GB2312" w:hAnsi="Arial" w:eastAsia="仿宋_GB2312" w:cs="Arial"/>
          <w:color w:val="000000"/>
          <w:kern w:val="0"/>
          <w:sz w:val="32"/>
          <w:szCs w:val="32"/>
        </w:rPr>
        <w:t>投资500～1000万元的：20个工作日；</w:t>
      </w:r>
    </w:p>
    <w:p>
      <w:pPr>
        <w:widowControl/>
        <w:shd w:val="clear" w:color="auto" w:fill="FFFFFF"/>
        <w:spacing w:line="560" w:lineRule="exact"/>
        <w:ind w:firstLine="640"/>
        <w:contextualSpacing/>
        <w:rPr>
          <w:rFonts w:hint="eastAsia" w:ascii="Arial" w:hAnsi="Arial" w:cs="Arial"/>
          <w:color w:val="333333"/>
          <w:kern w:val="0"/>
          <w:sz w:val="32"/>
          <w:szCs w:val="32"/>
        </w:rPr>
      </w:pPr>
      <w:r>
        <w:rPr>
          <w:rFonts w:hint="eastAsia" w:ascii="仿宋_GB2312" w:hAnsi="Arial" w:eastAsia="仿宋_GB2312" w:cs="Arial"/>
          <w:color w:val="000000"/>
          <w:kern w:val="0"/>
          <w:sz w:val="32"/>
          <w:szCs w:val="32"/>
        </w:rPr>
        <w:t>投资1000万元以上的： 25个工作日；</w:t>
      </w:r>
    </w:p>
    <w:p>
      <w:pPr>
        <w:widowControl/>
        <w:shd w:val="clear" w:color="auto" w:fill="FFFFFF"/>
        <w:spacing w:line="560" w:lineRule="exact"/>
        <w:ind w:firstLine="640"/>
        <w:contextualSpacing/>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000000"/>
          <w:kern w:val="0"/>
          <w:sz w:val="32"/>
          <w:szCs w:val="32"/>
        </w:rPr>
        <w:t>（二）工程结算：</w:t>
      </w:r>
    </w:p>
    <w:p>
      <w:pPr>
        <w:widowControl/>
        <w:shd w:val="clear" w:color="auto" w:fill="FFFFFF"/>
        <w:spacing w:line="560" w:lineRule="exact"/>
        <w:ind w:firstLine="640"/>
        <w:contextualSpacing/>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投资100万元以内的：15个工作日；</w:t>
      </w:r>
    </w:p>
    <w:p>
      <w:pPr>
        <w:widowControl/>
        <w:shd w:val="clear" w:color="auto" w:fill="FFFFFF"/>
        <w:spacing w:line="560" w:lineRule="exact"/>
        <w:ind w:firstLine="640"/>
        <w:contextualSpacing/>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投资100～500万元的：25个工作日；</w:t>
      </w:r>
    </w:p>
    <w:p>
      <w:pPr>
        <w:widowControl/>
        <w:shd w:val="clear" w:color="auto" w:fill="FFFFFF"/>
        <w:spacing w:line="560" w:lineRule="exact"/>
        <w:ind w:firstLine="640"/>
        <w:contextualSpacing/>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投资 500～1000万元的：30个工作日;</w:t>
      </w:r>
    </w:p>
    <w:p>
      <w:pPr>
        <w:widowControl/>
        <w:shd w:val="clear" w:color="auto" w:fill="FFFFFF"/>
        <w:spacing w:line="560" w:lineRule="exact"/>
        <w:ind w:firstLine="640"/>
        <w:contextualSpacing/>
        <w:rPr>
          <w:rFonts w:ascii="Arial" w:hAnsi="Arial" w:cs="Arial"/>
          <w:color w:val="333333"/>
          <w:kern w:val="0"/>
          <w:sz w:val="32"/>
          <w:szCs w:val="32"/>
        </w:rPr>
      </w:pPr>
      <w:r>
        <w:rPr>
          <w:rFonts w:hint="eastAsia" w:ascii="仿宋_GB2312" w:hAnsi="Arial" w:eastAsia="仿宋_GB2312" w:cs="Arial"/>
          <w:color w:val="000000"/>
          <w:kern w:val="0"/>
          <w:sz w:val="32"/>
          <w:szCs w:val="32"/>
        </w:rPr>
        <w:t>投资1000万元以上的：40个工作日；</w:t>
      </w:r>
    </w:p>
    <w:p>
      <w:pPr>
        <w:widowControl/>
        <w:shd w:val="clear" w:color="auto" w:fill="FFFFFF"/>
        <w:spacing w:line="560" w:lineRule="exact"/>
        <w:ind w:firstLine="640"/>
        <w:contextualSpacing/>
        <w:rPr>
          <w:rFonts w:hint="eastAsia" w:ascii="Arial" w:hAnsi="Arial" w:cs="Arial"/>
          <w:color w:val="333333"/>
          <w:kern w:val="0"/>
          <w:sz w:val="32"/>
          <w:szCs w:val="32"/>
        </w:rPr>
      </w:pPr>
      <w:r>
        <w:rPr>
          <w:rFonts w:hint="eastAsia" w:ascii="仿宋_GB2312" w:hAnsi="Arial" w:eastAsia="仿宋_GB2312" w:cs="Arial"/>
          <w:color w:val="000000"/>
          <w:spacing w:val="-17"/>
          <w:kern w:val="0"/>
          <w:sz w:val="32"/>
          <w:szCs w:val="32"/>
        </w:rPr>
        <w:t>（三）特大型项目的预、结算可根据实际情况适当延长评审时</w:t>
      </w:r>
      <w:r>
        <w:rPr>
          <w:rFonts w:hint="eastAsia" w:ascii="仿宋_GB2312" w:hAnsi="Arial" w:eastAsia="仿宋_GB2312" w:cs="Arial"/>
          <w:color w:val="000000"/>
          <w:kern w:val="0"/>
          <w:sz w:val="32"/>
          <w:szCs w:val="32"/>
        </w:rPr>
        <w:t>间。</w:t>
      </w:r>
    </w:p>
    <w:p>
      <w:pPr>
        <w:widowControl/>
        <w:shd w:val="clear" w:color="auto" w:fill="FFFFFF"/>
        <w:spacing w:line="560" w:lineRule="exact"/>
        <w:ind w:firstLine="640"/>
        <w:contextualSpacing/>
        <w:rPr>
          <w:rFonts w:hint="eastAsia" w:ascii="Arial" w:hAnsi="Arial" w:cs="Arial"/>
          <w:color w:val="333333"/>
          <w:kern w:val="0"/>
          <w:sz w:val="15"/>
          <w:szCs w:val="15"/>
        </w:rPr>
      </w:pPr>
    </w:p>
    <w:p>
      <w:pPr>
        <w:widowControl/>
        <w:shd w:val="clear" w:color="auto" w:fill="FFFFFF"/>
        <w:spacing w:line="560" w:lineRule="exact"/>
        <w:contextualSpacing/>
        <w:jc w:val="center"/>
        <w:rPr>
          <w:rFonts w:ascii="Arial" w:hAnsi="Arial" w:cs="Arial"/>
          <w:color w:val="333333"/>
          <w:kern w:val="0"/>
          <w:sz w:val="15"/>
          <w:szCs w:val="15"/>
        </w:rPr>
      </w:pPr>
      <w:r>
        <w:rPr>
          <w:rFonts w:hint="eastAsia" w:ascii="黑体" w:hAnsi="Arial" w:eastAsia="黑体" w:cs="Arial"/>
          <w:bCs/>
          <w:color w:val="000000"/>
          <w:kern w:val="0"/>
          <w:sz w:val="32"/>
          <w:szCs w:val="32"/>
        </w:rPr>
        <w:t>第二章</w:t>
      </w:r>
      <w:r>
        <w:rPr>
          <w:rFonts w:hint="eastAsia" w:ascii="黑体" w:hAnsi="Arial" w:eastAsia="黑体" w:cs="Arial"/>
          <w:bCs/>
          <w:color w:val="000000"/>
          <w:kern w:val="0"/>
          <w:sz w:val="32"/>
        </w:rPr>
        <w:t xml:space="preserve">  </w:t>
      </w:r>
      <w:r>
        <w:rPr>
          <w:rFonts w:hint="eastAsia" w:ascii="黑体" w:hAnsi="Arial" w:eastAsia="黑体" w:cs="Arial"/>
          <w:bCs/>
          <w:color w:val="000000"/>
          <w:kern w:val="0"/>
          <w:sz w:val="32"/>
          <w:szCs w:val="32"/>
        </w:rPr>
        <w:t>评审工作职责</w:t>
      </w:r>
    </w:p>
    <w:p>
      <w:pPr>
        <w:widowControl/>
        <w:shd w:val="clear" w:color="auto" w:fill="FFFFFF"/>
        <w:spacing w:line="560" w:lineRule="exact"/>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 </w:t>
      </w:r>
    </w:p>
    <w:p>
      <w:pPr>
        <w:widowControl/>
        <w:shd w:val="clear" w:color="auto" w:fill="FFFFFF"/>
        <w:spacing w:line="560" w:lineRule="exact"/>
        <w:ind w:firstLine="643" w:firstLineChars="200"/>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 xml:space="preserve">第九条  </w:t>
      </w:r>
      <w:r>
        <w:rPr>
          <w:rFonts w:hint="eastAsia" w:ascii="仿宋_GB2312" w:hAnsi="Arial" w:eastAsia="仿宋_GB2312" w:cs="Arial"/>
          <w:color w:val="000000"/>
          <w:kern w:val="0"/>
          <w:sz w:val="32"/>
          <w:szCs w:val="32"/>
        </w:rPr>
        <w:t>评审中心履行以下职责：</w:t>
      </w:r>
    </w:p>
    <w:p>
      <w:pPr>
        <w:widowControl/>
        <w:shd w:val="clear" w:color="auto" w:fill="FFFFFF"/>
        <w:spacing w:line="560" w:lineRule="exact"/>
        <w:ind w:firstLine="640" w:firstLineChars="20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（一）财政投资评审应遵循客观、公正、规范、节约的原则，切实保护国家利益、政府利益和维护参加单位的合法权益；</w:t>
      </w:r>
    </w:p>
    <w:p>
      <w:pPr>
        <w:widowControl/>
        <w:shd w:val="clear" w:color="auto" w:fill="FFFFFF"/>
        <w:spacing w:line="560" w:lineRule="exact"/>
        <w:ind w:firstLine="640" w:firstLineChars="20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（二）依法开展评审工作，在规定时限内出具评审报告，并</w:t>
      </w:r>
      <w:r>
        <w:rPr>
          <w:rFonts w:hint="eastAsia" w:ascii="仿宋_GB2312" w:hAnsi="Arial" w:eastAsia="仿宋_GB2312" w:cs="Arial"/>
          <w:color w:val="000000"/>
          <w:spacing w:val="-6"/>
          <w:kern w:val="0"/>
          <w:sz w:val="32"/>
          <w:szCs w:val="32"/>
        </w:rPr>
        <w:t>对评审报告（评审意见）的真实性、准确性、完整性、合法性负</w:t>
      </w:r>
      <w:r>
        <w:rPr>
          <w:rFonts w:hint="eastAsia" w:ascii="仿宋_GB2312" w:hAnsi="Arial" w:eastAsia="仿宋_GB2312" w:cs="Arial"/>
          <w:color w:val="000000"/>
          <w:kern w:val="0"/>
          <w:sz w:val="32"/>
          <w:szCs w:val="32"/>
        </w:rPr>
        <w:t>责；</w:t>
      </w:r>
    </w:p>
    <w:p>
      <w:pPr>
        <w:widowControl/>
        <w:shd w:val="clear" w:color="auto" w:fill="FFFFFF"/>
        <w:spacing w:line="560" w:lineRule="exact"/>
        <w:ind w:firstLine="616" w:firstLineChars="200"/>
        <w:contextualSpacing/>
        <w:rPr>
          <w:rFonts w:ascii="Arial" w:hAnsi="Arial" w:cs="Arial"/>
          <w:color w:val="333333"/>
          <w:kern w:val="0"/>
          <w:sz w:val="15"/>
          <w:szCs w:val="15"/>
        </w:rPr>
      </w:pPr>
      <w:r>
        <w:rPr>
          <w:rFonts w:hint="eastAsia" w:ascii="仿宋_GB2312" w:hAnsi="Arial" w:eastAsia="仿宋_GB2312" w:cs="Arial"/>
          <w:color w:val="000000"/>
          <w:spacing w:val="-6"/>
          <w:kern w:val="0"/>
          <w:sz w:val="32"/>
          <w:szCs w:val="32"/>
        </w:rPr>
        <w:t>（三）及时向行政主管部门报告评审工作中遇到的重大问</w:t>
      </w:r>
      <w:r>
        <w:rPr>
          <w:rFonts w:hint="eastAsia" w:ascii="仿宋_GB2312" w:hAnsi="Arial" w:eastAsia="仿宋_GB2312" w:cs="Arial"/>
          <w:color w:val="000000"/>
          <w:kern w:val="0"/>
          <w:sz w:val="32"/>
          <w:szCs w:val="32"/>
        </w:rPr>
        <w:t>题；</w:t>
      </w:r>
      <w:r>
        <w:rPr>
          <w:rFonts w:hint="eastAsia" w:ascii="仿宋_GB2312" w:hAnsi="Arial" w:eastAsia="仿宋_GB2312" w:cs="Arial"/>
          <w:color w:val="000000"/>
          <w:kern w:val="0"/>
          <w:sz w:val="32"/>
        </w:rPr>
        <w:t> </w:t>
      </w:r>
      <w:r>
        <w:rPr>
          <w:rFonts w:hint="eastAsia" w:ascii="仿宋_GB2312" w:hAnsi="Arial" w:eastAsia="仿宋_GB2312" w:cs="Arial"/>
          <w:color w:val="000000"/>
          <w:kern w:val="0"/>
          <w:sz w:val="32"/>
          <w:szCs w:val="32"/>
        </w:rPr>
        <w:t> </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（四）管理评审档案；</w:t>
      </w:r>
      <w:r>
        <w:rPr>
          <w:rFonts w:hint="eastAsia" w:ascii="仿宋_GB2312" w:hAnsi="Arial" w:eastAsia="仿宋_GB2312" w:cs="Arial"/>
          <w:color w:val="000000"/>
          <w:kern w:val="0"/>
          <w:sz w:val="32"/>
        </w:rPr>
        <w:t> </w:t>
      </w:r>
      <w:r>
        <w:rPr>
          <w:rFonts w:hint="eastAsia" w:ascii="仿宋_GB2312" w:hAnsi="Arial" w:eastAsia="仿宋_GB2312" w:cs="Arial"/>
          <w:color w:val="000000"/>
          <w:kern w:val="0"/>
          <w:sz w:val="32"/>
          <w:szCs w:val="32"/>
        </w:rPr>
        <w:t> </w:t>
      </w:r>
    </w:p>
    <w:p>
      <w:pPr>
        <w:widowControl/>
        <w:shd w:val="clear" w:color="auto" w:fill="FFFFFF"/>
        <w:spacing w:line="560" w:lineRule="exact"/>
        <w:ind w:firstLine="642"/>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第十条</w:t>
      </w:r>
      <w:r>
        <w:rPr>
          <w:rFonts w:hint="eastAsia" w:ascii="仿宋_GB2312" w:hAnsi="Arial" w:eastAsia="仿宋_GB2312" w:cs="Arial"/>
          <w:color w:val="000000"/>
          <w:kern w:val="0"/>
          <w:sz w:val="32"/>
          <w:szCs w:val="32"/>
        </w:rPr>
        <w:t xml:space="preserve">  项目主管单位职责：</w:t>
      </w:r>
    </w:p>
    <w:p>
      <w:pPr>
        <w:widowControl/>
        <w:shd w:val="clear" w:color="auto" w:fill="FFFFFF"/>
        <w:spacing w:line="560" w:lineRule="exact"/>
        <w:ind w:firstLine="642"/>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项目主管单位是指建设单位的主管单位或项目资金使用的管理单位、区政府投融资主体。项目主管单位应高度重视财政性资金投资项目工程预、结算审核工作，加强对相关工作的组织、实施和监管，履行以下职责：</w:t>
      </w:r>
    </w:p>
    <w:p>
      <w:pPr>
        <w:widowControl/>
        <w:shd w:val="clear" w:color="auto" w:fill="FFFFFF"/>
        <w:spacing w:line="560" w:lineRule="exact"/>
        <w:ind w:firstLine="642"/>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（一）对按规定报送财政投资评审项目的送审条件进行初步审核；</w:t>
      </w:r>
    </w:p>
    <w:p>
      <w:pPr>
        <w:widowControl/>
        <w:shd w:val="clear" w:color="auto" w:fill="FFFFFF"/>
        <w:spacing w:line="560" w:lineRule="exact"/>
        <w:ind w:firstLine="642"/>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（二）及时向评审中心报送评审，并通知建设单位配合财政投资评审工作；</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（三）根据评审中心的评审报告，督促建设单位执行或整改；</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（四）涉及调整概算的，应当按照国家、省、市的有关规定</w:t>
      </w:r>
      <w:r>
        <w:rPr>
          <w:rFonts w:hint="eastAsia" w:ascii="仿宋_GB2312" w:hAnsi="Arial" w:eastAsia="仿宋_GB2312" w:cs="Arial"/>
          <w:color w:val="000000"/>
          <w:spacing w:val="-6"/>
          <w:kern w:val="0"/>
          <w:sz w:val="32"/>
          <w:szCs w:val="32"/>
        </w:rPr>
        <w:t>报原概算审批部门审核，在调整概算批复前不得办理工程预、结</w:t>
      </w:r>
      <w:r>
        <w:rPr>
          <w:rFonts w:hint="eastAsia" w:ascii="仿宋_GB2312" w:hAnsi="Arial" w:eastAsia="仿宋_GB2312" w:cs="Arial"/>
          <w:color w:val="000000"/>
          <w:kern w:val="0"/>
          <w:sz w:val="32"/>
          <w:szCs w:val="32"/>
        </w:rPr>
        <w:t>算。</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b/>
          <w:bCs/>
          <w:color w:val="000000"/>
          <w:kern w:val="0"/>
          <w:sz w:val="32"/>
          <w:szCs w:val="32"/>
        </w:rPr>
        <w:t>第十一条</w:t>
      </w:r>
      <w:r>
        <w:rPr>
          <w:rFonts w:hint="eastAsia" w:ascii="仿宋_GB2312" w:hAnsi="Arial" w:eastAsia="仿宋_GB2312" w:cs="Arial"/>
          <w:color w:val="000000"/>
          <w:kern w:val="0"/>
          <w:sz w:val="32"/>
          <w:szCs w:val="32"/>
        </w:rPr>
        <w:t xml:space="preserve">  建设单位职责：</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建设单位（含建设管理单位）是指使用财政性资金建设和管理项目的行政事业单位、国有企业。建设单位应加强对相关工作的组织、实施和监管，落实建设主体责任，确保项目建设依法依规、节约高效，履行以下职责：</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（一）合理编制招标文件，明确约定参建各方须配合评审中心及时提供评审所需相关资料，最终结算价款以评审中心确定的评审结果为准；</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（二）及时按要求报送评审项目，在规定时间内向评审中心提供或补充评审所需资料及相关证明，对所提供的相关资料的真实性、合法性、完整性负责；</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（四）对工程造价因设计变更或技术方案调整超过规定标准的，应根据有关规定报批；</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五）配合开展询证工作。建设单位送审项目时即须做好配合询证的人员和资料的准备工作，在收到询证通知后应在规定时间内组织相关人员配合评审中心开展询证工作，针对审核提出的问题明确发表客观、真实的意见并附相关佐证资料，不得拒绝、隐匿或提供虚假资料。确有特殊原因不能及时完成询证工作的，应书面提出延期询证申请，延期最长不得超过30日；</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（六）及时反馈评审意见。建设单位在收到评审中心出具的项目评审意见5日内，提交经建设单位以及主管部门盖章确认的书面意见，逾期没有提出书面意见的，则视为同意；</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（七）对评审中心出具的评审报告（评审意见），建设单位应认真执行，对自身存在的问题及时进行整改；</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八）做好退审整改工作。评审过程中如发现缺少资料且建设单位不予配合提供、项目建设程序存在重大违规问题以及其他影响评审工作无法完成的情形，评审中心出具项目退审意见书并终止评审工作，建设单位按相关要求进行核查整改；</w:t>
      </w:r>
      <w:r>
        <w:rPr>
          <w:rFonts w:hint="eastAsia" w:ascii="仿宋_GB2312" w:hAnsi="Arial" w:eastAsia="仿宋_GB2312" w:cs="Arial"/>
          <w:b/>
          <w:bCs/>
          <w:color w:val="000000"/>
          <w:kern w:val="0"/>
          <w:sz w:val="32"/>
          <w:szCs w:val="32"/>
        </w:rPr>
        <w:t>  </w:t>
      </w:r>
      <w:r>
        <w:rPr>
          <w:rFonts w:hint="eastAsia" w:ascii="仿宋_GB2312" w:hAnsi="Arial" w:eastAsia="仿宋_GB2312" w:cs="Arial"/>
          <w:color w:val="000000"/>
          <w:kern w:val="0"/>
          <w:sz w:val="32"/>
          <w:szCs w:val="32"/>
        </w:rPr>
        <w:t> </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（九）其他按规定需要履行的职责。</w:t>
      </w:r>
    </w:p>
    <w:p>
      <w:pPr>
        <w:widowControl/>
        <w:shd w:val="clear" w:color="auto" w:fill="FFFFFF"/>
        <w:spacing w:line="560" w:lineRule="exact"/>
        <w:ind w:firstLine="640"/>
        <w:contextualSpacing/>
        <w:jc w:val="center"/>
        <w:rPr>
          <w:rFonts w:hint="eastAsia" w:ascii="Arial" w:hAnsi="Arial" w:cs="Arial"/>
          <w:color w:val="333333"/>
          <w:kern w:val="0"/>
          <w:sz w:val="15"/>
          <w:szCs w:val="15"/>
        </w:rPr>
      </w:pPr>
    </w:p>
    <w:p>
      <w:pPr>
        <w:widowControl/>
        <w:shd w:val="clear" w:color="auto" w:fill="FFFFFF"/>
        <w:spacing w:line="560" w:lineRule="exact"/>
        <w:contextualSpacing/>
        <w:jc w:val="center"/>
        <w:rPr>
          <w:rFonts w:ascii="Arial" w:hAnsi="Arial" w:cs="Arial"/>
          <w:color w:val="333333"/>
          <w:kern w:val="0"/>
          <w:sz w:val="15"/>
          <w:szCs w:val="15"/>
        </w:rPr>
      </w:pPr>
      <w:r>
        <w:rPr>
          <w:rFonts w:hint="eastAsia" w:ascii="黑体" w:hAnsi="Arial" w:eastAsia="黑体" w:cs="Arial"/>
          <w:bCs/>
          <w:color w:val="000000"/>
          <w:kern w:val="0"/>
          <w:sz w:val="32"/>
          <w:szCs w:val="32"/>
        </w:rPr>
        <w:t>第三章</w:t>
      </w:r>
      <w:r>
        <w:rPr>
          <w:rFonts w:hint="eastAsia" w:ascii="黑体" w:hAnsi="Arial" w:eastAsia="黑体" w:cs="Arial"/>
          <w:bCs/>
          <w:color w:val="000000"/>
          <w:kern w:val="0"/>
          <w:sz w:val="32"/>
        </w:rPr>
        <w:t xml:space="preserve">  </w:t>
      </w:r>
      <w:r>
        <w:rPr>
          <w:rFonts w:hint="eastAsia" w:ascii="黑体" w:hAnsi="Arial" w:eastAsia="黑体" w:cs="Arial"/>
          <w:bCs/>
          <w:color w:val="000000"/>
          <w:kern w:val="0"/>
          <w:sz w:val="32"/>
          <w:szCs w:val="32"/>
        </w:rPr>
        <w:t>工程预算评审程序</w:t>
      </w:r>
    </w:p>
    <w:p>
      <w:pPr>
        <w:widowControl/>
        <w:shd w:val="clear" w:color="auto" w:fill="FFFFFF"/>
        <w:spacing w:line="560" w:lineRule="exact"/>
        <w:contextualSpacing/>
        <w:rPr>
          <w:rFonts w:ascii="Arial" w:hAnsi="Arial" w:cs="Arial"/>
          <w:color w:val="333333"/>
          <w:kern w:val="0"/>
          <w:sz w:val="15"/>
          <w:szCs w:val="15"/>
        </w:rPr>
      </w:pPr>
      <w:r>
        <w:rPr>
          <w:rFonts w:hint="eastAsia" w:ascii="仿宋_GB2312" w:hAnsi="Arial" w:eastAsia="仿宋_GB2312" w:cs="Arial"/>
          <w:b/>
          <w:bCs/>
          <w:color w:val="000000"/>
          <w:kern w:val="0"/>
          <w:sz w:val="32"/>
          <w:szCs w:val="32"/>
        </w:rPr>
        <w:t> </w:t>
      </w:r>
    </w:p>
    <w:p>
      <w:pPr>
        <w:widowControl/>
        <w:shd w:val="clear" w:color="auto" w:fill="FFFFFF"/>
        <w:spacing w:line="560" w:lineRule="exact"/>
        <w:ind w:firstLine="642"/>
        <w:contextualSpacing/>
        <w:rPr>
          <w:rFonts w:ascii="Arial" w:hAnsi="Arial" w:cs="Arial"/>
          <w:color w:val="333333"/>
          <w:kern w:val="0"/>
          <w:sz w:val="15"/>
          <w:szCs w:val="15"/>
        </w:rPr>
      </w:pPr>
      <w:r>
        <w:rPr>
          <w:rFonts w:hint="eastAsia" w:ascii="仿宋_GB2312" w:hAnsi="Arial" w:eastAsia="仿宋_GB2312" w:cs="Arial"/>
          <w:b/>
          <w:bCs/>
          <w:color w:val="000000"/>
          <w:kern w:val="0"/>
          <w:sz w:val="32"/>
          <w:szCs w:val="32"/>
        </w:rPr>
        <w:t>第十二条</w:t>
      </w:r>
      <w:r>
        <w:rPr>
          <w:rFonts w:hint="eastAsia" w:ascii="仿宋_GB2312" w:hAnsi="Arial" w:eastAsia="仿宋_GB2312" w:cs="Arial"/>
          <w:color w:val="000000"/>
          <w:kern w:val="0"/>
          <w:sz w:val="32"/>
          <w:szCs w:val="32"/>
        </w:rPr>
        <w:t xml:space="preserve">  工程预算送审时间、程序：</w:t>
      </w:r>
    </w:p>
    <w:p>
      <w:pPr>
        <w:widowControl/>
        <w:shd w:val="clear" w:color="auto" w:fill="FFFFFF"/>
        <w:spacing w:line="560" w:lineRule="exact"/>
        <w:ind w:firstLine="642"/>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（一）工程预算送审时间及程序：施工图设计通过审查后，建设单位委托具备相应资质的工程造价咨询企业编制工程预算，核对无异议并签章，预算资料按要求准备充分完整后报评审中心评审。</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（二）变更预算送审时间及程序：确需变更增加预算的，</w:t>
      </w:r>
      <w:r>
        <w:rPr>
          <w:rFonts w:hint="eastAsia" w:ascii="仿宋_GB2312" w:hAnsi="Arial" w:eastAsia="仿宋_GB2312" w:cs="Arial"/>
          <w:color w:val="000000"/>
          <w:kern w:val="0"/>
          <w:sz w:val="32"/>
          <w:szCs w:val="32"/>
          <w:shd w:val="clear" w:color="auto" w:fill="FFFFFF"/>
        </w:rPr>
        <w:t>建设单位将</w:t>
      </w:r>
      <w:r>
        <w:rPr>
          <w:rFonts w:hint="eastAsia" w:ascii="仿宋_GB2312" w:hAnsi="Arial" w:eastAsia="仿宋_GB2312" w:cs="Arial"/>
          <w:color w:val="000000"/>
          <w:kern w:val="0"/>
          <w:sz w:val="32"/>
          <w:szCs w:val="32"/>
        </w:rPr>
        <w:t>变更申请报区政府审批（或会议纪要）同意后，组织实施同时将区政府批文及工程造价咨询企业编制或者核对的变更工程预算，无异议并签章后报评审中心评审。</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（三）待摊费用及其他费用的预算原则上无需财政评审，建设单位根据发改部门立项批文、招投标和政府采购等文件要求自行组织实施。</w:t>
      </w:r>
    </w:p>
    <w:p>
      <w:pPr>
        <w:widowControl/>
        <w:shd w:val="clear" w:color="auto" w:fill="FFFFFF"/>
        <w:spacing w:line="560" w:lineRule="exact"/>
        <w:ind w:firstLine="642"/>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第十三条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000000"/>
          <w:kern w:val="0"/>
          <w:sz w:val="32"/>
          <w:szCs w:val="32"/>
        </w:rPr>
        <w:t>工程预算送审要求：</w:t>
      </w:r>
    </w:p>
    <w:p>
      <w:pPr>
        <w:widowControl/>
        <w:shd w:val="clear" w:color="auto" w:fill="FFFFFF"/>
        <w:spacing w:line="560" w:lineRule="exact"/>
        <w:ind w:firstLine="642"/>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（一）工程预算送审要求：</w:t>
      </w:r>
    </w:p>
    <w:p>
      <w:pPr>
        <w:widowControl/>
        <w:shd w:val="clear" w:color="auto" w:fill="FFFFFF"/>
        <w:spacing w:line="560" w:lineRule="exact"/>
        <w:ind w:firstLine="642"/>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1.项目送审以一个立项项目或同意立项项目下若干招标子项目为单位； </w:t>
      </w:r>
    </w:p>
    <w:p>
      <w:pPr>
        <w:widowControl/>
        <w:shd w:val="clear" w:color="auto" w:fill="FFFFFF"/>
        <w:spacing w:line="560" w:lineRule="exact"/>
        <w:ind w:firstLine="642"/>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2. 立项项目或同意立项项目的工程预算送审须有区发展改革部门批复的立项批文；</w:t>
      </w:r>
    </w:p>
    <w:p>
      <w:pPr>
        <w:widowControl/>
        <w:shd w:val="clear" w:color="auto" w:fill="FFFFFF"/>
        <w:spacing w:line="560" w:lineRule="exact"/>
        <w:ind w:firstLine="642"/>
        <w:contextualSpacing/>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3.施工图设计文件通过审查且不得改变项目立项文件确定的建设内容和建设规模。工程预算不得超过经审查的投资概算；</w:t>
      </w:r>
    </w:p>
    <w:p>
      <w:pPr>
        <w:widowControl/>
        <w:shd w:val="clear" w:color="auto" w:fill="FFFFFF"/>
        <w:spacing w:line="560" w:lineRule="exact"/>
        <w:ind w:firstLine="642"/>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4.暂列金不得超过分部分项工程费的10%且须列明明细项目内容；</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5.预算包干费须列出包干明细项目内容及费率；</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6.实行设计-采购-施工总承包项目（EPC项目）或者招下浮点项目：</w:t>
      </w:r>
    </w:p>
    <w:p>
      <w:pPr>
        <w:widowControl/>
        <w:shd w:val="clear" w:color="auto" w:fill="FFFFFF"/>
        <w:spacing w:line="560" w:lineRule="exact"/>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    　（1）提交</w:t>
      </w:r>
      <w:r>
        <w:rPr>
          <w:rFonts w:hint="eastAsia" w:ascii="仿宋_GB2312" w:hAnsi="Arial" w:eastAsia="仿宋_GB2312" w:cs="Arial"/>
          <w:color w:val="000000"/>
          <w:kern w:val="0"/>
          <w:sz w:val="32"/>
          <w:szCs w:val="32"/>
          <w:shd w:val="clear" w:color="auto" w:fill="FFFFFF"/>
        </w:rPr>
        <w:t>区政府审批（或会议纪要）同意采用EPC或下浮点招标的建设方案；</w:t>
      </w:r>
      <w:r>
        <w:rPr>
          <w:rFonts w:hint="eastAsia" w:ascii="仿宋_GB2312" w:hAnsi="Arial" w:eastAsia="仿宋_GB2312" w:cs="Arial"/>
          <w:b/>
          <w:bCs/>
          <w:color w:val="000000"/>
          <w:kern w:val="0"/>
          <w:sz w:val="32"/>
          <w:szCs w:val="32"/>
        </w:rPr>
        <w:t> </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2）主要设备、主要管材等在工程预算中以“暂估价”单列，实施时，以“暂估价”形式包括在总承包范围内的主要设备、主要管材等选型、定价须经过有关参建单位（购买主体、承接主体、实施主体、承包单位）充分协商一致并形成书面材料；</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（3）建设单位须委托具备相应资质的工程造价咨询企业对承包单位送审工程预算进行审查，工程预算不得超过中标的设计限额。</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（二）变更工程预算的变更申请</w:t>
      </w:r>
      <w:r>
        <w:rPr>
          <w:rFonts w:hint="eastAsia" w:ascii="仿宋_GB2312" w:hAnsi="Arial" w:eastAsia="仿宋_GB2312" w:cs="Arial"/>
          <w:color w:val="000000"/>
          <w:kern w:val="0"/>
          <w:sz w:val="32"/>
          <w:szCs w:val="32"/>
          <w:shd w:val="clear" w:color="auto" w:fill="FFFFFF"/>
        </w:rPr>
        <w:t>须经区政府审批（或会议纪要）同意</w:t>
      </w:r>
      <w:r>
        <w:rPr>
          <w:rFonts w:hint="eastAsia" w:ascii="仿宋_GB2312" w:hAnsi="Arial" w:eastAsia="仿宋_GB2312" w:cs="Arial"/>
          <w:color w:val="000000"/>
          <w:kern w:val="0"/>
          <w:sz w:val="32"/>
          <w:szCs w:val="32"/>
        </w:rPr>
        <w:t>。</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三）建设单位应对项目建设的有关情况进行逐项核查，并按要求填报《建设单位自查说明（工程预算）》（附件2），与工程预算资料一同报送（附电子版）。项目主管部门应对照建设单位自查说明，对建设单位报送财政投资评审的工程预算进行审核并出具意见。</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未提供项目主管部门审核意见的工程预算，评审中心一律不予受理。</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（四）建设单位工程预算送审函应当明确承诺对工程量清单的准确性和完整性负责。</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第十四条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000000"/>
          <w:kern w:val="0"/>
          <w:sz w:val="32"/>
          <w:szCs w:val="32"/>
        </w:rPr>
        <w:t>工程预算评审。达到前款送审要求后，建设单位将立项批文、招标文件（备案5个工作日内需送一份评审中心备查，经备案招标文件与原送审招标文件实质性条款出现矛盾的，责任由建设单位负责）、工程量清单、工程预算、图纸等预算纸质文件及对应电子版报送评审中心评审，评审中心重点审查以下事项，并在规定的时限出具评审意见：</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（一）建设规模、标准及内容是否存在明显不合理性；</w:t>
      </w: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（二）预算报审内容及金额是否控制在概算批复范围以内；</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（三）预算项目是否与设计相符；</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（四）多个单项工程构成一个工程项目的，审查工程项目是否包含各个单项工程，有无重算或漏算；</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（五）单项工程预算编制是否真实、准确，主要包括：</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1.工程量计算是否符合规定的计算规则，是否准确；</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2.定额选用是否合规，分项工程预算定额选套是否恰当；</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3.工程取费是否执行相应计算基数和费率标准；</w:t>
      </w: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4.设备、材料用量是否与定额或设计含量一致；</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5.设备、材料是否按信息价或市场计价；</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6.利润和税金的计算基数、利润率、税率是否符合规定。</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（六）设计变更是否按规定履行审批程序；</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（七）应当重点审查的其他事项。</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第十五条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000000"/>
          <w:kern w:val="0"/>
          <w:sz w:val="32"/>
          <w:szCs w:val="32"/>
        </w:rPr>
        <w:t>建设单位须凭评审中心审定的工程预算或评审意见办理招标挂网手续，未经评审不得办理招标挂网手续；工程预算审定前不得提前办理招标挂网手续，确需在工程预算审定前挂网招标的，须征求评审中心的意见，评审中心根据项目大小、复杂程度及预算编制质量等因素，提出挂网招标时间的意见，作为提前挂网招标的依据。</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变更工程预算未经评审中心评审，不得支付变更工程进度款，不得作为工程变更结算依据。</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实行设计-采购-施工总承包项目（EPC项目）或者招下浮点项目，经评审中心审定的工程预算是确定最终合同价的依据。</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shd w:val="clear" w:color="auto" w:fill="FFFFFF"/>
        </w:rPr>
        <w:t xml:space="preserve">第十六条 </w:t>
      </w:r>
      <w:r>
        <w:rPr>
          <w:rFonts w:hint="eastAsia" w:ascii="仿宋_GB2312" w:hAnsi="Arial" w:eastAsia="仿宋_GB2312" w:cs="Arial"/>
          <w:b/>
          <w:bCs/>
          <w:color w:val="000000"/>
          <w:kern w:val="0"/>
          <w:sz w:val="32"/>
        </w:rPr>
        <w:t> </w:t>
      </w:r>
      <w:r>
        <w:rPr>
          <w:rFonts w:hint="eastAsia" w:ascii="仿宋_GB2312" w:hAnsi="Arial" w:eastAsia="仿宋_GB2312" w:cs="Arial"/>
          <w:color w:val="000000"/>
          <w:kern w:val="0"/>
          <w:sz w:val="32"/>
          <w:szCs w:val="32"/>
        </w:rPr>
        <w:t>已列入暂列金范围且不突破暂列金额的项目，在实际使用时，可不用另行报区政府审批变更工程预算，直接送审工程结算，单项超过招投标限额的除外</w:t>
      </w:r>
      <w:r>
        <w:rPr>
          <w:rFonts w:hint="eastAsia" w:ascii="仿宋_GB2312" w:hAnsi="Arial" w:eastAsia="仿宋_GB2312" w:cs="Arial"/>
          <w:color w:val="000000"/>
          <w:kern w:val="0"/>
          <w:sz w:val="32"/>
          <w:szCs w:val="32"/>
          <w:shd w:val="clear" w:color="auto" w:fill="FFFFFF"/>
        </w:rPr>
        <w:t>。</w:t>
      </w:r>
    </w:p>
    <w:p>
      <w:pPr>
        <w:widowControl/>
        <w:shd w:val="clear" w:color="auto" w:fill="FFFFFF"/>
        <w:spacing w:line="560" w:lineRule="exact"/>
        <w:ind w:firstLine="640"/>
        <w:contextualSpacing/>
        <w:jc w:val="center"/>
        <w:rPr>
          <w:rFonts w:hint="eastAsia" w:ascii="黑体" w:hAnsi="Arial" w:eastAsia="黑体" w:cs="Arial"/>
          <w:bCs/>
          <w:color w:val="000000"/>
          <w:kern w:val="0"/>
          <w:sz w:val="32"/>
          <w:szCs w:val="32"/>
        </w:rPr>
      </w:pPr>
    </w:p>
    <w:p>
      <w:pPr>
        <w:widowControl/>
        <w:shd w:val="clear" w:color="auto" w:fill="FFFFFF"/>
        <w:spacing w:line="560" w:lineRule="exact"/>
        <w:ind w:firstLine="640"/>
        <w:contextualSpacing/>
        <w:jc w:val="center"/>
        <w:rPr>
          <w:rFonts w:ascii="Arial" w:hAnsi="Arial" w:cs="Arial"/>
          <w:color w:val="333333"/>
          <w:kern w:val="0"/>
          <w:sz w:val="15"/>
          <w:szCs w:val="15"/>
        </w:rPr>
      </w:pPr>
      <w:r>
        <w:rPr>
          <w:rFonts w:hint="eastAsia" w:ascii="黑体" w:hAnsi="Arial" w:eastAsia="黑体" w:cs="Arial"/>
          <w:bCs/>
          <w:color w:val="000000"/>
          <w:kern w:val="0"/>
          <w:sz w:val="32"/>
          <w:szCs w:val="32"/>
        </w:rPr>
        <w:t>第四章</w:t>
      </w:r>
      <w:r>
        <w:rPr>
          <w:rFonts w:hint="eastAsia" w:ascii="黑体" w:hAnsi="Arial" w:eastAsia="黑体" w:cs="Arial"/>
          <w:bCs/>
          <w:color w:val="000000"/>
          <w:kern w:val="0"/>
          <w:sz w:val="32"/>
        </w:rPr>
        <w:t xml:space="preserve">  </w:t>
      </w:r>
      <w:r>
        <w:rPr>
          <w:rFonts w:hint="eastAsia" w:ascii="黑体" w:hAnsi="Arial" w:eastAsia="黑体" w:cs="Arial"/>
          <w:bCs/>
          <w:color w:val="000000"/>
          <w:kern w:val="0"/>
          <w:sz w:val="32"/>
          <w:szCs w:val="32"/>
        </w:rPr>
        <w:t>工程结算评审程序</w:t>
      </w:r>
    </w:p>
    <w:p>
      <w:pPr>
        <w:widowControl/>
        <w:shd w:val="clear" w:color="auto" w:fill="FFFFFF"/>
        <w:spacing w:line="560" w:lineRule="exact"/>
        <w:contextualSpacing/>
        <w:rPr>
          <w:rFonts w:ascii="Arial" w:hAnsi="Arial" w:cs="Arial"/>
          <w:color w:val="333333"/>
          <w:kern w:val="0"/>
          <w:sz w:val="15"/>
          <w:szCs w:val="15"/>
        </w:rPr>
      </w:pPr>
      <w:r>
        <w:rPr>
          <w:rFonts w:hint="eastAsia" w:ascii="仿宋_GB2312" w:hAnsi="Arial" w:eastAsia="仿宋_GB2312" w:cs="Arial"/>
          <w:color w:val="000000"/>
          <w:kern w:val="0"/>
          <w:sz w:val="32"/>
          <w:szCs w:val="32"/>
          <w:shd w:val="clear" w:color="auto" w:fill="FFFFFF"/>
        </w:rPr>
        <w:t> </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b/>
          <w:bCs/>
          <w:color w:val="000000"/>
          <w:kern w:val="0"/>
          <w:sz w:val="32"/>
          <w:szCs w:val="32"/>
        </w:rPr>
        <w:t xml:space="preserve">第十七条  </w:t>
      </w:r>
      <w:r>
        <w:rPr>
          <w:rFonts w:hint="eastAsia" w:ascii="仿宋_GB2312" w:hAnsi="Arial" w:eastAsia="仿宋_GB2312" w:cs="Arial"/>
          <w:color w:val="000000"/>
          <w:kern w:val="0"/>
          <w:sz w:val="32"/>
          <w:szCs w:val="32"/>
        </w:rPr>
        <w:t>工程结算送审时间节点、程序：</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spacing w:val="-4"/>
          <w:kern w:val="0"/>
          <w:sz w:val="32"/>
          <w:szCs w:val="32"/>
        </w:rPr>
        <w:t>项目竣工后，建设单位应委托有资质的工程造价咨询企业核对结算文件，各方对工程结算文件核对无异议并签章确认。建设单位自签章确认之日起30日内将工程结算文件报送评审中心评审。</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第十八条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000000"/>
          <w:kern w:val="0"/>
          <w:sz w:val="32"/>
          <w:szCs w:val="32"/>
        </w:rPr>
        <w:t>工程结算编制、送审要求。</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（一）项目送审以一个合同为最小单位，工程施工通过竣工验收。</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（二）待摊费用及其他费用结算直接报财政部门审核支付，不须单独报送评审中心评审。</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（三）按程序编制、核对工程结算文件</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工程结算报送财政评审前，建设单位应按照规范要求做好工程结算编制及核对确认工作。具体编审要求详见《浈江区财政投资项目工程结算文件编报要求》（附件1）。</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1.建设工程结算由建设单位、施工单位双方依据建设工程合同文件、设计文件、施工方案、投标文件、标准规范、综合定额、施工过程中双方已确认的工程量及其结算的合同价款、调整后追加（减）的合同价款等有效文件编制或者核对；</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2.建设单位应督促施工单位按照合同约定编制结算文件，并在提交竣工验收申请报告的同时向建设单位提交结算文件；</w:t>
      </w:r>
    </w:p>
    <w:p>
      <w:pPr>
        <w:widowControl/>
        <w:shd w:val="clear" w:color="auto" w:fill="FFFFFF"/>
        <w:spacing w:line="560" w:lineRule="exact"/>
        <w:ind w:firstLine="640"/>
        <w:contextualSpacing/>
        <w:rPr>
          <w:rFonts w:hint="eastAsia" w:ascii="Arial" w:hAnsi="Arial" w:cs="Arial"/>
          <w:b w:val="0"/>
          <w:bCs w:val="0"/>
          <w:color w:val="333333"/>
          <w:kern w:val="0"/>
          <w:sz w:val="15"/>
          <w:szCs w:val="15"/>
        </w:rPr>
      </w:pPr>
      <w:r>
        <w:rPr>
          <w:rFonts w:hint="eastAsia" w:ascii="仿宋_GB2312" w:hAnsi="Arial" w:eastAsia="仿宋_GB2312" w:cs="Arial"/>
          <w:b w:val="0"/>
          <w:bCs w:val="0"/>
          <w:color w:val="000000"/>
          <w:kern w:val="0"/>
          <w:sz w:val="32"/>
          <w:szCs w:val="32"/>
        </w:rPr>
        <w:t>3.建设单位必须委托工程造价咨询企业核对结算文件；</w:t>
      </w:r>
    </w:p>
    <w:p>
      <w:pPr>
        <w:widowControl/>
        <w:shd w:val="clear" w:color="auto" w:fill="FFFFFF"/>
        <w:spacing w:line="560" w:lineRule="exact"/>
        <w:ind w:firstLine="640"/>
        <w:contextualSpacing/>
        <w:rPr>
          <w:rFonts w:hint="eastAsia" w:ascii="Arial" w:hAnsi="Arial" w:cs="Arial"/>
          <w:b w:val="0"/>
          <w:bCs w:val="0"/>
          <w:color w:val="333333"/>
          <w:kern w:val="0"/>
          <w:sz w:val="15"/>
          <w:szCs w:val="15"/>
        </w:rPr>
      </w:pPr>
      <w:r>
        <w:rPr>
          <w:rFonts w:hint="eastAsia" w:ascii="仿宋_GB2312" w:hAnsi="Arial" w:eastAsia="仿宋_GB2312" w:cs="Arial"/>
          <w:b w:val="0"/>
          <w:bCs w:val="0"/>
          <w:color w:val="000000"/>
          <w:kern w:val="0"/>
          <w:sz w:val="32"/>
          <w:szCs w:val="32"/>
        </w:rPr>
        <w:t>4.建设单位、施工单位对结算文件核对或者复核结果无异议的，应在7日内按规定签章、确认结算文件。</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（三）填报自查说明</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建设单位应对项目建设的有关情况进行逐项核查，并按要求填报《建设单位自查说明（工程结算）》（附件2），与工程结算资料一同报送（附电子版）。项目主管部门应对照建设单位自查说明，对建设单位报送财政投资评审的工程结算项目进行审核并出具意见。</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未提供工程造价咨询企业结算核对文件以及项目主管部门审核意见的工程结算，评审中心一律不予受理。建设单位自查工作主要内容包括：</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1.基本建设程序实施情况。自查送审项目是否严格执行基本建设程序，是否按照法律法规和相关规定开展设计、监理和施工等工作，是否依法依规执行招投标程序，合同管理及执行是否符合相关规定；   </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 2.项目概算和财政预算执行情况。自查送审项目造价是否控制在批准的概算范围内，是否严格按照批准的项目预算使用资金等，确需调整概算或者预算的，是否按照规定程序报批；</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3.工程结算管理有关情况。自查送审项目是否按照《广东省建设工程造价管理规定》(省政府令第205号)等相关规定规范办理送财政部门审核前的工程结算手续。</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（四）工程结算资料报送要求</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建设单位应按照《浈江区财政投资项目工程结算项目资料规范要求》（附件3）向评审中心提供或补充财政评审所需资料及相关证明，并对所提供资料的真实性、合法性和完整性负责。</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1.报送工程结算前，建设单位应收集齐全与工程建设有关的重要活动、记载工程建设主要过程和现状、涉及工程结算的所有载体文件，编制汇总，立卷装订，列好目录，并与评审中心做好资料交接手续。未办理移交手续的，视作无效资料处理。</w:t>
      </w:r>
      <w:r>
        <w:rPr>
          <w:rFonts w:hint="eastAsia" w:ascii="仿宋_GB2312" w:hAnsi="Arial" w:eastAsia="仿宋_GB2312" w:cs="Arial"/>
          <w:b w:val="0"/>
          <w:bCs w:val="0"/>
          <w:color w:val="000000"/>
          <w:kern w:val="0"/>
          <w:sz w:val="32"/>
          <w:szCs w:val="32"/>
        </w:rPr>
        <w:t>评审中心不接受承包单位单方提交的资料；</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2.评审中心按规定对送审资料进行预审后，认为建设单位未按规定送审评审资料或评审资料不完整、不齐全的，向建设单位发出《评审项目补充资料通知书》，通知建设单位在5个工作日内补报资料。建设单位在限期内不能补充完整资料或没有及时反馈意见时，评审中心在第一次补充资料通知书限期到期后1个工作日内向建设单位发出《评审项目再次补充资料通知书》，第二次要求5个工作日内补报资料。项目资料补充完整后，评审中心正式受理送审项目。经上述程序催补后建设单位仍不能补充评审所需资料的，评审中心将作出项目不受理或退审的决定，并通知建设单位7个工作日内领回送审资料；</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3.工程结算财政评审过程中，一般不接受建设单位补充资料；确需补充的，应装订成册，加盖建设单位确认公章后按规定时限要求报送评审中心登记确认。补充资料原则上不得增加送审结算金额，确需增加的，建设单位应说明增加的理由、依据并报经项目主管部门同意；</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4.财政评审工作结束后，建设单位应按照评审中心通知要求及时办理项目资料的领回工作；</w:t>
      </w:r>
    </w:p>
    <w:p>
      <w:pPr>
        <w:widowControl/>
        <w:shd w:val="clear" w:color="auto" w:fill="FFFFFF"/>
        <w:spacing w:line="560" w:lineRule="exact"/>
        <w:ind w:firstLine="648"/>
        <w:contextualSpacing/>
        <w:rPr>
          <w:rFonts w:ascii="Arial" w:hAnsi="Arial" w:cs="Arial"/>
          <w:b w:val="0"/>
          <w:bCs w:val="0"/>
          <w:color w:val="333333"/>
          <w:kern w:val="0"/>
          <w:sz w:val="15"/>
          <w:szCs w:val="15"/>
        </w:rPr>
      </w:pPr>
      <w:r>
        <w:rPr>
          <w:rFonts w:hint="eastAsia" w:ascii="仿宋_GB2312" w:hAnsi="Arial" w:eastAsia="仿宋_GB2312" w:cs="Arial"/>
          <w:b w:val="0"/>
          <w:bCs w:val="0"/>
          <w:color w:val="000000"/>
          <w:kern w:val="0"/>
          <w:sz w:val="32"/>
          <w:szCs w:val="32"/>
        </w:rPr>
        <w:t>5.建设单位应当完整报送工程结算,评审中心原则上不予受理建设单位就同一工程结算项目报送审的漏算、漏项、漏报部分的结算；</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shd w:val="clear" w:color="auto" w:fill="FFFFFF"/>
        </w:rPr>
        <w:t>6.</w:t>
      </w:r>
      <w:r>
        <w:rPr>
          <w:rFonts w:hint="eastAsia" w:ascii="仿宋_GB2312" w:hAnsi="Arial" w:eastAsia="仿宋_GB2312" w:cs="Arial"/>
          <w:color w:val="000000"/>
          <w:kern w:val="0"/>
          <w:sz w:val="32"/>
          <w:szCs w:val="32"/>
        </w:rPr>
        <w:t>项目经过审计的，还应提供审计情况和根据审计意见进行整改的情况。</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 xml:space="preserve">第十九条 </w:t>
      </w:r>
      <w:r>
        <w:rPr>
          <w:rFonts w:hint="eastAsia" w:ascii="仿宋_GB2312" w:hAnsi="Arial" w:eastAsia="仿宋_GB2312" w:cs="Arial"/>
          <w:b/>
          <w:bCs/>
          <w:color w:val="000000"/>
          <w:kern w:val="0"/>
          <w:sz w:val="32"/>
        </w:rPr>
        <w:t> </w:t>
      </w:r>
      <w:r>
        <w:rPr>
          <w:rFonts w:hint="eastAsia" w:ascii="仿宋_GB2312" w:hAnsi="Arial" w:eastAsia="仿宋_GB2312" w:cs="Arial"/>
          <w:color w:val="000000"/>
          <w:kern w:val="0"/>
          <w:sz w:val="32"/>
          <w:szCs w:val="32"/>
        </w:rPr>
        <w:t>工程结算评审。达到前款送审要求后，建设单位将验收报告、核对无异议并签章的结算书、竣工图纸等结算纸质文件及其电子版报送评审中心审核，评审中心在规定的时限审结出具评审报告。应在预算审查事项的基础上，重点审查以下事项：</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（一）项目基本建设程序履行情况；</w:t>
      </w:r>
      <w:r>
        <w:rPr>
          <w:rFonts w:hint="eastAsia" w:ascii="仿宋_GB2312" w:hAnsi="Arial" w:eastAsia="仿宋_GB2312" w:cs="Arial"/>
          <w:color w:val="000000"/>
          <w:kern w:val="0"/>
          <w:sz w:val="32"/>
        </w:rPr>
        <w:t> </w:t>
      </w:r>
      <w:r>
        <w:rPr>
          <w:rFonts w:hint="eastAsia" w:ascii="仿宋_GB2312" w:hAnsi="Arial" w:eastAsia="仿宋_GB2312" w:cs="Arial"/>
          <w:color w:val="000000"/>
          <w:kern w:val="0"/>
          <w:sz w:val="32"/>
          <w:szCs w:val="32"/>
        </w:rPr>
        <w:t> </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b w:val="0"/>
          <w:bCs w:val="0"/>
          <w:color w:val="000000"/>
          <w:kern w:val="0"/>
          <w:sz w:val="32"/>
          <w:szCs w:val="32"/>
        </w:rPr>
        <w:t>（二）现场调查结果与竣工验收图和提供的审查相关资料是否一致；</w:t>
      </w:r>
      <w:r>
        <w:rPr>
          <w:rFonts w:hint="eastAsia" w:ascii="仿宋_GB2312" w:hAnsi="Arial" w:eastAsia="仿宋_GB2312" w:cs="Arial"/>
          <w:b/>
          <w:bCs/>
          <w:color w:val="000000"/>
          <w:kern w:val="0"/>
          <w:sz w:val="32"/>
        </w:rPr>
        <w:t> </w:t>
      </w:r>
      <w:r>
        <w:rPr>
          <w:rFonts w:hint="eastAsia" w:ascii="仿宋_GB2312" w:hAnsi="Arial" w:eastAsia="仿宋_GB2312" w:cs="Arial"/>
          <w:b/>
          <w:bCs/>
          <w:color w:val="000000"/>
          <w:kern w:val="0"/>
          <w:sz w:val="32"/>
          <w:szCs w:val="32"/>
        </w:rPr>
        <w:t> </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（三）设计变更和现场签证是否合理；</w:t>
      </w:r>
      <w:r>
        <w:rPr>
          <w:rFonts w:hint="eastAsia" w:ascii="仿宋_GB2312" w:hAnsi="Arial" w:eastAsia="仿宋_GB2312" w:cs="Arial"/>
          <w:color w:val="000000"/>
          <w:kern w:val="0"/>
          <w:sz w:val="32"/>
        </w:rPr>
        <w:t> </w:t>
      </w:r>
      <w:r>
        <w:rPr>
          <w:rFonts w:hint="eastAsia" w:ascii="仿宋_GB2312" w:hAnsi="Arial" w:eastAsia="仿宋_GB2312" w:cs="Arial"/>
          <w:color w:val="000000"/>
          <w:kern w:val="0"/>
          <w:sz w:val="32"/>
          <w:szCs w:val="32"/>
        </w:rPr>
        <w:t> </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（四）工程材料、设备和人工等价格的变化情况；</w:t>
      </w:r>
      <w:r>
        <w:rPr>
          <w:rFonts w:hint="eastAsia" w:ascii="仿宋_GB2312" w:hAnsi="Arial" w:eastAsia="仿宋_GB2312" w:cs="Arial"/>
          <w:color w:val="000000"/>
          <w:kern w:val="0"/>
          <w:sz w:val="32"/>
        </w:rPr>
        <w:t> </w:t>
      </w:r>
      <w:r>
        <w:rPr>
          <w:rFonts w:hint="eastAsia" w:ascii="仿宋_GB2312" w:hAnsi="Arial" w:eastAsia="仿宋_GB2312" w:cs="Arial"/>
          <w:color w:val="000000"/>
          <w:kern w:val="0"/>
          <w:sz w:val="32"/>
          <w:szCs w:val="32"/>
        </w:rPr>
        <w:t> </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（五）补充合同（协议）的内容与主合同的内容是否相符及其执行情况；</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（六）是否存在不平衡报价情况；</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（七）工期完成情况及奖惩；</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（八）工程实施过程中的经济政策变化情况；</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（九）应当重点审查的其他事项。     </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第二十条</w:t>
      </w:r>
      <w:r>
        <w:rPr>
          <w:rFonts w:hint="eastAsia" w:ascii="仿宋_GB2312" w:hAnsi="Arial" w:eastAsia="仿宋_GB2312" w:cs="Arial"/>
          <w:color w:val="000000"/>
          <w:kern w:val="0"/>
          <w:sz w:val="32"/>
          <w:szCs w:val="32"/>
        </w:rPr>
        <w:t xml:space="preserve">  单项不超过公开招标限额、已列入暂列金范围且不突破暂列金额的项目，最终结算金额以</w:t>
      </w:r>
      <w:r>
        <w:rPr>
          <w:rFonts w:hint="eastAsia" w:ascii="仿宋_GB2312" w:hAnsi="Arial" w:eastAsia="仿宋_GB2312" w:cs="Arial"/>
          <w:color w:val="000000"/>
          <w:kern w:val="0"/>
          <w:sz w:val="32"/>
          <w:szCs w:val="32"/>
          <w:shd w:val="clear" w:color="auto" w:fill="FFFFFF"/>
        </w:rPr>
        <w:t>评审中心按相关定额标准、法规文件、招投标文件和合同协议约定进行审定。</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第二十一条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000000"/>
          <w:kern w:val="0"/>
          <w:sz w:val="32"/>
          <w:szCs w:val="32"/>
        </w:rPr>
        <w:t>在工程结算评审过程中，出现初审工程结算价超合同价或资金概（预）算，且建设单位未按相关规定办理变更审批手续的，评审中心出具初审意见，建设单位须根据初审意见按程序报区政府审批。待</w:t>
      </w:r>
      <w:r>
        <w:rPr>
          <w:rFonts w:hint="eastAsia" w:ascii="仿宋_GB2312" w:hAnsi="Arial" w:eastAsia="仿宋_GB2312" w:cs="Arial"/>
          <w:color w:val="000000"/>
          <w:kern w:val="0"/>
          <w:sz w:val="32"/>
          <w:szCs w:val="32"/>
          <w:shd w:val="clear" w:color="auto" w:fill="FFFFFF"/>
        </w:rPr>
        <w:t>区政府审批（或会议纪要）同意后，建设单位根据审定金额签订补充协议，评审中心出具最终评审报告（评审意见）。</w:t>
      </w:r>
      <w:r>
        <w:rPr>
          <w:rFonts w:hint="eastAsia" w:ascii="仿宋_GB2312" w:hAnsi="Arial" w:eastAsia="仿宋_GB2312" w:cs="Arial"/>
          <w:b/>
          <w:bCs/>
          <w:color w:val="000000"/>
          <w:kern w:val="0"/>
          <w:sz w:val="32"/>
          <w:szCs w:val="32"/>
        </w:rPr>
        <w:t>  </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第二十二条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000000"/>
          <w:kern w:val="0"/>
          <w:sz w:val="32"/>
          <w:szCs w:val="32"/>
        </w:rPr>
        <w:t>工程结算项目正式受理后，在财政评审过程中，有下列情形之一的，评审中心将终止评审工作，出具《项目退审意见书》，由建设单位对项目进行整改完善，符合条件后再送审，项目主管部门应督促建设单位做好整改工作。</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（一）报送项目资料无法支撑审核结论的；</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（二）项目建设程序上存在重大违规问题的；</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spacing w:val="-6"/>
          <w:kern w:val="0"/>
          <w:sz w:val="32"/>
          <w:szCs w:val="32"/>
        </w:rPr>
        <w:t>（三）建设单位无法在规定时间内配合完成财政评审工作</w:t>
      </w:r>
      <w:r>
        <w:rPr>
          <w:rFonts w:hint="eastAsia" w:ascii="仿宋_GB2312" w:hAnsi="Arial" w:eastAsia="仿宋_GB2312" w:cs="Arial"/>
          <w:color w:val="000000"/>
          <w:spacing w:val="-2"/>
          <w:kern w:val="0"/>
          <w:sz w:val="32"/>
          <w:szCs w:val="32"/>
        </w:rPr>
        <w:t>的；</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（四）项目存在超概算投资的。</w:t>
      </w:r>
    </w:p>
    <w:p>
      <w:pPr>
        <w:widowControl/>
        <w:shd w:val="clear" w:color="auto" w:fill="FFFFFF"/>
        <w:spacing w:line="560" w:lineRule="exact"/>
        <w:contextualSpacing/>
        <w:rPr>
          <w:rFonts w:hint="eastAsia" w:ascii="仿宋_GB2312" w:hAnsi="Arial" w:eastAsia="仿宋_GB2312" w:cs="Arial"/>
          <w:color w:val="000000"/>
          <w:kern w:val="0"/>
          <w:sz w:val="32"/>
          <w:szCs w:val="32"/>
        </w:rPr>
      </w:pPr>
    </w:p>
    <w:p>
      <w:pPr>
        <w:widowControl/>
        <w:shd w:val="clear" w:color="auto" w:fill="FFFFFF"/>
        <w:spacing w:line="560" w:lineRule="exact"/>
        <w:contextualSpacing/>
        <w:jc w:val="center"/>
        <w:rPr>
          <w:rFonts w:ascii="Arial" w:hAnsi="Arial" w:cs="Arial"/>
          <w:color w:val="333333"/>
          <w:kern w:val="0"/>
          <w:sz w:val="32"/>
          <w:szCs w:val="32"/>
        </w:rPr>
      </w:pPr>
      <w:r>
        <w:rPr>
          <w:rFonts w:hint="eastAsia" w:ascii="黑体" w:hAnsi="Arial" w:eastAsia="黑体" w:cs="Arial"/>
          <w:bCs/>
          <w:color w:val="000000"/>
          <w:kern w:val="0"/>
          <w:sz w:val="32"/>
          <w:szCs w:val="32"/>
        </w:rPr>
        <w:t>第五章   评审报告</w:t>
      </w:r>
    </w:p>
    <w:p>
      <w:pPr>
        <w:widowControl/>
        <w:shd w:val="clear" w:color="auto" w:fill="FFFFFF"/>
        <w:spacing w:line="560" w:lineRule="exact"/>
        <w:contextualSpacing/>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w:t>
      </w:r>
    </w:p>
    <w:p>
      <w:pPr>
        <w:widowControl/>
        <w:shd w:val="clear" w:color="auto" w:fill="FFFFFF"/>
        <w:spacing w:line="560" w:lineRule="exact"/>
        <w:ind w:firstLine="645"/>
        <w:contextualSpacing/>
        <w:rPr>
          <w:rFonts w:hint="eastAsia" w:ascii="Arial" w:hAnsi="Arial" w:cs="Arial"/>
          <w:color w:val="333333"/>
          <w:kern w:val="0"/>
          <w:sz w:val="32"/>
          <w:szCs w:val="32"/>
        </w:rPr>
      </w:pPr>
      <w:r>
        <w:rPr>
          <w:rFonts w:hint="eastAsia" w:ascii="仿宋_GB2312" w:hAnsi="Arial" w:eastAsia="仿宋_GB2312" w:cs="Arial"/>
          <w:b/>
          <w:bCs/>
          <w:color w:val="000000"/>
          <w:kern w:val="0"/>
          <w:sz w:val="32"/>
          <w:szCs w:val="32"/>
        </w:rPr>
        <w:t>第二十三条</w:t>
      </w:r>
      <w:r>
        <w:rPr>
          <w:rFonts w:hint="eastAsia" w:ascii="仿宋_GB2312" w:hAnsi="Arial" w:eastAsia="仿宋_GB2312" w:cs="Arial"/>
          <w:color w:val="000000"/>
          <w:kern w:val="0"/>
          <w:sz w:val="32"/>
          <w:szCs w:val="32"/>
        </w:rPr>
        <w:t xml:space="preserve">  评审中心应当以经过核实的证据为依据，出具评审报告，形成评审意见(结论)。</w:t>
      </w:r>
    </w:p>
    <w:p>
      <w:pPr>
        <w:widowControl/>
        <w:shd w:val="clear" w:color="auto" w:fill="FFFFFF"/>
        <w:spacing w:line="560" w:lineRule="exact"/>
        <w:ind w:firstLine="645"/>
        <w:contextualSpacing/>
        <w:rPr>
          <w:rFonts w:ascii="Arial" w:hAnsi="Arial" w:cs="Arial"/>
          <w:color w:val="333333"/>
          <w:kern w:val="0"/>
          <w:sz w:val="32"/>
          <w:szCs w:val="32"/>
        </w:rPr>
      </w:pPr>
      <w:r>
        <w:rPr>
          <w:rFonts w:hint="eastAsia" w:ascii="仿宋_GB2312" w:hAnsi="Arial" w:eastAsia="仿宋_GB2312" w:cs="Arial"/>
          <w:b/>
          <w:bCs/>
          <w:color w:val="000000"/>
          <w:kern w:val="0"/>
          <w:sz w:val="32"/>
          <w:szCs w:val="32"/>
        </w:rPr>
        <w:t>第二十四条</w:t>
      </w:r>
      <w:r>
        <w:rPr>
          <w:rFonts w:hint="eastAsia" w:ascii="仿宋_GB2312" w:hAnsi="Arial" w:eastAsia="仿宋_GB2312" w:cs="Arial"/>
          <w:color w:val="000000"/>
          <w:kern w:val="0"/>
          <w:sz w:val="32"/>
          <w:szCs w:val="32"/>
        </w:rPr>
        <w:t xml:space="preserve">  评审中心出具的评审报告（评审结论）应当交建设单位和施工单位确认，建设单位或施工单位对评审报告无异议的，应在评审报告上签名盖章予以确认。如会审时对评审报告无法取得一致，由评审中心对评审报告进一步复核；若对复核后出具的评审报告仍无法取得一致，评审中心可以对评审报告予以单方认定，并对异议情况予以说明。   </w:t>
      </w:r>
    </w:p>
    <w:p>
      <w:pPr>
        <w:widowControl/>
        <w:shd w:val="clear" w:color="auto" w:fill="FFFFFF"/>
        <w:spacing w:line="560" w:lineRule="exact"/>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 </w:t>
      </w:r>
    </w:p>
    <w:p>
      <w:pPr>
        <w:widowControl/>
        <w:shd w:val="clear" w:color="auto" w:fill="FFFFFF"/>
        <w:spacing w:line="560" w:lineRule="exact"/>
        <w:contextualSpacing/>
        <w:jc w:val="center"/>
        <w:rPr>
          <w:rFonts w:ascii="Arial" w:hAnsi="Arial" w:cs="Arial"/>
          <w:color w:val="333333"/>
          <w:kern w:val="0"/>
          <w:sz w:val="15"/>
          <w:szCs w:val="15"/>
        </w:rPr>
      </w:pPr>
      <w:r>
        <w:rPr>
          <w:rFonts w:hint="eastAsia" w:ascii="黑体" w:hAnsi="Arial" w:eastAsia="黑体" w:cs="Arial"/>
          <w:bCs/>
          <w:color w:val="000000"/>
          <w:kern w:val="0"/>
          <w:sz w:val="32"/>
          <w:szCs w:val="32"/>
        </w:rPr>
        <w:t>第六章</w:t>
      </w:r>
      <w:r>
        <w:rPr>
          <w:rFonts w:hint="eastAsia" w:ascii="黑体" w:hAnsi="Arial" w:eastAsia="黑体" w:cs="Arial"/>
          <w:bCs/>
          <w:color w:val="000000"/>
          <w:kern w:val="0"/>
          <w:sz w:val="32"/>
        </w:rPr>
        <w:t> </w:t>
      </w:r>
      <w:r>
        <w:rPr>
          <w:rFonts w:hint="eastAsia" w:ascii="黑体" w:hAnsi="Arial" w:eastAsia="黑体" w:cs="Arial"/>
          <w:bCs/>
          <w:color w:val="000000"/>
          <w:kern w:val="0"/>
          <w:sz w:val="32"/>
          <w:szCs w:val="32"/>
        </w:rPr>
        <w:t> 监督管理</w:t>
      </w:r>
    </w:p>
    <w:p>
      <w:pPr>
        <w:widowControl/>
        <w:shd w:val="clear" w:color="auto" w:fill="FFFFFF"/>
        <w:spacing w:line="560" w:lineRule="exact"/>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 </w:t>
      </w:r>
    </w:p>
    <w:p>
      <w:pPr>
        <w:widowControl/>
        <w:shd w:val="clear" w:color="auto" w:fill="FFFFFF"/>
        <w:spacing w:line="560" w:lineRule="exact"/>
        <w:ind w:firstLine="645"/>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第二十五条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000000"/>
          <w:kern w:val="0"/>
          <w:sz w:val="32"/>
          <w:szCs w:val="32"/>
        </w:rPr>
        <w:t>建设单位原则上购买一次编制预算文件、一次核对结算文件服务，不得反复多次购买工程造价咨询服务，造成财政资金浪费；出现反复多次购买服务的，多支出服务费不得在项目列支，由建设单位自行解决；同时须问责部门主要负责人和直接责任人员的行政责任。</w:t>
      </w:r>
    </w:p>
    <w:p>
      <w:pPr>
        <w:widowControl/>
        <w:shd w:val="clear" w:color="auto" w:fill="FFFFFF"/>
        <w:spacing w:line="560" w:lineRule="exact"/>
        <w:ind w:firstLine="645"/>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第二十六条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333333"/>
          <w:kern w:val="0"/>
          <w:sz w:val="32"/>
          <w:szCs w:val="32"/>
        </w:rPr>
        <w:t>建设单位有责任加强对造价咨询服务质量和合同管理，在购买服务招标文件和合同明确约定：</w:t>
      </w:r>
      <w:r>
        <w:rPr>
          <w:rFonts w:hint="eastAsia" w:ascii="仿宋_GB2312" w:hAnsi="Arial" w:eastAsia="仿宋_GB2312" w:cs="Arial"/>
          <w:color w:val="000000"/>
          <w:kern w:val="0"/>
          <w:sz w:val="32"/>
          <w:szCs w:val="32"/>
        </w:rPr>
        <w:t> </w:t>
      </w:r>
    </w:p>
    <w:p>
      <w:pPr>
        <w:widowControl/>
        <w:shd w:val="clear" w:color="auto" w:fill="FFFFFF"/>
        <w:spacing w:line="560" w:lineRule="exact"/>
        <w:ind w:firstLine="645"/>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造价咨询企业或施工单位编制、审核工程预算（招标控制价）、工程结算等建设工程造价文件的质量偏差率，不得超过规定的5%。质量偏差率（i)=</w:t>
      </w:r>
      <w:r>
        <w:rPr>
          <w:rFonts w:hint="eastAsia" w:ascii="仿宋_GB2312" w:hAnsi="Arial" w:eastAsia="仿宋_GB2312" w:cs="Arial"/>
          <w:b w:val="0"/>
          <w:bCs w:val="0"/>
          <w:color w:val="000000"/>
          <w:kern w:val="0"/>
          <w:sz w:val="32"/>
          <w:szCs w:val="32"/>
        </w:rPr>
        <w:t>【</w:t>
      </w:r>
      <w:r>
        <w:rPr>
          <w:rFonts w:hint="eastAsia" w:ascii="仿宋_GB2312" w:hAnsi="Arial" w:eastAsia="仿宋_GB2312" w:cs="Arial"/>
          <w:color w:val="000000"/>
          <w:kern w:val="0"/>
          <w:sz w:val="32"/>
          <w:szCs w:val="32"/>
        </w:rPr>
        <w:t>(|审核定案金额-工程造价咨询企业或施工单位送审金额|-|非技术错误金额|）/审核定案金额】X100%。经评审中心审定后，出现编制质量偏差率i超过以下情况的，建设单位有责任按如下处理：</w:t>
      </w:r>
    </w:p>
    <w:p>
      <w:pPr>
        <w:widowControl/>
        <w:shd w:val="clear" w:color="auto" w:fill="FFFFFF"/>
        <w:spacing w:line="560" w:lineRule="exact"/>
        <w:ind w:firstLine="645"/>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1.单项偏差超过30万元以上的项目，每出现一次扣减服务费的10%；</w:t>
      </w:r>
    </w:p>
    <w:p>
      <w:pPr>
        <w:widowControl/>
        <w:shd w:val="clear" w:color="auto" w:fill="FFFFFF"/>
        <w:spacing w:line="560" w:lineRule="exact"/>
        <w:ind w:firstLine="645"/>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2.i在3%（含）-4%或总价偏差50万元以上的，扣减审核费的30%；</w:t>
      </w:r>
    </w:p>
    <w:p>
      <w:pPr>
        <w:widowControl/>
        <w:shd w:val="clear" w:color="auto" w:fill="FFFFFF"/>
        <w:spacing w:line="560" w:lineRule="exact"/>
        <w:ind w:firstLine="645"/>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3.i在4%（含）-5%或总价偏差100万元以上的，扣减审核费的40%。</w:t>
      </w:r>
    </w:p>
    <w:p>
      <w:pPr>
        <w:widowControl/>
        <w:shd w:val="clear" w:color="auto" w:fill="FFFFFF"/>
        <w:spacing w:line="560" w:lineRule="exact"/>
        <w:ind w:firstLine="645"/>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4.i=5%或总价偏差500万元以上的，扣减审核费的50%；</w:t>
      </w:r>
    </w:p>
    <w:p>
      <w:pPr>
        <w:widowControl/>
        <w:shd w:val="clear" w:color="auto" w:fill="FFFFFF"/>
        <w:spacing w:line="560" w:lineRule="exact"/>
        <w:ind w:firstLine="645"/>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5.i超过5%以上或总价偏差1000万元以上的，扣减审核费的100%；</w:t>
      </w:r>
    </w:p>
    <w:p>
      <w:pPr>
        <w:widowControl/>
        <w:shd w:val="clear" w:color="auto" w:fill="FFFFFF"/>
        <w:spacing w:line="560" w:lineRule="exact"/>
        <w:ind w:firstLine="645"/>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6.以上第1项单项偏差扣费和其余2至6项总价偏差扣费叠加计算，扣完为止。</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b/>
          <w:bCs/>
          <w:color w:val="000000"/>
          <w:kern w:val="0"/>
          <w:sz w:val="32"/>
          <w:szCs w:val="32"/>
        </w:rPr>
        <w:t>第二十七条</w:t>
      </w:r>
      <w:r>
        <w:rPr>
          <w:rFonts w:hint="eastAsia" w:ascii="仿宋_GB2312" w:hAnsi="Arial" w:eastAsia="仿宋_GB2312" w:cs="Arial"/>
          <w:color w:val="000000"/>
          <w:kern w:val="0"/>
          <w:sz w:val="32"/>
          <w:szCs w:val="32"/>
        </w:rPr>
        <w:t xml:space="preserve">  为防止施工单位高估冒算，如属于施工单位或者其委托造价咨询企业原因造成所申报结算款超出建设单位核对或者评审中心最终审定结算款的5%时，建设单位有责任督促施工单位承担超出5%部分的核对费用，并就结算文件质量偏差率超过规定的5%的情况向市住房城乡建设主管部门进行举报。</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b/>
          <w:bCs/>
          <w:color w:val="000000"/>
          <w:kern w:val="0"/>
          <w:sz w:val="32"/>
          <w:szCs w:val="32"/>
        </w:rPr>
        <w:t>第二十八条</w:t>
      </w:r>
      <w:r>
        <w:rPr>
          <w:rFonts w:hint="eastAsia" w:ascii="仿宋_GB2312" w:hAnsi="Arial" w:eastAsia="仿宋_GB2312" w:cs="Arial"/>
          <w:color w:val="000000"/>
          <w:kern w:val="0"/>
          <w:sz w:val="32"/>
          <w:szCs w:val="32"/>
        </w:rPr>
        <w:t xml:space="preserve">  接受建设单位委托的造价咨询企业所编制的建设工程造价文件编制质量偏差率超过规定的5%的，建设单位有责任向市住房城乡建设行政主管部门进行举报。</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b/>
          <w:bCs/>
          <w:color w:val="000000"/>
          <w:kern w:val="0"/>
          <w:sz w:val="32"/>
          <w:szCs w:val="32"/>
        </w:rPr>
        <w:t>第二十九条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000000"/>
          <w:kern w:val="0"/>
          <w:sz w:val="32"/>
          <w:szCs w:val="32"/>
        </w:rPr>
        <w:t>接受建设单位委托的造价咨询企业故意或者因其重大过失，提供虚假审核报告的，评审中心有权责令其改正；造成损失的，造价咨询企业应承担相应的经济责任；涉及违法乱纪的，依法追究有关责任人的法律责任，情节严重的移交司法机关处理。</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评审中心每季度将造价咨询企业或施工单位编制，造价咨询企业审核工程预算（招标控制价）、工程结算等建设工程造价文件质量偏差率超过规定的5%的项目情况汇总报市住房城乡建设主管部门。</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第三十条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000000"/>
          <w:kern w:val="0"/>
          <w:sz w:val="32"/>
          <w:szCs w:val="32"/>
        </w:rPr>
        <w:t>对于建设、监理等单位提供给评审中心作为财政投资项目的评审资料，如有虚假成份的，一经查实报有关单位予以通报批评，涉及违法行为的，移交司法机关处理。</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第三十一条</w:t>
      </w:r>
      <w:r>
        <w:rPr>
          <w:rFonts w:hint="eastAsia" w:ascii="仿宋_GB2312" w:hAnsi="Arial" w:eastAsia="仿宋_GB2312" w:cs="Arial"/>
          <w:color w:val="000000"/>
          <w:kern w:val="0"/>
          <w:sz w:val="32"/>
          <w:szCs w:val="32"/>
        </w:rPr>
        <w:t xml:space="preserve">  财政投资评审过程中发现建设单位或个人存在违反法规行为的，由区政府按有关规定予以处理；触犯刑法的，移交司法机关处理。</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b/>
          <w:bCs/>
          <w:color w:val="000000"/>
          <w:kern w:val="0"/>
          <w:sz w:val="32"/>
          <w:szCs w:val="32"/>
        </w:rPr>
        <w:t>第三十二条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000000"/>
          <w:kern w:val="0"/>
          <w:sz w:val="32"/>
          <w:szCs w:val="32"/>
        </w:rPr>
        <w:t>评审中心工作人员应廉洁自律，奉公守法。因重大过失或故意提供不实或内容虚假的评审报告（评审意见）的，应承担相应经济或法律责任。</w:t>
      </w:r>
      <w:r>
        <w:rPr>
          <w:rFonts w:hint="eastAsia" w:ascii="仿宋_GB2312" w:hAnsi="Arial" w:eastAsia="仿宋_GB2312" w:cs="Arial"/>
          <w:color w:val="000000"/>
          <w:kern w:val="0"/>
          <w:sz w:val="32"/>
        </w:rPr>
        <w:t> </w:t>
      </w:r>
      <w:r>
        <w:rPr>
          <w:rFonts w:hint="eastAsia" w:ascii="仿宋_GB2312" w:hAnsi="Arial" w:eastAsia="仿宋_GB2312" w:cs="Arial"/>
          <w:b/>
          <w:bCs/>
          <w:color w:val="000000"/>
          <w:kern w:val="0"/>
          <w:sz w:val="32"/>
          <w:szCs w:val="32"/>
        </w:rPr>
        <w:t> </w:t>
      </w:r>
    </w:p>
    <w:p>
      <w:pPr>
        <w:widowControl/>
        <w:shd w:val="clear" w:color="auto" w:fill="FFFFFF"/>
        <w:spacing w:line="560" w:lineRule="exact"/>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 </w:t>
      </w:r>
    </w:p>
    <w:p>
      <w:pPr>
        <w:widowControl/>
        <w:shd w:val="clear" w:color="auto" w:fill="FFFFFF"/>
        <w:spacing w:line="560" w:lineRule="exact"/>
        <w:contextualSpacing/>
        <w:jc w:val="center"/>
        <w:rPr>
          <w:rFonts w:ascii="Arial" w:hAnsi="Arial" w:cs="Arial"/>
          <w:color w:val="333333"/>
          <w:kern w:val="0"/>
          <w:sz w:val="15"/>
          <w:szCs w:val="15"/>
        </w:rPr>
      </w:pPr>
      <w:r>
        <w:rPr>
          <w:rFonts w:hint="eastAsia" w:ascii="黑体" w:hAnsi="Arial" w:eastAsia="黑体" w:cs="Arial"/>
          <w:bCs/>
          <w:color w:val="000000"/>
          <w:kern w:val="0"/>
          <w:sz w:val="32"/>
          <w:szCs w:val="32"/>
        </w:rPr>
        <w:t>第七章</w:t>
      </w:r>
      <w:r>
        <w:rPr>
          <w:rFonts w:hint="eastAsia" w:ascii="黑体" w:hAnsi="Arial" w:eastAsia="黑体" w:cs="Arial"/>
          <w:bCs/>
          <w:color w:val="000000"/>
          <w:kern w:val="0"/>
          <w:sz w:val="32"/>
        </w:rPr>
        <w:t> </w:t>
      </w:r>
      <w:r>
        <w:rPr>
          <w:rFonts w:hint="eastAsia" w:ascii="黑体" w:hAnsi="Arial" w:eastAsia="黑体" w:cs="Arial"/>
          <w:bCs/>
          <w:color w:val="000000"/>
          <w:kern w:val="0"/>
          <w:sz w:val="32"/>
          <w:szCs w:val="32"/>
        </w:rPr>
        <w:t> 附则</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b/>
          <w:bCs/>
          <w:color w:val="000000"/>
          <w:kern w:val="0"/>
          <w:sz w:val="32"/>
          <w:szCs w:val="32"/>
        </w:rPr>
        <w:t> </w:t>
      </w:r>
    </w:p>
    <w:p>
      <w:pPr>
        <w:pStyle w:val="17"/>
        <w:widowControl/>
        <w:numPr>
          <w:ins w:id="0" w:author="谢灵娇" w:date="2017-02-22T10:13:00Z"/>
        </w:numPr>
        <w:shd w:val="clear" w:color="auto" w:fill="FFFFFF"/>
        <w:spacing w:line="560" w:lineRule="exact"/>
        <w:ind w:firstLine="643" w:firstLineChars="200"/>
        <w:contextualSpacing/>
        <w:rPr>
          <w:rFonts w:hint="eastAsia" w:ascii="仿宋_GB2312" w:hAnsi="仿宋" w:eastAsia="仿宋_GB2312"/>
          <w:color w:val="000000"/>
          <w:sz w:val="32"/>
          <w:szCs w:val="32"/>
        </w:rPr>
      </w:pPr>
      <w:r>
        <w:rPr>
          <w:rFonts w:hint="eastAsia" w:ascii="仿宋_GB2312" w:hAnsi="Arial" w:eastAsia="仿宋_GB2312" w:cs="Arial"/>
          <w:b/>
          <w:bCs/>
          <w:color w:val="000000"/>
          <w:kern w:val="0"/>
          <w:sz w:val="32"/>
          <w:szCs w:val="32"/>
        </w:rPr>
        <w:t>第三十三条</w:t>
      </w:r>
      <w:r>
        <w:rPr>
          <w:rFonts w:hint="eastAsia" w:ascii="仿宋_GB2312" w:hAnsi="Arial" w:eastAsia="仿宋_GB2312" w:cs="Arial"/>
          <w:color w:val="000000"/>
          <w:kern w:val="0"/>
          <w:sz w:val="32"/>
          <w:szCs w:val="32"/>
        </w:rPr>
        <w:t xml:space="preserve">  总投资小于（含等于）10万元以下的财政性资金投资项目（区发展改革部门不予立项，列入部门预算管理的小额建设、维护、修缮等项目），由建设单位委托有资质的造价咨询企业进行预算编制、结算核对，</w:t>
      </w:r>
      <w:r>
        <w:rPr>
          <w:rFonts w:hint="eastAsia" w:ascii="仿宋_GB2312" w:hAnsi="仿宋" w:eastAsia="仿宋_GB2312"/>
          <w:color w:val="000000"/>
          <w:sz w:val="32"/>
          <w:szCs w:val="32"/>
        </w:rPr>
        <w:t>并将工程结算核对结果报评审中心进行审查、备案，区评审中心每</w:t>
      </w:r>
      <w:r>
        <w:rPr>
          <w:rFonts w:hint="eastAsia" w:ascii="仿宋_GB2312" w:hAnsi="仿宋" w:eastAsia="仿宋_GB2312"/>
          <w:color w:val="0C0C0C"/>
          <w:sz w:val="32"/>
          <w:szCs w:val="32"/>
        </w:rPr>
        <w:t>半年</w:t>
      </w:r>
      <w:r>
        <w:rPr>
          <w:rFonts w:hint="eastAsia" w:ascii="仿宋_GB2312" w:hAnsi="仿宋" w:eastAsia="仿宋_GB2312"/>
          <w:color w:val="000000"/>
          <w:sz w:val="32"/>
          <w:szCs w:val="32"/>
        </w:rPr>
        <w:t>按备案统计项目个数的10%抽查复核。</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第三十四条</w:t>
      </w:r>
      <w:r>
        <w:rPr>
          <w:rFonts w:hint="eastAsia" w:ascii="仿宋_GB2312" w:hAnsi="Arial" w:eastAsia="仿宋_GB2312" w:cs="Arial"/>
          <w:color w:val="000000"/>
          <w:kern w:val="0"/>
          <w:sz w:val="32"/>
          <w:szCs w:val="32"/>
        </w:rPr>
        <w:t xml:space="preserve">  征地拆迁费用、规划项目费用，无需评审中心评审。</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color w:val="000000"/>
          <w:kern w:val="0"/>
          <w:sz w:val="32"/>
          <w:szCs w:val="32"/>
        </w:rPr>
        <w:t>（一）征地拆迁费用由职能部门委托有资质的评估机构进行评估；</w:t>
      </w:r>
    </w:p>
    <w:p>
      <w:pPr>
        <w:widowControl/>
        <w:shd w:val="clear" w:color="auto" w:fill="FFFFFF"/>
        <w:spacing w:line="560" w:lineRule="exact"/>
        <w:ind w:firstLine="640"/>
        <w:contextualSpacing/>
        <w:rPr>
          <w:rFonts w:ascii="Arial" w:hAnsi="Arial" w:cs="Arial"/>
          <w:color w:val="333333"/>
          <w:kern w:val="0"/>
          <w:sz w:val="15"/>
          <w:szCs w:val="15"/>
        </w:rPr>
      </w:pPr>
      <w:r>
        <w:rPr>
          <w:rFonts w:hint="eastAsia" w:ascii="仿宋_GB2312" w:hAnsi="Arial" w:eastAsia="仿宋_GB2312" w:cs="Arial"/>
          <w:color w:val="000000"/>
          <w:kern w:val="0"/>
          <w:sz w:val="32"/>
          <w:szCs w:val="32"/>
        </w:rPr>
        <w:t>（二）规划费用由实施单位依据部门预算自行组织实施。</w:t>
      </w:r>
    </w:p>
    <w:p>
      <w:pPr>
        <w:widowControl/>
        <w:shd w:val="clear" w:color="auto" w:fill="FFFFFF"/>
        <w:spacing w:line="560" w:lineRule="exact"/>
        <w:contextualSpacing/>
        <w:rPr>
          <w:rFonts w:ascii="Arial" w:hAnsi="Arial" w:cs="Arial"/>
          <w:color w:val="333333"/>
          <w:kern w:val="0"/>
          <w:sz w:val="15"/>
          <w:szCs w:val="15"/>
        </w:rPr>
      </w:pPr>
      <w:r>
        <w:rPr>
          <w:rFonts w:hint="eastAsia" w:ascii="仿宋_GB2312" w:hAnsi="Arial" w:eastAsia="仿宋_GB2312" w:cs="Arial"/>
          <w:b/>
          <w:bCs/>
          <w:color w:val="000000"/>
          <w:kern w:val="0"/>
          <w:sz w:val="32"/>
          <w:szCs w:val="32"/>
        </w:rPr>
        <w:t>      第三十五条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000000"/>
          <w:kern w:val="0"/>
          <w:sz w:val="32"/>
          <w:szCs w:val="32"/>
        </w:rPr>
        <w:t>已经进行施工或已施工完毕的工程项目，原则上不再进行预算评审。</w:t>
      </w:r>
    </w:p>
    <w:p>
      <w:pPr>
        <w:widowControl/>
        <w:shd w:val="clear" w:color="auto" w:fill="FFFFFF"/>
        <w:spacing w:line="560" w:lineRule="exact"/>
        <w:ind w:firstLine="640"/>
        <w:contextualSpacing/>
        <w:rPr>
          <w:rFonts w:hint="eastAsia" w:ascii="Arial" w:hAnsi="Arial" w:cs="Arial"/>
          <w:color w:val="333333"/>
          <w:kern w:val="0"/>
          <w:sz w:val="15"/>
          <w:szCs w:val="15"/>
        </w:rPr>
      </w:pPr>
      <w:r>
        <w:rPr>
          <w:rFonts w:hint="eastAsia" w:ascii="仿宋_GB2312" w:hAnsi="Arial" w:eastAsia="仿宋_GB2312" w:cs="Arial"/>
          <w:b/>
          <w:bCs/>
          <w:color w:val="000000"/>
          <w:kern w:val="0"/>
          <w:sz w:val="32"/>
          <w:szCs w:val="32"/>
        </w:rPr>
        <w:t>第三十六条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000000"/>
          <w:kern w:val="0"/>
          <w:sz w:val="32"/>
          <w:szCs w:val="32"/>
        </w:rPr>
        <w:t>本办法由区政府投资项目评审中心负责解释。</w:t>
      </w: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r>
        <w:rPr>
          <w:rFonts w:hint="eastAsia" w:ascii="仿宋_GB2312" w:hAnsi="Arial" w:eastAsia="仿宋_GB2312" w:cs="Arial"/>
          <w:b/>
          <w:bCs/>
          <w:color w:val="000000"/>
          <w:kern w:val="0"/>
          <w:sz w:val="32"/>
          <w:szCs w:val="32"/>
        </w:rPr>
        <w:t>第三十七条</w:t>
      </w:r>
      <w:r>
        <w:rPr>
          <w:rFonts w:hint="eastAsia" w:ascii="仿宋_GB2312" w:hAnsi="Arial" w:eastAsia="仿宋_GB2312" w:cs="Arial"/>
          <w:b/>
          <w:bCs/>
          <w:color w:val="000000"/>
          <w:kern w:val="0"/>
          <w:sz w:val="32"/>
        </w:rPr>
        <w:t xml:space="preserve">  </w:t>
      </w:r>
      <w:r>
        <w:rPr>
          <w:rFonts w:hint="eastAsia" w:ascii="仿宋_GB2312" w:hAnsi="Arial" w:eastAsia="仿宋_GB2312" w:cs="Arial"/>
          <w:color w:val="000000"/>
          <w:kern w:val="0"/>
          <w:sz w:val="32"/>
          <w:szCs w:val="32"/>
        </w:rPr>
        <w:t>本办法自发布之日起施行，试行期2年。有关政策法律依据变化或者有效期届满，根据实施情况依法评估修订。区政府印发的《韶关市浈江区人民政府关于进一步优化区级财政投资项目评审工作有关事项的通知》（韶浈府办〔2016〕33号）同时废止。</w:t>
      </w: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widowControl/>
        <w:shd w:val="clear" w:color="auto" w:fill="FFFFFF"/>
        <w:spacing w:line="560" w:lineRule="exact"/>
        <w:contextualSpacing/>
        <w:rPr>
          <w:rFonts w:hint="eastAsia" w:ascii="仿宋_GB2312" w:hAnsi="Arial" w:eastAsia="仿宋_GB2312" w:cs="Arial"/>
          <w:color w:val="000000"/>
          <w:kern w:val="0"/>
          <w:sz w:val="32"/>
          <w:szCs w:val="32"/>
        </w:rPr>
      </w:pP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widowControl/>
        <w:shd w:val="clear" w:color="auto" w:fill="FFFFFF"/>
        <w:spacing w:line="560" w:lineRule="exact"/>
        <w:ind w:firstLine="640"/>
        <w:contextualSpacing/>
        <w:rPr>
          <w:rFonts w:hint="eastAsia" w:ascii="仿宋_GB2312" w:hAnsi="Arial" w:eastAsia="仿宋_GB2312" w:cs="Arial"/>
          <w:color w:val="000000"/>
          <w:kern w:val="0"/>
          <w:sz w:val="32"/>
          <w:szCs w:val="32"/>
        </w:rPr>
      </w:pPr>
    </w:p>
    <w:p>
      <w:pPr>
        <w:spacing w:line="580" w:lineRule="exact"/>
        <w:rPr>
          <w:rFonts w:hint="eastAsia"/>
          <w:szCs w:val="32"/>
        </w:rPr>
      </w:pPr>
    </w:p>
    <w:p>
      <w:pPr>
        <w:pStyle w:val="19"/>
        <w:pBdr>
          <w:top w:val="single" w:color="auto" w:sz="4" w:space="1"/>
          <w:bottom w:val="single" w:color="auto" w:sz="4" w:space="1"/>
        </w:pBdr>
        <w:spacing w:line="58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eastAsia="zh-CN"/>
        </w:rPr>
        <w:t>区委办、区人大办、区政协办，区委各部、委、办、局</w:t>
      </w:r>
      <w:r>
        <w:rPr>
          <w:rFonts w:hint="eastAsia" w:ascii="仿宋_GB2312" w:hAnsi="仿宋_GB2312" w:eastAsia="仿宋_GB2312" w:cs="仿宋_GB2312"/>
          <w:sz w:val="28"/>
          <w:szCs w:val="28"/>
        </w:rPr>
        <w:t>。</w:t>
      </w:r>
    </w:p>
    <w:p>
      <w:pPr>
        <w:pStyle w:val="19"/>
        <w:pBdr>
          <w:bottom w:val="single" w:color="auto" w:sz="4" w:space="1"/>
        </w:pBdr>
        <w:spacing w:line="580" w:lineRule="exact"/>
        <w:ind w:firstLine="280" w:firstLineChars="1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韶关市浈江区人民政府办公室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sectPr>
      <w:footerReference r:id="rId3" w:type="default"/>
      <w:pgSz w:w="11906" w:h="16838"/>
      <w:pgMar w:top="2120" w:right="1519" w:bottom="2347"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方正大标宋简体">
    <w:altName w:val="微软雅黑"/>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BatangChe" w:hAnsi="BatangChe"/>
        <w:sz w:val="28"/>
        <w:szCs w:val="28"/>
      </w:rPr>
    </w:pPr>
    <w:r>
      <w:rPr>
        <w:rFonts w:hint="eastAsia" w:ascii="BatangChe" w:hAnsi="BatangChe"/>
        <w:sz w:val="28"/>
        <w:szCs w:val="28"/>
      </w:rPr>
      <w:t xml:space="preserve">- </w:t>
    </w:r>
    <w:r>
      <w:rPr>
        <w:rFonts w:ascii="BatangChe" w:hAnsi="BatangChe" w:eastAsia="BatangChe"/>
        <w:sz w:val="28"/>
        <w:szCs w:val="28"/>
      </w:rPr>
      <w:fldChar w:fldCharType="begin"/>
    </w:r>
    <w:r>
      <w:rPr>
        <w:rFonts w:ascii="BatangChe" w:hAnsi="BatangChe" w:eastAsia="BatangChe"/>
        <w:sz w:val="28"/>
        <w:szCs w:val="28"/>
      </w:rPr>
      <w:instrText xml:space="preserve"> PAGE   \* MERGEFORMAT </w:instrText>
    </w:r>
    <w:r>
      <w:rPr>
        <w:rFonts w:ascii="BatangChe" w:hAnsi="BatangChe" w:eastAsia="BatangChe"/>
        <w:sz w:val="28"/>
        <w:szCs w:val="28"/>
      </w:rPr>
      <w:fldChar w:fldCharType="separate"/>
    </w:r>
    <w:r>
      <w:rPr>
        <w:rFonts w:ascii="BatangChe" w:hAnsi="BatangChe" w:eastAsia="BatangChe"/>
        <w:sz w:val="28"/>
        <w:szCs w:val="28"/>
        <w:lang w:val="zh-CN"/>
      </w:rPr>
      <w:t>1</w:t>
    </w:r>
    <w:r>
      <w:rPr>
        <w:rFonts w:ascii="BatangChe" w:hAnsi="BatangChe" w:eastAsia="BatangChe"/>
        <w:sz w:val="28"/>
        <w:szCs w:val="28"/>
      </w:rPr>
      <w:fldChar w:fldCharType="end"/>
    </w:r>
    <w:r>
      <w:rPr>
        <w:rFonts w:hint="eastAsia" w:ascii="BatangChe" w:hAnsi="BatangChe"/>
        <w:sz w:val="28"/>
        <w:szCs w:val="28"/>
      </w:rPr>
      <w:t xml:space="preserve"> -</w:t>
    </w:r>
  </w:p>
  <w:p>
    <w:pPr>
      <w:pStyle w:val="7"/>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灵娇">
    <w15:presenceInfo w15:providerId="None" w15:userId="谢灵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9AF"/>
    <w:rsid w:val="00035B6E"/>
    <w:rsid w:val="000D75BD"/>
    <w:rsid w:val="000E26C1"/>
    <w:rsid w:val="00143CA1"/>
    <w:rsid w:val="001925A7"/>
    <w:rsid w:val="001A0FB3"/>
    <w:rsid w:val="00286DA2"/>
    <w:rsid w:val="002F3602"/>
    <w:rsid w:val="00423D07"/>
    <w:rsid w:val="00445F05"/>
    <w:rsid w:val="004E6A09"/>
    <w:rsid w:val="004F4017"/>
    <w:rsid w:val="00547AB2"/>
    <w:rsid w:val="00577B12"/>
    <w:rsid w:val="005B6614"/>
    <w:rsid w:val="006A59AF"/>
    <w:rsid w:val="00871532"/>
    <w:rsid w:val="00A126C7"/>
    <w:rsid w:val="00A21E12"/>
    <w:rsid w:val="00A3403D"/>
    <w:rsid w:val="00A34C3F"/>
    <w:rsid w:val="00A6551D"/>
    <w:rsid w:val="00B27C14"/>
    <w:rsid w:val="00CD3FA7"/>
    <w:rsid w:val="00D624F6"/>
    <w:rsid w:val="00EA64D1"/>
    <w:rsid w:val="00F21E23"/>
    <w:rsid w:val="02B168C2"/>
    <w:rsid w:val="057605A2"/>
    <w:rsid w:val="08D01D21"/>
    <w:rsid w:val="0B6F28A9"/>
    <w:rsid w:val="0EAD4C01"/>
    <w:rsid w:val="17CC3B72"/>
    <w:rsid w:val="18E26227"/>
    <w:rsid w:val="1E1667C3"/>
    <w:rsid w:val="1E6746EF"/>
    <w:rsid w:val="1ED4597A"/>
    <w:rsid w:val="209552C7"/>
    <w:rsid w:val="21AC52E9"/>
    <w:rsid w:val="27B454BC"/>
    <w:rsid w:val="29A568FD"/>
    <w:rsid w:val="2D395D65"/>
    <w:rsid w:val="2D75342E"/>
    <w:rsid w:val="2F225E9D"/>
    <w:rsid w:val="35AA10C6"/>
    <w:rsid w:val="3662601B"/>
    <w:rsid w:val="39437933"/>
    <w:rsid w:val="3DDC1508"/>
    <w:rsid w:val="43872480"/>
    <w:rsid w:val="43EE312A"/>
    <w:rsid w:val="44DF25B6"/>
    <w:rsid w:val="450F35A8"/>
    <w:rsid w:val="49F970CB"/>
    <w:rsid w:val="4DFB5795"/>
    <w:rsid w:val="4E0D3AF4"/>
    <w:rsid w:val="51A4498D"/>
    <w:rsid w:val="51FF0E2C"/>
    <w:rsid w:val="59F76D75"/>
    <w:rsid w:val="5E3F0FD6"/>
    <w:rsid w:val="612A4C7F"/>
    <w:rsid w:val="68083E56"/>
    <w:rsid w:val="6AA84FCA"/>
    <w:rsid w:val="72247247"/>
    <w:rsid w:val="72536FF8"/>
    <w:rsid w:val="743555D1"/>
    <w:rsid w:val="779B29EA"/>
    <w:rsid w:val="7BC30F43"/>
    <w:rsid w:val="7C047847"/>
    <w:rsid w:val="7C3935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4"/>
    <w:basedOn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3">
    <w:name w:val="heading 6"/>
    <w:basedOn w:val="1"/>
    <w:qFormat/>
    <w:uiPriority w:val="0"/>
    <w:pPr>
      <w:widowControl/>
      <w:spacing w:before="100" w:beforeAutospacing="1" w:after="100" w:afterAutospacing="1"/>
      <w:jc w:val="left"/>
      <w:outlineLvl w:val="5"/>
    </w:pPr>
    <w:rPr>
      <w:rFonts w:ascii="宋体" w:hAnsi="宋体" w:cs="宋体"/>
      <w:b/>
      <w:bCs/>
      <w:kern w:val="0"/>
      <w:sz w:val="15"/>
      <w:szCs w:val="15"/>
    </w:rPr>
  </w:style>
  <w:style w:type="character" w:default="1" w:styleId="9">
    <w:name w:val="Default Paragraph Font"/>
    <w:link w:val="10"/>
    <w:semiHidden/>
    <w:uiPriority w:val="0"/>
  </w:style>
  <w:style w:type="table" w:default="1" w:styleId="15">
    <w:name w:val="Normal Table"/>
    <w:semiHidden/>
    <w:uiPriority w:val="0"/>
    <w:tblPr>
      <w:tblStyle w:val="15"/>
      <w:tblLayout w:type="fixed"/>
      <w:tblCellMar>
        <w:top w:w="0" w:type="dxa"/>
        <w:left w:w="108" w:type="dxa"/>
        <w:bottom w:w="0" w:type="dxa"/>
        <w:right w:w="108" w:type="dxa"/>
      </w:tblCellMar>
    </w:tblPr>
  </w:style>
  <w:style w:type="paragraph" w:styleId="4">
    <w:name w:val="annotation subject"/>
    <w:basedOn w:val="5"/>
    <w:next w:val="5"/>
    <w:semiHidden/>
    <w:uiPriority w:val="0"/>
    <w:rPr>
      <w:b/>
      <w:bCs/>
    </w:rPr>
  </w:style>
  <w:style w:type="paragraph" w:styleId="5">
    <w:name w:val="annotation text"/>
    <w:basedOn w:val="1"/>
    <w:semiHidden/>
    <w:uiPriority w:val="0"/>
    <w:pPr>
      <w:jc w:val="left"/>
    </w:pPr>
  </w:style>
  <w:style w:type="paragraph" w:styleId="6">
    <w:name w:val="Balloon Text"/>
    <w:basedOn w:val="1"/>
    <w:semiHidden/>
    <w:uiPriority w:val="0"/>
    <w:rPr>
      <w:sz w:val="18"/>
      <w:szCs w:val="18"/>
    </w:rPr>
  </w:style>
  <w:style w:type="paragraph" w:styleId="7">
    <w:name w:val="footer"/>
    <w:basedOn w:val="1"/>
    <w:link w:val="21"/>
    <w:uiPriority w:val="99"/>
    <w:pPr>
      <w:tabs>
        <w:tab w:val="center" w:pos="4153"/>
        <w:tab w:val="right" w:pos="8306"/>
      </w:tabs>
      <w:snapToGrid w:val="0"/>
      <w:jc w:val="left"/>
    </w:pPr>
    <w:rPr>
      <w:sz w:val="18"/>
      <w:szCs w:val="18"/>
    </w:rPr>
  </w:style>
  <w:style w:type="paragraph" w:styleId="8">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customStyle="1" w:styleId="10">
    <w:name w:val="Char Char Char Char Char Char1 Char"/>
    <w:basedOn w:val="11"/>
    <w:link w:val="9"/>
    <w:uiPriority w:val="0"/>
    <w:pPr>
      <w:widowControl/>
      <w:spacing w:after="160" w:afterLines="0" w:line="240" w:lineRule="exact"/>
      <w:jc w:val="left"/>
    </w:pPr>
  </w:style>
  <w:style w:type="paragraph" w:customStyle="1" w:styleId="11">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仿宋_GB2312"/>
      <w:kern w:val="2"/>
      <w:sz w:val="30"/>
      <w:szCs w:val="24"/>
      <w:lang w:val="en-US" w:eastAsia="zh-CN" w:bidi="ar-SA"/>
    </w:rPr>
  </w:style>
  <w:style w:type="character" w:styleId="12">
    <w:name w:val="page number"/>
    <w:basedOn w:val="9"/>
    <w:uiPriority w:val="0"/>
  </w:style>
  <w:style w:type="character" w:styleId="13">
    <w:name w:val="Hyperlink"/>
    <w:basedOn w:val="9"/>
    <w:uiPriority w:val="0"/>
    <w:rPr>
      <w:color w:val="0000FF"/>
      <w:u w:val="single"/>
    </w:rPr>
  </w:style>
  <w:style w:type="character" w:styleId="14">
    <w:name w:val="annotation reference"/>
    <w:basedOn w:val="9"/>
    <w:semiHidden/>
    <w:uiPriority w:val="0"/>
    <w:rPr>
      <w:sz w:val="21"/>
      <w:szCs w:val="21"/>
    </w:rPr>
  </w:style>
  <w:style w:type="paragraph" w:customStyle="1" w:styleId="16">
    <w:name w:val="18"/>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Normal"/>
    <w:basedOn w:val="1"/>
    <w:uiPriority w:val="0"/>
    <w:rPr>
      <w:szCs w:val="21"/>
    </w:rPr>
  </w:style>
  <w:style w:type="paragraph" w:customStyle="1" w:styleId="18">
    <w:name w:val="p"/>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正文 New"/>
    <w:uiPriority w:val="0"/>
    <w:pPr>
      <w:widowControl w:val="0"/>
      <w:jc w:val="both"/>
    </w:pPr>
    <w:rPr>
      <w:kern w:val="2"/>
      <w:sz w:val="21"/>
      <w:szCs w:val="24"/>
      <w:lang w:val="en-US" w:eastAsia="zh-CN" w:bidi="ar-SA"/>
    </w:rPr>
  </w:style>
  <w:style w:type="character" w:customStyle="1" w:styleId="20">
    <w:name w:val="apple-converted-space"/>
    <w:basedOn w:val="9"/>
    <w:uiPriority w:val="0"/>
  </w:style>
  <w:style w:type="character" w:customStyle="1" w:styleId="21">
    <w:name w:val="页脚 Char"/>
    <w:basedOn w:val="9"/>
    <w:link w:val="7"/>
    <w:uiPriority w:val="99"/>
    <w:rPr>
      <w:kern w:val="2"/>
      <w:sz w:val="18"/>
      <w:szCs w:val="18"/>
    </w:rPr>
  </w:style>
  <w:style w:type="character" w:customStyle="1" w:styleId="22">
    <w:name w:val="页眉 Char"/>
    <w:basedOn w:val="9"/>
    <w:link w:val="8"/>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1332</Words>
  <Characters>7599</Characters>
  <Lines>63</Lines>
  <Paragraphs>17</Paragraphs>
  <TotalTime>6</TotalTime>
  <ScaleCrop>false</ScaleCrop>
  <LinksUpToDate>false</LinksUpToDate>
  <CharactersWithSpaces>8914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2017-11-27T12:48:00Z</dcterms:created>
  <dc:creator>User</dc:creator>
  <cp:lastModifiedBy>Administrator</cp:lastModifiedBy>
  <cp:lastPrinted>2018-03-01T07:53:46Z</cp:lastPrinted>
  <dcterms:modified xsi:type="dcterms:W3CDTF">2019-01-25T08:42:54Z</dcterms:modified>
  <dc:title>于印发《韶关市市级财政性资金基本建设投资</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