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浈江区人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力资源和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color w:val="auto"/>
          <w:sz w:val="32"/>
          <w:szCs w:val="32"/>
          <w:lang w:val="en-US" w:eastAsia="zh-CN"/>
        </w:rPr>
        <w:t>2020年上半年，我局在区委区政府的正确领导下，始终坚持高举习近平新时代中国特色社会主义思想伟大旗帜，全面贯彻党的十九大和十九届二中、三中、四中全会精神，全面贯彻习近平总书记对广东重要讲话和重要指示批示精神，努力降低疫情对我区就业的影响，着力稳就业、促改革、惠民生、兜底线、防风险，推进我区人社事业高质量发展，为全面建成小康社会和“十三五”规划圆满收官作出积极贡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</w:rPr>
      </w:pPr>
      <w:r>
        <w:rPr>
          <w:rFonts w:hint="eastAsia" w:ascii="Times New Roman" w:hAnsi="Times New Roman" w:eastAsia="黑体" w:cs="Times New Roman"/>
          <w:color w:val="auto"/>
          <w:lang w:eastAsia="zh-CN"/>
        </w:rPr>
        <w:t>主要</w:t>
      </w:r>
      <w:r>
        <w:rPr>
          <w:rFonts w:hint="eastAsia" w:ascii="Times New Roman" w:hAnsi="Times New Roman" w:eastAsia="黑体" w:cs="Times New Roman"/>
          <w:color w:val="auto"/>
        </w:rPr>
        <w:t>工作及目标任务完成情况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2"/>
          <w:lang w:val="en-US" w:eastAsia="zh-CN"/>
        </w:rPr>
        <w:t>（一）</w:t>
      </w:r>
      <w:r>
        <w:rPr>
          <w:rFonts w:hint="default" w:ascii="黑体" w:hAnsi="黑体" w:eastAsia="黑体" w:cs="黑体"/>
          <w:color w:val="auto"/>
          <w:sz w:val="32"/>
          <w:szCs w:val="22"/>
          <w:lang w:val="en-US" w:eastAsia="zh-CN"/>
        </w:rPr>
        <w:t>多措并举稳就业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color w:val="auto"/>
          <w:sz w:val="32"/>
          <w:szCs w:val="32"/>
          <w:lang w:val="en-US" w:eastAsia="zh-CN"/>
        </w:rPr>
        <w:t>1.受疫情影响，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截至2020年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月3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日，我区完成城镇新增就业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1550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人，为预下达指标3300人的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46.96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%；城镇失业人员再就业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1258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人，为预下达指标2900人的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43.38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%；就业困难人员实现再就业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172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人，为预下达指标350人的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49.14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%；促进创业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人，为预下达指标190人的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50.00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%；城镇登记失业率2.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%，按预下达指标控制在3.5%以内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落实各项就业创业补贴政策。上半年，审核了2019年四季度的企业社保补贴，合计82人次，共计150174.13元；审核了2019年四季度的企业岗位补贴，合计81人次，共计159330元；审核了2019年下半年的灵活就业社保补贴，合计2492人次，共计3328253.97元;审核了2020年一季度高校毕业生基层就业岗位补贴，合计10人次，共计21150元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审核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2019年四季度、2020年一季度创业担保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贷款贴息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笔，共贴息金额：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3679.36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元；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审核了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一次性创业资助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笔，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共计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金额：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0000元；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审核了租金补贴1笔，金额4000元；审核了创业带动就业补贴5笔，共计金额62000元；审核了应届高校毕业生到基层就业补贴；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审核了个人技能晋升培训补贴107人次；审核了三期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育婴员培训班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213人的技能晋升培训补贴；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为各类人员累计发放《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就业创业证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》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829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本；认定就业困难人员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314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完成碧桂园智慧物业、韶关粤运公司等61家企业线上适岗培训备案，备案人数共8795人，备案人数排名全市第一。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公共就业服务，根据疫情形势，我局将线下招聘转为线上，上半年累计举办3场线上招聘会，共发布225家企业岗位信息，累计点击量约4500次；结合工信、发改、产业园等部门提供的企业缺工信息，积极通过微信公众号进行多次推送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结合入户排查工作和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二维码调查小程序等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，精准推送企业岗位信息，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提高公共就业服务工作效率和服务准确率，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引导外出务工人员就近就地就业，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累计解决企业用工缺口约500人。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宣传就业创业政策，助推企业降本增效。一是强化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宣传手段，积极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开展线上宣传工作，主动与企业联系，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引导企业及时、合规申请有关补贴，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减轻企业负担；二是深入企业开展“送政策、送资金、送技工”“三送”活动；三是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</w:t>
      </w:r>
      <w:r>
        <w:rPr>
          <w:rFonts w:hint="eastAsia" w:ascii="仿宋_GB2312" w:eastAsia="仿宋_GB2312"/>
          <w:sz w:val="32"/>
          <w:szCs w:val="32"/>
        </w:rPr>
        <w:t>“促进就业十条”政策宣讲活动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提高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政策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bidi="ar"/>
        </w:rPr>
        <w:t>知晓度，促进各项政策措施落地生效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2"/>
          <w:lang w:val="en-US" w:eastAsia="zh-CN"/>
        </w:rPr>
        <w:t>（二）扎实做好社会保障工作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2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上半年，</w:t>
      </w:r>
      <w:r>
        <w:rPr>
          <w:rFonts w:hint="eastAsia" w:ascii="仿宋_GB2312" w:eastAsia="仿宋_GB2312"/>
          <w:sz w:val="32"/>
          <w:szCs w:val="32"/>
          <w:lang w:eastAsia="zh-CN"/>
        </w:rPr>
        <w:t>我区</w:t>
      </w:r>
      <w:r>
        <w:rPr>
          <w:rFonts w:hint="eastAsia" w:ascii="仿宋_GB2312" w:eastAsia="仿宋_GB2312"/>
          <w:sz w:val="32"/>
          <w:szCs w:val="32"/>
        </w:rPr>
        <w:t>城乡居民养老保险参保</w:t>
      </w:r>
      <w:r>
        <w:rPr>
          <w:rFonts w:hint="eastAsia" w:ascii="仿宋_GB2312" w:eastAsia="仿宋_GB2312"/>
          <w:sz w:val="32"/>
          <w:szCs w:val="32"/>
          <w:lang w:eastAsia="zh-CN"/>
        </w:rPr>
        <w:t>人数为</w:t>
      </w:r>
      <w:r>
        <w:rPr>
          <w:rFonts w:hint="eastAsia" w:ascii="仿宋_GB2312" w:eastAsia="仿宋_GB2312"/>
          <w:sz w:val="32"/>
          <w:szCs w:val="32"/>
        </w:rPr>
        <w:t>42476人,缴费人数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2871人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；我区企业职工基本养老保险基金征缴收入为</w:t>
      </w:r>
      <w:r>
        <w:rPr>
          <w:rFonts w:hint="eastAsia" w:ascii="仿宋_GB2312" w:eastAsia="仿宋_GB2312"/>
          <w:sz w:val="32"/>
          <w:szCs w:val="32"/>
        </w:rPr>
        <w:t>21644.10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按步骤</w:t>
      </w:r>
      <w:r>
        <w:rPr>
          <w:rFonts w:hint="eastAsia" w:ascii="仿宋_GB2312" w:eastAsia="仿宋_GB2312"/>
          <w:sz w:val="32"/>
          <w:szCs w:val="32"/>
        </w:rPr>
        <w:t>开展新用地项目被征地农民养老保障组卷报批工作，目前正在进行社保审核意见书组卷报批的项目有2个，分别为06工程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市政路三期（2020年度第七批次城镇建设用地），已向业主单位发被征地农民养老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保障</w:t>
      </w:r>
      <w:r>
        <w:rPr>
          <w:rFonts w:hint="eastAsia" w:ascii="仿宋_GB2312" w:eastAsia="仿宋_GB2312"/>
          <w:sz w:val="32"/>
          <w:szCs w:val="32"/>
        </w:rPr>
        <w:t>资金催缴函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份，共计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3.96</w:t>
      </w:r>
      <w:r>
        <w:rPr>
          <w:rFonts w:hint="eastAsia" w:ascii="仿宋_GB2312" w:eastAsia="仿宋_GB2312"/>
          <w:sz w:val="32"/>
          <w:szCs w:val="32"/>
        </w:rPr>
        <w:t>万元，应保障被征地农民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2"/>
          <w:lang w:val="en-US" w:eastAsia="zh-CN"/>
        </w:rPr>
        <w:t>（三）积极构建和谐劳动关系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2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切实维护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劳动者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合法权益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2020年上半年，我局共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受理劳资纠纷投诉案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件，涉及人数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308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人，涉案金额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342.0956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万元；已结案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件，涉及人数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人，追回被拖欠劳动者工资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35.2842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1"/>
          <w:sz w:val="32"/>
          <w:szCs w:val="32"/>
          <w:lang w:val="en-US" w:eastAsia="zh-CN"/>
        </w:rPr>
        <w:t>办理完成督办案件2宗，移送公安2宗，其中一宗已结案（韶关市冠宇节能环保科技有限公司拖欠黄慧灿等3人工资共计54450元）。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2.不断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提升劳动人事争议仲裁的调解效能。截止到2020年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6月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，我局共处理劳动人事争议案件231宗，其中，今年立案受理的劳动人事争议案件141宗，不予受理28宗，上年度结转未结案件18宗,案外调解数44宗。案外调解中达成调解协议及和解44宗。当期审结案件数123宗，其中仲裁裁决47宗，仲裁调解76宗。法定期限内结案率100%，调解率达到72%，终局裁决率达64%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（四）人事、人才管理工作不断推进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人才引进工作循序渐进。截止上半年，我局完成了韶关市博士驿站（浈江片区）资料审核；配合教育局做好2020年教育公招相关工作；配合区卫健局做好2019年粤东西北事业单位公开招聘工作；配合组织部做好“丹霞英才”招聘工作，已完成2020年第一批丹霞英才招录人员上岗手续，现已进入第二期夏季招聘工作。</w:t>
      </w:r>
    </w:p>
    <w:p>
      <w:pPr>
        <w:spacing w:line="360" w:lineRule="auto"/>
        <w:ind w:firstLine="480" w:firstLineChars="1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2.完成事业单位管理各项工作。一是2020年上半年，机构改革后重新报设岗位设置单位共5个，均为增加编制单位；</w:t>
      </w:r>
      <w:r>
        <w:rPr>
          <w:rFonts w:hint="eastAsia" w:ascii="仿宋" w:hAnsi="仿宋" w:eastAsia="仿宋"/>
          <w:sz w:val="32"/>
          <w:szCs w:val="32"/>
        </w:rPr>
        <w:t>完成我区2019年度事业单位工作人员年度考核，参加考核共2873人，被评为优秀等次427人，占考核总人数的14.86%</w:t>
      </w:r>
      <w:r>
        <w:rPr>
          <w:rFonts w:hint="eastAsia" w:ascii="仿宋" w:hAnsi="仿宋" w:eastAsia="仿宋"/>
          <w:sz w:val="32"/>
          <w:szCs w:val="32"/>
          <w:lang w:eastAsia="zh-CN"/>
        </w:rPr>
        <w:t>；二是我局按时按质完成了上半年</w:t>
      </w:r>
      <w:r>
        <w:rPr>
          <w:rFonts w:hint="eastAsia" w:ascii="华文仿宋" w:hAnsi="华文仿宋" w:eastAsia="华文仿宋"/>
          <w:sz w:val="32"/>
          <w:szCs w:val="32"/>
        </w:rPr>
        <w:t>区内各事业单位</w:t>
      </w:r>
      <w:r>
        <w:rPr>
          <w:rFonts w:hint="eastAsia" w:ascii="仿宋" w:hAnsi="仿宋" w:eastAsia="仿宋"/>
          <w:sz w:val="32"/>
          <w:szCs w:val="32"/>
        </w:rPr>
        <w:t>工资福利相关审核业务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持续做好全区事业单位岗位聘任工作。2019年公开选聘教师13人，2019年公开招聘教师6人，2019年转业士官安置2人，2020年丹霞英才引进4人，其他事业单位调动4人，岗位晋升9人（其中：组织任命2人，专业技术岗位4人，管理岗位3人），2020年我区中小学教师岗位聘用共152人（其中：副高级55人，中级79人，初级48人），根据《区政府常务会议纪要》（九届54次）要求，均按照评聘实际人数通过即评即聘，从4月起执行办理聘用；我区卫健系统2020年专业技术小级别岗位聘用共85人（其中：六级1人，八级12人，九级34人，十一级38人），均按照《区政府常务会议纪要》（九届60次）要求，从2月起执行办理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（五）持续助力精准扶贫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开展就业扶贫助复工行动，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按照我区建档立卡贫困劳动力就业需求，建立了我区建档立卡贫困劳动力就业需求台账，制定了“一人一策”，根据其就业意愿开展就业精准帮扶，帮助其实现就业，夯实稳定脱贫基础。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积极配合区扶贫办做好新时期精准扶贫工作，以政府代缴养老保险费的方式，为我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1773名贫困人员参加2020年城乡居民基本养老保险（其中建档立卡贫困人员569人，低保人员526人，特困人员28人，重度、精神和智力残疾人650人）。目前已有923名60周岁以上贫困人员享受基本养老保险待遇（其中建档立卡贫困人员388人，低保人员144人，特困人员56人，重度、精神和智力残疾人335人）。重点跟进个别贫困人员未申请城乡养老待遇情况，确保符合待遇领取条件的贫困人员100%落实基本养老保险政策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二、存在的问题和不足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（一）被征地农民养老保障工作相关问题。截止到今年</w:t>
      </w:r>
      <w:r>
        <w:rPr>
          <w:rFonts w:hint="eastAsia" w:ascii="仿宋_GB2312" w:eastAsia="仿宋_GB2312"/>
          <w:sz w:val="32"/>
          <w:szCs w:val="32"/>
          <w:lang w:eastAsia="zh-CN"/>
        </w:rPr>
        <w:t>上半年</w:t>
      </w:r>
      <w:r>
        <w:rPr>
          <w:rFonts w:hint="eastAsia" w:ascii="仿宋_GB2312" w:eastAsia="仿宋_GB2312"/>
          <w:sz w:val="32"/>
          <w:szCs w:val="32"/>
        </w:rPr>
        <w:t>，我区有政府承诺三个月落实征地社保未落实的项目14个，共1079.1万元，未落实名单的共411.84万元，已落实名单的共459.36万元，未落实承诺将影响后续新用地项目的社保手续报批工作。此项有207.9万元缺少国土批复无法分配。工作需要镇政府和自然资源部门的配合，尤其是镇政府，只靠人社部门无法有力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2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因疫情影响，线下招聘会转为线上，部分可从事普工工作的年龄较大的劳动者，因较少使用微信等软件，缺乏获取岗位信息的渠道，加之南粤家政、粤菜师傅、企业新型学徒培训等工作也因疫情受阻，给实现就业带来了一定的影响，给工作任务的完成带来了难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（一）推进疫情期间的就业工作。</w:t>
      </w:r>
      <w:r>
        <w:rPr>
          <w:rFonts w:hint="eastAsia" w:ascii="仿宋_GB2312" w:eastAsia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继续开展公共就业服务工作，继续组织举办线上招聘活动，计划举办第4场线上招聘会，同时，在做好疫情防控的前提下，</w:t>
      </w:r>
      <w:r>
        <w:rPr>
          <w:rFonts w:hint="eastAsia" w:ascii="仿宋_GB2312" w:eastAsia="仿宋_GB2312"/>
          <w:sz w:val="32"/>
          <w:szCs w:val="32"/>
        </w:rPr>
        <w:t>组织几家企业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深入镇、村</w:t>
      </w:r>
      <w:r>
        <w:rPr>
          <w:rFonts w:hint="eastAsia" w:ascii="仿宋_GB2312" w:eastAsia="仿宋_GB2312"/>
          <w:sz w:val="32"/>
          <w:szCs w:val="32"/>
        </w:rPr>
        <w:t>举办小规模招聘会,引导劳动者实现就业，缓解企业用工需求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利用公共就业基层服务平台、微信公众号等线上传播平台和流动广播到乡镇、社区加强岗位信息推送、宣传工作</w:t>
      </w:r>
      <w:r>
        <w:rPr>
          <w:rFonts w:hint="eastAsia" w:ascii="仿宋_GB2312" w:eastAsia="仿宋_GB2312"/>
          <w:sz w:val="32"/>
          <w:szCs w:val="32"/>
          <w:lang w:eastAsia="zh-CN"/>
        </w:rPr>
        <w:t>；二是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继续开展就业创业政策宣传工作，通过深入企业园区、召开政策宣讲、座谈会等形式宣传《韶关市进一步稳定和促进就业若干政策措施》（韶府〔2020〕7号）等优惠政策，减轻企业负担。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做好各项社会保障工作。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" w:eastAsia="仿宋_GB2312"/>
          <w:sz w:val="32"/>
          <w:szCs w:val="32"/>
        </w:rPr>
        <w:t>被征地农民养老保障工作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确保征地农民养老保险落实到个人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做好新征地项目社保手续组卷报批工作，保证我区新用地项目顺利报批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" w:eastAsia="仿宋_GB2312"/>
          <w:sz w:val="32"/>
          <w:szCs w:val="32"/>
        </w:rPr>
        <w:t>继续推进我区的机关事业单位养老保险改革工作，协调各部门解决机关保和职业年金中遇到的问题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尽快启动视同缴费核定工作和企业职工养老保险退费</w:t>
      </w:r>
      <w:r>
        <w:rPr>
          <w:rFonts w:hint="eastAsia" w:ascii="仿宋_GB2312" w:eastAsia="仿宋_GB2312"/>
          <w:color w:val="000000"/>
          <w:sz w:val="32"/>
          <w:szCs w:val="32"/>
        </w:rPr>
        <w:t>工作，为下一步新老办法的启动工作做好准备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" w:eastAsia="仿宋_GB2312"/>
          <w:sz w:val="32"/>
          <w:szCs w:val="32"/>
        </w:rPr>
        <w:t>普及社会保险相关知识，加大宣传力度，扩大社会保险覆盖面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继续做好职工和城乡居民养老保险扩面和待遇支付工作，加快推进城乡养老保险镇级经办，切实解决服务群众“最后一公里”问题。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（三）保持劳动关系和谐稳定。一是</w:t>
      </w:r>
      <w:r>
        <w:rPr>
          <w:rFonts w:hint="eastAsia" w:ascii="仿宋_GB2312" w:hAnsi="仿宋" w:eastAsia="仿宋_GB2312"/>
          <w:sz w:val="32"/>
          <w:szCs w:val="32"/>
        </w:rPr>
        <w:t>加大劳动法规的宣传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监察巡察力度，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加强与各部门的协调配合力度，分解落实工作任务，</w:t>
      </w:r>
      <w:r>
        <w:rPr>
          <w:rFonts w:hint="eastAsia" w:ascii="仿宋_GB2312" w:hAnsi="仿宋" w:eastAsia="仿宋_GB2312"/>
          <w:sz w:val="32"/>
          <w:szCs w:val="32"/>
        </w:rPr>
        <w:t>严厉打击违法行为，严格依照监察执法程序办案，健全举报投诉工作机制，妥善处置因拖欠农民工工资引发的群体性事件。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继续推进我局仲裁院</w:t>
      </w:r>
      <w:r>
        <w:rPr>
          <w:rFonts w:hint="eastAsia" w:ascii="仿宋_GB2312" w:hAnsi="仿宋" w:eastAsia="仿宋_GB2312"/>
          <w:sz w:val="32"/>
          <w:szCs w:val="32"/>
        </w:rPr>
        <w:t>与劳动保障综合执法大队间的沟通协调工作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机制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/>
          <w:sz w:val="32"/>
          <w:szCs w:val="32"/>
        </w:rPr>
        <w:t>两部门轮流牵头，定期召开业务碰头会，就工作中遇到的有代表性的案件、疑难案件、业务知识、案件受理范围等内容进行深入探讨，以提升双方的办案技巧及业务能力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（四）完善人事管理制度，做好各项人才工作。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/>
          <w:sz w:val="32"/>
          <w:szCs w:val="32"/>
        </w:rPr>
        <w:t>继续做好机构改革后我区事业单位岗位设置审核及人员聘用工作，做好2020年教育系统，卫健系统小级别岗位聘用审核工作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；二是</w:t>
      </w:r>
      <w:r>
        <w:rPr>
          <w:rFonts w:hint="eastAsia" w:ascii="仿宋" w:hAnsi="仿宋" w:eastAsia="仿宋"/>
          <w:sz w:val="32"/>
          <w:szCs w:val="32"/>
        </w:rPr>
        <w:t>配合人区教育局做好2020年教师招聘工作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,配合区委组织部做好丹霞英才招聘工作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三是做好广东省事业单位集中考试工作。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韶关市浈江区人力资源和社会保障局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2020年7月6日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2F24"/>
    <w:multiLevelType w:val="singleLevel"/>
    <w:tmpl w:val="4ED82F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00DEB"/>
    <w:rsid w:val="0D400DEB"/>
    <w:rsid w:val="10706A91"/>
    <w:rsid w:val="13DA3E1F"/>
    <w:rsid w:val="3AC65780"/>
    <w:rsid w:val="4AAA3556"/>
    <w:rsid w:val="62295DB7"/>
    <w:rsid w:val="6E2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2020-06-28T02:40:00Z</dcterms:created>
  <dc:creator>?????</dc:creator>
  <cp:lastModifiedBy>Administrator</cp:lastModifiedBy>
  <dcterms:modified xsi:type="dcterms:W3CDTF">2020-07-09T08:17:35Z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