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37012">
      <w:pPr>
        <w:keepNext w:val="0"/>
        <w:keepLines w:val="0"/>
        <w:pageBreakBefore w:val="0"/>
        <w:widowControl/>
        <w:shd w:val="clear"/>
        <w:kinsoku/>
        <w:wordWrap/>
        <w:overflowPunct/>
        <w:topLinePunct w:val="0"/>
        <w:autoSpaceDE w:val="0"/>
        <w:autoSpaceDN w:val="0"/>
        <w:bidi w:val="0"/>
        <w:adjustRightInd w:val="0"/>
        <w:snapToGrid w:val="0"/>
        <w:spacing w:before="0" w:line="240" w:lineRule="auto"/>
        <w:ind w:firstLine="0" w:firstLineChars="0"/>
        <w:jc w:val="both"/>
        <w:textAlignment w:val="baseline"/>
        <w:outlineLvl w:val="0"/>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pPr>
      <w:bookmarkStart w:id="0" w:name="_Toc3983"/>
      <w:bookmarkStart w:id="1" w:name="_Toc23928"/>
      <w:bookmarkStart w:id="2" w:name="_Toc16494"/>
      <w:bookmarkStart w:id="3" w:name="_Toc17192"/>
      <w:bookmarkStart w:id="4" w:name="_Toc213"/>
      <w:bookmarkStart w:id="5" w:name="_Toc4506"/>
      <w:bookmarkStart w:id="6" w:name="_Toc969"/>
      <w:bookmarkStart w:id="7" w:name="_Toc28111"/>
      <w:bookmarkStart w:id="8" w:name="_Toc32678"/>
      <w:bookmarkStart w:id="9" w:name="_Toc32213"/>
      <w:bookmarkStart w:id="10" w:name="_Toc18510"/>
      <w:bookmarkStart w:id="11" w:name="_Toc8482"/>
      <w:bookmarkStart w:id="12" w:name="_Toc28544"/>
      <w:bookmarkStart w:id="13" w:name="_Toc10426"/>
      <w:bookmarkStart w:id="14" w:name="_Toc12950"/>
      <w:bookmarkStart w:id="15" w:name="_Toc19064"/>
      <w:bookmarkStart w:id="16" w:name="_Toc26242"/>
      <w:bookmarkStart w:id="17" w:name="_Toc23746"/>
      <w:bookmarkStart w:id="18" w:name="_Toc31062"/>
      <w:bookmarkStart w:id="19" w:name="_Toc12931"/>
      <w:bookmarkStart w:id="20" w:name="_Toc5385"/>
      <w:bookmarkStart w:id="21" w:name="_Toc24141"/>
      <w:bookmarkStart w:id="22" w:name="_Toc21783"/>
      <w:bookmarkStart w:id="23" w:name="_Toc9855"/>
      <w:bookmarkStart w:id="24" w:name="_Toc26779"/>
      <w:bookmarkStart w:id="25" w:name="_Toc23028"/>
      <w:bookmarkStart w:id="26" w:name="_Toc12678"/>
      <w:bookmarkStart w:id="27" w:name="_Toc32123"/>
      <w:bookmarkStart w:id="28" w:name="_Toc15300"/>
      <w:bookmarkStart w:id="29" w:name="_Toc12481"/>
      <w:bookmarkStart w:id="30" w:name="_Toc15444"/>
      <w:bookmarkStart w:id="31" w:name="_Toc20706"/>
      <w:bookmarkStart w:id="32" w:name="_Toc1156"/>
      <w:bookmarkStart w:id="33" w:name="_Toc7760"/>
      <w:bookmarkStart w:id="34" w:name="_Toc15440"/>
      <w:bookmarkStart w:id="35" w:name="_Toc29217"/>
      <w:bookmarkStart w:id="36" w:name="_Toc13255"/>
      <w:bookmarkStart w:id="37" w:name="_Toc4754"/>
      <w:bookmarkStart w:id="38" w:name="_Toc5473"/>
      <w:bookmarkStart w:id="39" w:name="_Toc28176"/>
      <w:bookmarkStart w:id="40" w:name="_Toc15901"/>
    </w:p>
    <w:p w14:paraId="6CF7ADF2">
      <w:pPr>
        <w:keepNext w:val="0"/>
        <w:keepLines w:val="0"/>
        <w:pageBreakBefore w:val="0"/>
        <w:widowControl/>
        <w:shd w:val="clear"/>
        <w:kinsoku/>
        <w:wordWrap/>
        <w:overflowPunct/>
        <w:topLinePunct w:val="0"/>
        <w:autoSpaceDE w:val="0"/>
        <w:autoSpaceDN w:val="0"/>
        <w:bidi w:val="0"/>
        <w:adjustRightInd w:val="0"/>
        <w:snapToGrid w:val="0"/>
        <w:spacing w:before="0" w:line="240" w:lineRule="auto"/>
        <w:ind w:firstLine="0" w:firstLineChars="0"/>
        <w:jc w:val="center"/>
        <w:textAlignment w:val="baseline"/>
        <w:outlineLvl w:val="0"/>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pPr>
    </w:p>
    <w:p w14:paraId="0F7E020D">
      <w:pPr>
        <w:keepNext w:val="0"/>
        <w:keepLines w:val="0"/>
        <w:pageBreakBefore w:val="0"/>
        <w:widowControl/>
        <w:shd w:val="clear"/>
        <w:kinsoku/>
        <w:wordWrap/>
        <w:overflowPunct/>
        <w:topLinePunct w:val="0"/>
        <w:autoSpaceDE w:val="0"/>
        <w:autoSpaceDN w:val="0"/>
        <w:bidi w:val="0"/>
        <w:adjustRightInd w:val="0"/>
        <w:snapToGrid w:val="0"/>
        <w:spacing w:before="0" w:line="240" w:lineRule="auto"/>
        <w:ind w:firstLine="0" w:firstLineChars="0"/>
        <w:jc w:val="center"/>
        <w:textAlignment w:val="baseline"/>
        <w:outlineLvl w:val="0"/>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pPr>
      <w:bookmarkStart w:id="41" w:name="_Toc6383"/>
      <w:bookmarkStart w:id="42" w:name="_Toc11400"/>
      <w:bookmarkStart w:id="43" w:name="_Toc1502"/>
      <w:bookmarkStart w:id="44" w:name="_Toc15121"/>
      <w:bookmarkStart w:id="45" w:name="_Toc17697"/>
      <w:bookmarkStart w:id="46" w:name="_Toc486"/>
      <w:bookmarkStart w:id="47" w:name="_Toc15769"/>
      <w:bookmarkStart w:id="48" w:name="_Toc6611"/>
      <w:bookmarkStart w:id="49" w:name="_Toc4368"/>
      <w:bookmarkStart w:id="50" w:name="_Toc15830"/>
      <w:bookmarkStart w:id="51" w:name="_Toc19268"/>
      <w:bookmarkStart w:id="52" w:name="_Toc25880"/>
      <w:bookmarkStart w:id="53" w:name="_Toc27680"/>
      <w:bookmarkStart w:id="54" w:name="_Toc27475"/>
      <w:bookmarkStart w:id="55" w:name="_Toc3699"/>
      <w:bookmarkStart w:id="56" w:name="_Toc29016"/>
      <w:bookmarkStart w:id="57" w:name="_Toc26125"/>
      <w:bookmarkStart w:id="58" w:name="_Toc24757"/>
      <w:bookmarkStart w:id="59" w:name="_Toc24508"/>
      <w:bookmarkStart w:id="60" w:name="_Toc2926"/>
      <w:r>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t>韶关市浈江区国民经济和社会发展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5F0292">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jc w:val="center"/>
        <w:textAlignment w:val="baseline"/>
        <w:outlineLvl w:val="0"/>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pPr>
      <w:bookmarkStart w:id="61" w:name="_Toc106"/>
      <w:bookmarkStart w:id="62" w:name="_Toc10506"/>
      <w:bookmarkStart w:id="63" w:name="_Toc18861"/>
      <w:bookmarkStart w:id="64" w:name="_Toc17627"/>
      <w:bookmarkStart w:id="65" w:name="_Toc1748"/>
      <w:bookmarkStart w:id="66" w:name="_Toc1670"/>
      <w:bookmarkStart w:id="67" w:name="_Toc2914"/>
      <w:bookmarkStart w:id="68" w:name="_Toc14492"/>
      <w:bookmarkStart w:id="69" w:name="_Toc14644"/>
      <w:bookmarkStart w:id="70" w:name="_Toc13536"/>
      <w:bookmarkStart w:id="71" w:name="_Toc2938"/>
      <w:bookmarkStart w:id="72" w:name="_Toc24610"/>
      <w:bookmarkStart w:id="73" w:name="_Toc21643"/>
      <w:bookmarkStart w:id="74" w:name="_Toc3819"/>
      <w:bookmarkStart w:id="75" w:name="_Toc24514"/>
      <w:bookmarkStart w:id="76" w:name="_Toc18871"/>
      <w:bookmarkStart w:id="77" w:name="_Toc1416"/>
      <w:bookmarkStart w:id="78" w:name="_Toc3248"/>
      <w:bookmarkStart w:id="79" w:name="_Toc24499"/>
      <w:bookmarkStart w:id="80" w:name="_Toc10121"/>
      <w:bookmarkStart w:id="81" w:name="_Toc19606"/>
      <w:bookmarkStart w:id="82" w:name="_Toc22349"/>
      <w:bookmarkStart w:id="83" w:name="_Toc12567"/>
      <w:bookmarkStart w:id="84" w:name="_Toc3876"/>
      <w:bookmarkStart w:id="85" w:name="_Toc17614"/>
      <w:bookmarkStart w:id="86" w:name="_Toc27544"/>
      <w:bookmarkStart w:id="87" w:name="_Toc30077"/>
      <w:bookmarkStart w:id="88" w:name="_Toc3267"/>
      <w:bookmarkStart w:id="89" w:name="_Toc8578"/>
      <w:bookmarkStart w:id="90" w:name="_Toc2126"/>
      <w:bookmarkStart w:id="91" w:name="_Toc29781"/>
      <w:bookmarkStart w:id="92" w:name="_Toc28854"/>
      <w:bookmarkStart w:id="93" w:name="_Toc26767"/>
      <w:bookmarkStart w:id="94" w:name="_Toc31735"/>
      <w:bookmarkStart w:id="95" w:name="_Toc23355"/>
      <w:bookmarkStart w:id="96" w:name="_Toc7605"/>
      <w:bookmarkStart w:id="97" w:name="_Toc3384"/>
      <w:bookmarkStart w:id="98" w:name="_Toc13656"/>
      <w:bookmarkStart w:id="99" w:name="_Toc6533"/>
      <w:bookmarkStart w:id="100" w:name="_Toc20544"/>
      <w:bookmarkStart w:id="101" w:name="_Toc12886"/>
      <w:bookmarkStart w:id="102" w:name="_Toc20900"/>
      <w:bookmarkStart w:id="103" w:name="_Toc11798"/>
      <w:bookmarkStart w:id="104" w:name="_Toc1033"/>
      <w:bookmarkStart w:id="105" w:name="_Toc17808"/>
      <w:bookmarkStart w:id="106" w:name="_Toc7527"/>
      <w:bookmarkStart w:id="107" w:name="_Toc9192"/>
      <w:bookmarkStart w:id="108" w:name="_Toc27831"/>
      <w:bookmarkStart w:id="109" w:name="_Toc31924"/>
      <w:bookmarkStart w:id="110" w:name="_Toc22351"/>
      <w:bookmarkStart w:id="111" w:name="_Toc11910"/>
      <w:bookmarkStart w:id="112" w:name="_Toc14891"/>
      <w:bookmarkStart w:id="113" w:name="_Toc9974"/>
      <w:bookmarkStart w:id="114" w:name="_Toc2540"/>
      <w:bookmarkStart w:id="115" w:name="_Toc10183"/>
      <w:bookmarkStart w:id="116" w:name="_Toc21385"/>
      <w:bookmarkStart w:id="117" w:name="_Toc12448"/>
      <w:bookmarkStart w:id="118" w:name="_Toc5678"/>
      <w:bookmarkStart w:id="119" w:name="_Toc19079"/>
      <w:bookmarkStart w:id="120" w:name="_Toc18386"/>
      <w:bookmarkStart w:id="121" w:name="_Toc20456"/>
      <w:r>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t>第十五个五年规划</w:t>
      </w:r>
      <w:bookmarkEnd w:id="61"/>
      <w:bookmarkEnd w:id="62"/>
      <w:r>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t>纲要</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35BAB213">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jc w:val="center"/>
        <w:textAlignment w:val="baseline"/>
        <w:outlineLvl w:val="0"/>
        <w:rPr>
          <w:rFonts w:hint="eastAsia" w:ascii="方正小标宋简体" w:hAnsi="方正小标宋简体" w:eastAsia="方正小标宋简体" w:cs="方正小标宋简体"/>
          <w:b w:val="0"/>
          <w:bCs w:val="0"/>
          <w:strike w:val="0"/>
          <w:dstrike w:val="0"/>
          <w:color w:val="auto"/>
          <w:sz w:val="44"/>
          <w:szCs w:val="44"/>
          <w:highlight w:val="none"/>
          <w:lang w:val="en-US" w:eastAsia="zh-CN"/>
        </w:rPr>
      </w:pPr>
    </w:p>
    <w:p w14:paraId="2620A1AA">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华文中宋" w:hAnsi="华文中宋" w:eastAsia="华文中宋" w:cs="华文中宋"/>
          <w:b w:val="0"/>
          <w:bCs w:val="0"/>
          <w:strike w:val="0"/>
          <w:dstrike w:val="0"/>
          <w:color w:val="auto"/>
          <w:sz w:val="36"/>
          <w:szCs w:val="36"/>
          <w:highlight w:val="none"/>
          <w:lang w:eastAsia="zh-CN"/>
        </w:rPr>
      </w:pPr>
    </w:p>
    <w:p w14:paraId="3518A06B">
      <w:pPr>
        <w:keepNext w:val="0"/>
        <w:keepLines w:val="0"/>
        <w:pageBreakBefore w:val="0"/>
        <w:widowControl w:val="0"/>
        <w:shd w:val="clear"/>
        <w:kinsoku/>
        <w:wordWrap/>
        <w:overflowPunct/>
        <w:topLinePunct w:val="0"/>
        <w:autoSpaceDE/>
        <w:autoSpaceDN/>
        <w:bidi w:val="0"/>
        <w:adjustRightInd/>
        <w:snapToGrid/>
        <w:spacing w:line="580" w:lineRule="exact"/>
        <w:ind w:firstLine="0" w:firstLineChars="0"/>
        <w:jc w:val="center"/>
        <w:textAlignment w:val="auto"/>
        <w:rPr>
          <w:rFonts w:hint="eastAsia" w:ascii="楷体_GB2312" w:hAnsi="楷体_GB2312" w:eastAsia="楷体_GB2312" w:cs="楷体_GB2312"/>
          <w:strike w:val="0"/>
          <w:dstrike w:val="0"/>
          <w:color w:val="auto"/>
          <w:sz w:val="32"/>
          <w:szCs w:val="32"/>
          <w:highlight w:val="none"/>
          <w:lang w:eastAsia="zh-CN"/>
        </w:rPr>
      </w:pPr>
      <w:r>
        <w:rPr>
          <w:rFonts w:hint="eastAsia" w:ascii="楷体_GB2312" w:hAnsi="楷体_GB2312" w:eastAsia="楷体_GB2312" w:cs="楷体_GB2312"/>
          <w:strike w:val="0"/>
          <w:dstrike w:val="0"/>
          <w:color w:val="auto"/>
          <w:sz w:val="32"/>
          <w:szCs w:val="32"/>
          <w:highlight w:val="none"/>
          <w:lang w:eastAsia="zh-CN"/>
        </w:rPr>
        <w:t>（</w:t>
      </w:r>
      <w:r>
        <w:rPr>
          <w:rFonts w:hint="eastAsia" w:ascii="楷体_GB2312" w:hAnsi="楷体_GB2312" w:eastAsia="楷体_GB2312" w:cs="楷体_GB2312"/>
          <w:strike w:val="0"/>
          <w:dstrike w:val="0"/>
          <w:snapToGrid/>
          <w:color w:val="auto"/>
          <w:kern w:val="2"/>
          <w:sz w:val="32"/>
          <w:szCs w:val="32"/>
          <w:highlight w:val="none"/>
          <w:lang w:val="en-US" w:eastAsia="zh-CN"/>
        </w:rPr>
        <w:t>2026年2月3日区十届人大七次会议审查批准</w:t>
      </w:r>
      <w:r>
        <w:rPr>
          <w:rFonts w:hint="eastAsia" w:ascii="楷体_GB2312" w:hAnsi="楷体_GB2312" w:eastAsia="楷体_GB2312" w:cs="楷体_GB2312"/>
          <w:strike w:val="0"/>
          <w:dstrike w:val="0"/>
          <w:color w:val="auto"/>
          <w:sz w:val="32"/>
          <w:szCs w:val="32"/>
          <w:highlight w:val="none"/>
          <w:lang w:eastAsia="zh-CN"/>
        </w:rPr>
        <w:t>）</w:t>
      </w:r>
    </w:p>
    <w:p w14:paraId="5ECF6ED8">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2B926D78">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430831E8">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56603128">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419DF2B7">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1543E744">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2556DAB8">
      <w:pPr>
        <w:keepNext w:val="0"/>
        <w:keepLines w:val="0"/>
        <w:pageBreakBefore w:val="0"/>
        <w:widowControl/>
        <w:shd w:val="clear"/>
        <w:kinsoku/>
        <w:wordWrap/>
        <w:overflowPunct/>
        <w:topLinePunct w:val="0"/>
        <w:autoSpaceDE w:val="0"/>
        <w:autoSpaceDN w:val="0"/>
        <w:bidi w:val="0"/>
        <w:adjustRightInd w:val="0"/>
        <w:snapToGrid w:val="0"/>
        <w:ind w:firstLine="0" w:firstLineChars="0"/>
        <w:jc w:val="both"/>
        <w:textAlignment w:val="baseline"/>
        <w:rPr>
          <w:rFonts w:hint="eastAsia"/>
          <w:strike w:val="0"/>
          <w:dstrike w:val="0"/>
          <w:color w:val="auto"/>
          <w:sz w:val="36"/>
          <w:szCs w:val="36"/>
          <w:highlight w:val="none"/>
        </w:rPr>
      </w:pPr>
    </w:p>
    <w:p w14:paraId="2DA85442">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50B15C74">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0874D5D3">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strike w:val="0"/>
          <w:dstrike w:val="0"/>
          <w:color w:val="auto"/>
          <w:sz w:val="36"/>
          <w:szCs w:val="36"/>
          <w:highlight w:val="none"/>
        </w:rPr>
      </w:pPr>
    </w:p>
    <w:p w14:paraId="3F658B48">
      <w:pPr>
        <w:pStyle w:val="10"/>
        <w:keepNext w:val="0"/>
        <w:keepLines w:val="0"/>
        <w:pageBreakBefore w:val="0"/>
        <w:widowControl/>
        <w:shd w:val="clear"/>
        <w:kinsoku/>
        <w:wordWrap/>
        <w:overflowPunct/>
        <w:topLinePunct w:val="0"/>
        <w:autoSpaceDE w:val="0"/>
        <w:autoSpaceDN w:val="0"/>
        <w:bidi w:val="0"/>
        <w:adjustRightInd w:val="0"/>
        <w:snapToGrid w:val="0"/>
        <w:ind w:firstLine="0" w:firstLineChars="0"/>
        <w:textAlignment w:val="baseline"/>
        <w:rPr>
          <w:rFonts w:hint="eastAsia"/>
          <w:strike w:val="0"/>
          <w:dstrike w:val="0"/>
          <w:color w:val="auto"/>
          <w:highlight w:val="none"/>
        </w:rPr>
      </w:pPr>
    </w:p>
    <w:p w14:paraId="56222D62">
      <w:pPr>
        <w:keepNext w:val="0"/>
        <w:keepLines w:val="0"/>
        <w:pageBreakBefore w:val="0"/>
        <w:widowControl/>
        <w:shd w:val="clear"/>
        <w:kinsoku/>
        <w:wordWrap/>
        <w:overflowPunct/>
        <w:topLinePunct w:val="0"/>
        <w:autoSpaceDE w:val="0"/>
        <w:autoSpaceDN w:val="0"/>
        <w:bidi w:val="0"/>
        <w:adjustRightInd w:val="0"/>
        <w:snapToGrid w:val="0"/>
        <w:ind w:firstLine="0" w:firstLineChars="0"/>
        <w:jc w:val="center"/>
        <w:textAlignment w:val="baseline"/>
        <w:rPr>
          <w:rFonts w:hint="eastAsia" w:ascii="楷体_GB2312" w:hAnsi="楷体_GB2312" w:eastAsia="楷体_GB2312" w:cs="楷体_GB2312"/>
          <w:b w:val="0"/>
          <w:bCs w:val="0"/>
          <w:strike w:val="0"/>
          <w:dstrike w:val="0"/>
          <w:color w:val="auto"/>
          <w:sz w:val="36"/>
          <w:szCs w:val="36"/>
          <w:highlight w:val="none"/>
          <w:lang w:val="en-US" w:eastAsia="zh-CN"/>
        </w:rPr>
      </w:pPr>
      <w:r>
        <w:rPr>
          <w:rFonts w:hint="eastAsia" w:ascii="楷体_GB2312" w:hAnsi="楷体_GB2312" w:eastAsia="楷体_GB2312" w:cs="楷体_GB2312"/>
          <w:b w:val="0"/>
          <w:bCs w:val="0"/>
          <w:strike w:val="0"/>
          <w:dstrike w:val="0"/>
          <w:color w:val="auto"/>
          <w:sz w:val="36"/>
          <w:szCs w:val="36"/>
          <w:highlight w:val="none"/>
          <w:lang w:val="en-US" w:eastAsia="zh-CN"/>
        </w:rPr>
        <w:t>2026年6月</w:t>
      </w:r>
    </w:p>
    <w:p w14:paraId="50F2D841">
      <w:pPr>
        <w:rPr>
          <w:rFonts w:hint="eastAsia"/>
          <w:b/>
          <w:bCs/>
          <w:strike w:val="0"/>
          <w:dstrike w:val="0"/>
          <w:color w:val="auto"/>
          <w:highlight w:val="none"/>
        </w:rPr>
      </w:pPr>
      <w:r>
        <w:rPr>
          <w:rFonts w:hint="eastAsia"/>
          <w:b/>
          <w:bCs/>
          <w:strike w:val="0"/>
          <w:dstrike w:val="0"/>
          <w:color w:val="auto"/>
          <w:highlight w:val="none"/>
        </w:rPr>
        <w:br w:type="page"/>
      </w:r>
    </w:p>
    <w:p w14:paraId="7427E5C7">
      <w:pPr>
        <w:keepNext w:val="0"/>
        <w:keepLines w:val="0"/>
        <w:pageBreakBefore w:val="0"/>
        <w:widowControl/>
        <w:shd w:val="clear"/>
        <w:kinsoku/>
        <w:wordWrap/>
        <w:overflowPunct/>
        <w:topLinePunct w:val="0"/>
        <w:autoSpaceDE w:val="0"/>
        <w:autoSpaceDN w:val="0"/>
        <w:bidi w:val="0"/>
        <w:adjustRightInd w:val="0"/>
        <w:snapToGrid w:val="0"/>
        <w:spacing w:before="0" w:beforeLines="0" w:after="0" w:afterLines="100" w:line="240" w:lineRule="auto"/>
        <w:ind w:left="0" w:leftChars="0" w:right="0" w:rightChars="0" w:firstLine="0" w:firstLineChars="0"/>
        <w:jc w:val="center"/>
        <w:textAlignment w:val="baseline"/>
        <w:rPr>
          <w:rFonts w:hint="eastAsia" w:eastAsia="黑体"/>
          <w:lang w:eastAsia="zh-CN"/>
        </w:rPr>
      </w:pPr>
      <w:r>
        <w:rPr>
          <w:rFonts w:hint="eastAsia" w:ascii="黑体" w:hAnsi="黑体" w:eastAsia="黑体" w:cs="黑体"/>
          <w:b/>
          <w:bCs/>
          <w:strike w:val="0"/>
          <w:dstrike w:val="0"/>
          <w:color w:val="auto"/>
          <w:sz w:val="36"/>
          <w:szCs w:val="36"/>
          <w:highlight w:val="none"/>
        </w:rPr>
        <w:t>目</w:t>
      </w:r>
      <w:r>
        <w:rPr>
          <w:rFonts w:hint="eastAsia" w:ascii="黑体" w:hAnsi="黑体" w:eastAsia="黑体" w:cs="黑体"/>
          <w:b/>
          <w:bCs/>
          <w:strike w:val="0"/>
          <w:dstrike w:val="0"/>
          <w:color w:val="auto"/>
          <w:sz w:val="36"/>
          <w:szCs w:val="36"/>
          <w:highlight w:val="none"/>
          <w:lang w:val="en-US" w:eastAsia="zh-CN"/>
        </w:rPr>
        <w:t xml:space="preserve">  </w:t>
      </w:r>
      <w:r>
        <w:rPr>
          <w:rFonts w:hint="eastAsia" w:ascii="黑体" w:hAnsi="黑体" w:eastAsia="黑体" w:cs="黑体"/>
          <w:b/>
          <w:bCs/>
          <w:strike w:val="0"/>
          <w:dstrike w:val="0"/>
          <w:color w:val="auto"/>
          <w:sz w:val="36"/>
          <w:szCs w:val="36"/>
          <w:highlight w:val="none"/>
        </w:rPr>
        <w:t>录</w:t>
      </w:r>
      <w:r>
        <w:rPr>
          <w:rFonts w:hint="eastAsia"/>
          <w:color w:val="auto"/>
          <w:highlight w:val="none"/>
          <w:lang w:val="en-US" w:eastAsia="en-US"/>
        </w:rPr>
        <w:fldChar w:fldCharType="begin"/>
      </w:r>
      <w:r>
        <w:rPr>
          <w:rFonts w:hint="eastAsia"/>
          <w:color w:val="auto"/>
          <w:highlight w:val="none"/>
          <w:lang w:val="en-US" w:eastAsia="en-US"/>
        </w:rPr>
        <w:instrText xml:space="preserve">TOC \o "1-3" \h \u </w:instrText>
      </w:r>
      <w:r>
        <w:rPr>
          <w:rFonts w:hint="eastAsia"/>
          <w:color w:val="auto"/>
          <w:highlight w:val="none"/>
          <w:lang w:val="en-US" w:eastAsia="en-US"/>
        </w:rPr>
        <w:fldChar w:fldCharType="separate"/>
      </w:r>
    </w:p>
    <w:p w14:paraId="215FD8A8">
      <w:pPr>
        <w:pStyle w:val="21"/>
        <w:tabs>
          <w:tab w:val="right" w:leader="dot" w:pos="8845"/>
        </w:tabs>
        <w:rPr>
          <w:rFonts w:hint="eastAsia"/>
          <w:color w:val="auto"/>
          <w:highlight w:val="none"/>
          <w:lang w:val="en-US" w:eastAsia="en-US"/>
        </w:rPr>
      </w:pPr>
    </w:p>
    <w:p w14:paraId="6A6F8B81">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_Toc5312 </w:instrText>
      </w:r>
      <w:r>
        <w:rPr>
          <w:rFonts w:hint="eastAsia"/>
          <w:highlight w:val="none"/>
          <w:lang w:val="en-US" w:eastAsia="en-US"/>
        </w:rPr>
        <w:fldChar w:fldCharType="separate"/>
      </w:r>
      <w:r>
        <w:rPr>
          <w:rFonts w:hint="eastAsia"/>
          <w:highlight w:val="none"/>
          <w:lang w:val="en-US" w:eastAsia="zh-CN"/>
        </w:rPr>
        <w:t xml:space="preserve">第一章 </w:t>
      </w:r>
      <w:r>
        <w:rPr>
          <w:rFonts w:hint="eastAsia"/>
          <w:szCs w:val="32"/>
          <w:highlight w:val="none"/>
          <w:lang w:val="en-US" w:eastAsia="zh-CN"/>
        </w:rPr>
        <w:t>扛稳扛牢使命担当</w:t>
      </w:r>
      <w:r>
        <w:rPr>
          <w:szCs w:val="32"/>
          <w:highlight w:val="none"/>
          <w:lang w:val="en"/>
        </w:rPr>
        <w:t>，</w:t>
      </w:r>
      <w:r>
        <w:rPr>
          <w:rFonts w:hint="eastAsia"/>
          <w:szCs w:val="32"/>
          <w:highlight w:val="none"/>
          <w:lang w:val="en-US" w:eastAsia="zh-CN"/>
        </w:rPr>
        <w:t>建设城乡融合发展新浈江</w:t>
      </w:r>
      <w:r>
        <w:tab/>
      </w:r>
      <w:r>
        <w:fldChar w:fldCharType="begin"/>
      </w:r>
      <w:r>
        <w:instrText xml:space="preserve"> PAGEREF _Toc5312 \h </w:instrText>
      </w:r>
      <w:r>
        <w:fldChar w:fldCharType="separate"/>
      </w:r>
      <w:r>
        <w:t>1</w:t>
      </w:r>
      <w:r>
        <w:fldChar w:fldCharType="end"/>
      </w:r>
      <w:r>
        <w:rPr>
          <w:rFonts w:hint="eastAsia"/>
          <w:color w:val="auto"/>
          <w:highlight w:val="none"/>
          <w:lang w:val="en-US" w:eastAsia="en-US"/>
        </w:rPr>
        <w:fldChar w:fldCharType="end"/>
      </w:r>
    </w:p>
    <w:p w14:paraId="097D67FC">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_Toc30979 </w:instrText>
      </w:r>
      <w:r>
        <w:rPr>
          <w:rFonts w:hint="eastAsia"/>
          <w:highlight w:val="none"/>
          <w:lang w:val="en-US" w:eastAsia="en-US"/>
        </w:rPr>
        <w:fldChar w:fldCharType="separate"/>
      </w:r>
      <w:r>
        <w:rPr>
          <w:rFonts w:hint="eastAsia"/>
          <w:highlight w:val="none"/>
          <w:lang w:val="en-US" w:eastAsia="zh-CN"/>
        </w:rPr>
        <w:t>第一节 “十四五”现代化建设起步良好</w:t>
      </w:r>
      <w:r>
        <w:tab/>
      </w:r>
      <w:r>
        <w:fldChar w:fldCharType="begin"/>
      </w:r>
      <w:r>
        <w:instrText xml:space="preserve"> PAGEREF _Toc30979 \h </w:instrText>
      </w:r>
      <w:r>
        <w:fldChar w:fldCharType="separate"/>
      </w:r>
      <w:r>
        <w:t>2</w:t>
      </w:r>
      <w:r>
        <w:fldChar w:fldCharType="end"/>
      </w:r>
      <w:r>
        <w:rPr>
          <w:rFonts w:hint="eastAsia"/>
          <w:color w:val="auto"/>
          <w:highlight w:val="none"/>
          <w:lang w:val="en-US" w:eastAsia="en-US"/>
        </w:rPr>
        <w:fldChar w:fldCharType="end"/>
      </w:r>
    </w:p>
    <w:p w14:paraId="1DF8468F">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_Toc19666 </w:instrText>
      </w:r>
      <w:r>
        <w:rPr>
          <w:rFonts w:hint="eastAsia"/>
          <w:highlight w:val="none"/>
          <w:lang w:val="en-US" w:eastAsia="en-US"/>
        </w:rPr>
        <w:fldChar w:fldCharType="separate"/>
      </w:r>
      <w:r>
        <w:rPr>
          <w:rFonts w:hint="eastAsia"/>
          <w:highlight w:val="none"/>
          <w:lang w:val="en-US" w:eastAsia="zh-CN"/>
        </w:rPr>
        <w:t>第二节 “十五五”时期发展形势总体向好</w:t>
      </w:r>
      <w:r>
        <w:tab/>
      </w:r>
      <w:r>
        <w:fldChar w:fldCharType="begin"/>
      </w:r>
      <w:r>
        <w:instrText xml:space="preserve"> PAGEREF _Toc19666 \h </w:instrText>
      </w:r>
      <w:r>
        <w:fldChar w:fldCharType="separate"/>
      </w:r>
      <w:r>
        <w:t>15</w:t>
      </w:r>
      <w:r>
        <w:fldChar w:fldCharType="end"/>
      </w:r>
      <w:r>
        <w:rPr>
          <w:rFonts w:hint="eastAsia"/>
          <w:color w:val="auto"/>
          <w:highlight w:val="none"/>
          <w:lang w:val="en-US" w:eastAsia="en-US"/>
        </w:rPr>
        <w:fldChar w:fldCharType="end"/>
      </w:r>
    </w:p>
    <w:p w14:paraId="37F347B2">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_Toc16205 </w:instrText>
      </w:r>
      <w:r>
        <w:rPr>
          <w:rFonts w:hint="eastAsia"/>
          <w:highlight w:val="none"/>
          <w:lang w:val="en-US" w:eastAsia="en-US"/>
        </w:rPr>
        <w:fldChar w:fldCharType="separate"/>
      </w:r>
      <w:r>
        <w:rPr>
          <w:rFonts w:hint="eastAsia"/>
          <w:highlight w:val="none"/>
          <w:lang w:val="en-US" w:eastAsia="zh-CN"/>
        </w:rPr>
        <w:t>第三节 指导思想</w:t>
      </w:r>
      <w:r>
        <w:tab/>
      </w:r>
      <w:r>
        <w:fldChar w:fldCharType="begin"/>
      </w:r>
      <w:r>
        <w:instrText xml:space="preserve"> PAGEREF _Toc16205 \h </w:instrText>
      </w:r>
      <w:r>
        <w:fldChar w:fldCharType="separate"/>
      </w:r>
      <w:r>
        <w:t>17</w:t>
      </w:r>
      <w:r>
        <w:fldChar w:fldCharType="end"/>
      </w:r>
      <w:r>
        <w:rPr>
          <w:rFonts w:hint="eastAsia"/>
          <w:color w:val="auto"/>
          <w:highlight w:val="none"/>
          <w:lang w:val="en-US" w:eastAsia="en-US"/>
        </w:rPr>
        <w:fldChar w:fldCharType="end"/>
      </w:r>
    </w:p>
    <w:p w14:paraId="7BF74295">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_Toc3863 </w:instrText>
      </w:r>
      <w:r>
        <w:rPr>
          <w:rFonts w:hint="eastAsia"/>
          <w:highlight w:val="none"/>
          <w:lang w:val="en-US" w:eastAsia="en-US"/>
        </w:rPr>
        <w:fldChar w:fldCharType="separate"/>
      </w:r>
      <w:r>
        <w:rPr>
          <w:rFonts w:hint="eastAsia" w:ascii="Times New Roman" w:hAnsi="Times New Roman"/>
          <w:highlight w:val="none"/>
          <w:lang w:val="en-US" w:eastAsia="zh-CN"/>
        </w:rPr>
        <w:t>第</w:t>
      </w:r>
      <w:r>
        <w:rPr>
          <w:rFonts w:hint="eastAsia"/>
          <w:highlight w:val="none"/>
          <w:lang w:val="en-US" w:eastAsia="zh-CN"/>
        </w:rPr>
        <w:t>四</w:t>
      </w:r>
      <w:r>
        <w:rPr>
          <w:rFonts w:hint="eastAsia" w:ascii="Times New Roman" w:hAnsi="Times New Roman"/>
          <w:highlight w:val="none"/>
          <w:lang w:val="en-US" w:eastAsia="zh-CN"/>
        </w:rPr>
        <w:t xml:space="preserve">节 </w:t>
      </w:r>
      <w:r>
        <w:rPr>
          <w:rFonts w:hint="eastAsia"/>
          <w:highlight w:val="none"/>
          <w:lang w:val="en-US" w:eastAsia="zh-CN"/>
        </w:rPr>
        <w:t>基本</w:t>
      </w:r>
      <w:r>
        <w:rPr>
          <w:rFonts w:hint="eastAsia" w:ascii="Times New Roman" w:hAnsi="Times New Roman"/>
          <w:highlight w:val="none"/>
          <w:lang w:val="en-US" w:eastAsia="zh-CN"/>
        </w:rPr>
        <w:t>原则和发展导向</w:t>
      </w:r>
      <w:r>
        <w:tab/>
      </w:r>
      <w:r>
        <w:fldChar w:fldCharType="begin"/>
      </w:r>
      <w:r>
        <w:instrText xml:space="preserve"> PAGEREF _Toc3863 \h </w:instrText>
      </w:r>
      <w:r>
        <w:fldChar w:fldCharType="separate"/>
      </w:r>
      <w:r>
        <w:t>18</w:t>
      </w:r>
      <w:r>
        <w:fldChar w:fldCharType="end"/>
      </w:r>
      <w:r>
        <w:rPr>
          <w:rFonts w:hint="eastAsia"/>
          <w:color w:val="auto"/>
          <w:highlight w:val="none"/>
          <w:lang w:val="en-US" w:eastAsia="en-US"/>
        </w:rPr>
        <w:fldChar w:fldCharType="end"/>
      </w:r>
    </w:p>
    <w:p w14:paraId="4BAA6D99">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_Toc5948 </w:instrText>
      </w:r>
      <w:r>
        <w:rPr>
          <w:rFonts w:hint="eastAsia"/>
          <w:highlight w:val="none"/>
          <w:lang w:val="en-US" w:eastAsia="en-US"/>
        </w:rPr>
        <w:fldChar w:fldCharType="separate"/>
      </w:r>
      <w:r>
        <w:rPr>
          <w:rFonts w:hint="eastAsia"/>
          <w:highlight w:val="none"/>
          <w:lang w:val="en-US" w:eastAsia="zh-CN"/>
        </w:rPr>
        <w:t>第五节 主要目标</w:t>
      </w:r>
      <w:r>
        <w:tab/>
      </w:r>
      <w:r>
        <w:fldChar w:fldCharType="begin"/>
      </w:r>
      <w:r>
        <w:instrText xml:space="preserve"> PAGEREF _Toc5948 \h </w:instrText>
      </w:r>
      <w:r>
        <w:fldChar w:fldCharType="separate"/>
      </w:r>
      <w:r>
        <w:t>21</w:t>
      </w:r>
      <w:r>
        <w:fldChar w:fldCharType="end"/>
      </w:r>
      <w:r>
        <w:rPr>
          <w:rFonts w:hint="eastAsia"/>
          <w:color w:val="auto"/>
          <w:highlight w:val="none"/>
          <w:lang w:val="en-US" w:eastAsia="en-US"/>
        </w:rPr>
        <w:fldChar w:fldCharType="end"/>
      </w:r>
    </w:p>
    <w:p w14:paraId="6DC51FF2">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_Toc17744 </w:instrText>
      </w:r>
      <w:r>
        <w:rPr>
          <w:rFonts w:hint="eastAsia"/>
          <w:highlight w:val="none"/>
          <w:lang w:val="en-US" w:eastAsia="en-US"/>
        </w:rPr>
        <w:fldChar w:fldCharType="separate"/>
      </w:r>
      <w:r>
        <w:rPr>
          <w:rFonts w:hint="eastAsia"/>
          <w:highlight w:val="none"/>
          <w:lang w:val="en-US" w:eastAsia="zh-CN"/>
        </w:rPr>
        <w:t>第二章 深化融湾区域合作，打造区域联动发展新格局</w:t>
      </w:r>
      <w:r>
        <w:tab/>
      </w:r>
      <w:r>
        <w:fldChar w:fldCharType="begin"/>
      </w:r>
      <w:r>
        <w:instrText xml:space="preserve"> PAGEREF _Toc17744 \h </w:instrText>
      </w:r>
      <w:r>
        <w:fldChar w:fldCharType="separate"/>
      </w:r>
      <w:r>
        <w:t>26</w:t>
      </w:r>
      <w:r>
        <w:fldChar w:fldCharType="end"/>
      </w:r>
      <w:r>
        <w:rPr>
          <w:rFonts w:hint="eastAsia"/>
          <w:color w:val="auto"/>
          <w:highlight w:val="none"/>
          <w:lang w:val="en-US" w:eastAsia="en-US"/>
        </w:rPr>
        <w:fldChar w:fldCharType="end"/>
      </w:r>
    </w:p>
    <w:p w14:paraId="636B4A0A">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_Toc20587 </w:instrText>
      </w:r>
      <w:r>
        <w:rPr>
          <w:rFonts w:hint="eastAsia"/>
          <w:highlight w:val="none"/>
          <w:lang w:val="en-US" w:eastAsia="en-US"/>
        </w:rPr>
        <w:fldChar w:fldCharType="separate"/>
      </w:r>
      <w:r>
        <w:rPr>
          <w:rFonts w:hint="default"/>
          <w:highlight w:val="none"/>
          <w:lang w:val="en-US" w:eastAsia="zh-CN"/>
        </w:rPr>
        <w:t>第</w:t>
      </w:r>
      <w:r>
        <w:rPr>
          <w:rFonts w:hint="eastAsia"/>
          <w:highlight w:val="none"/>
          <w:lang w:val="en-US" w:eastAsia="zh-CN"/>
        </w:rPr>
        <w:t>一</w:t>
      </w:r>
      <w:r>
        <w:rPr>
          <w:rFonts w:hint="default"/>
          <w:highlight w:val="none"/>
          <w:lang w:val="en-US" w:eastAsia="zh-CN"/>
        </w:rPr>
        <w:t xml:space="preserve">节 </w:t>
      </w:r>
      <w:r>
        <w:rPr>
          <w:rFonts w:hint="eastAsia"/>
          <w:highlight w:val="none"/>
          <w:lang w:val="en-US" w:eastAsia="zh-CN"/>
        </w:rPr>
        <w:t>加快推进产业融湾</w:t>
      </w:r>
      <w:r>
        <w:tab/>
      </w:r>
      <w:r>
        <w:fldChar w:fldCharType="begin"/>
      </w:r>
      <w:r>
        <w:instrText xml:space="preserve"> PAGEREF _Toc20587 \h </w:instrText>
      </w:r>
      <w:r>
        <w:fldChar w:fldCharType="separate"/>
      </w:r>
      <w:r>
        <w:t>26</w:t>
      </w:r>
      <w:r>
        <w:fldChar w:fldCharType="end"/>
      </w:r>
      <w:r>
        <w:rPr>
          <w:rFonts w:hint="eastAsia"/>
          <w:color w:val="auto"/>
          <w:highlight w:val="none"/>
          <w:lang w:val="en-US" w:eastAsia="en-US"/>
        </w:rPr>
        <w:fldChar w:fldCharType="end"/>
      </w:r>
    </w:p>
    <w:p w14:paraId="60847EB5">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_Toc30697 </w:instrText>
      </w:r>
      <w:r>
        <w:rPr>
          <w:rFonts w:hint="eastAsia"/>
          <w:highlight w:val="none"/>
          <w:lang w:val="en-US" w:eastAsia="en-US"/>
        </w:rPr>
        <w:fldChar w:fldCharType="separate"/>
      </w:r>
      <w:r>
        <w:rPr>
          <w:rFonts w:hint="eastAsia"/>
          <w:highlight w:val="none"/>
          <w:lang w:val="en-US" w:eastAsia="zh-CN"/>
        </w:rPr>
        <w:t>第二节 持续完善交通融湾</w:t>
      </w:r>
      <w:r>
        <w:tab/>
      </w:r>
      <w:r>
        <w:fldChar w:fldCharType="begin"/>
      </w:r>
      <w:r>
        <w:instrText xml:space="preserve"> PAGEREF _Toc30697 \h </w:instrText>
      </w:r>
      <w:r>
        <w:fldChar w:fldCharType="separate"/>
      </w:r>
      <w:r>
        <w:t>26</w:t>
      </w:r>
      <w:r>
        <w:fldChar w:fldCharType="end"/>
      </w:r>
      <w:r>
        <w:rPr>
          <w:rFonts w:hint="eastAsia"/>
          <w:color w:val="auto"/>
          <w:highlight w:val="none"/>
          <w:lang w:val="en-US" w:eastAsia="en-US"/>
        </w:rPr>
        <w:fldChar w:fldCharType="end"/>
      </w:r>
    </w:p>
    <w:p w14:paraId="30346623">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_Toc10400 </w:instrText>
      </w:r>
      <w:r>
        <w:rPr>
          <w:rFonts w:hint="eastAsia"/>
          <w:highlight w:val="none"/>
          <w:lang w:val="en-US" w:eastAsia="en-US"/>
        </w:rPr>
        <w:fldChar w:fldCharType="separate"/>
      </w:r>
      <w:r>
        <w:rPr>
          <w:rFonts w:hint="eastAsia"/>
          <w:highlight w:val="none"/>
          <w:lang w:val="en-US" w:eastAsia="zh-CN"/>
        </w:rPr>
        <w:t>第三节 主动对接机制融湾</w:t>
      </w:r>
      <w:r>
        <w:tab/>
      </w:r>
      <w:r>
        <w:fldChar w:fldCharType="begin"/>
      </w:r>
      <w:r>
        <w:instrText xml:space="preserve"> PAGEREF _Toc10400 \h </w:instrText>
      </w:r>
      <w:r>
        <w:fldChar w:fldCharType="separate"/>
      </w:r>
      <w:r>
        <w:t>27</w:t>
      </w:r>
      <w:r>
        <w:fldChar w:fldCharType="end"/>
      </w:r>
      <w:r>
        <w:rPr>
          <w:rFonts w:hint="eastAsia"/>
          <w:color w:val="auto"/>
          <w:highlight w:val="none"/>
          <w:lang w:val="en-US" w:eastAsia="en-US"/>
        </w:rPr>
        <w:fldChar w:fldCharType="end"/>
      </w:r>
    </w:p>
    <w:p w14:paraId="413E0499">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_Toc6102 </w:instrText>
      </w:r>
      <w:r>
        <w:rPr>
          <w:rFonts w:hint="eastAsia"/>
          <w:highlight w:val="none"/>
          <w:lang w:val="en-US" w:eastAsia="en-US"/>
        </w:rPr>
        <w:fldChar w:fldCharType="separate"/>
      </w:r>
      <w:r>
        <w:rPr>
          <w:rFonts w:hint="eastAsia"/>
          <w:bCs/>
          <w:highlight w:val="none"/>
          <w:lang w:val="en-US" w:eastAsia="zh-CN"/>
        </w:rPr>
        <w:t>第三章 建设现代化产业体系，打造新型工业化战略重地</w:t>
      </w:r>
      <w:r>
        <w:tab/>
      </w:r>
      <w:r>
        <w:fldChar w:fldCharType="begin"/>
      </w:r>
      <w:r>
        <w:instrText xml:space="preserve"> PAGEREF _Toc6102 \h </w:instrText>
      </w:r>
      <w:r>
        <w:fldChar w:fldCharType="separate"/>
      </w:r>
      <w:r>
        <w:t>28</w:t>
      </w:r>
      <w:r>
        <w:fldChar w:fldCharType="end"/>
      </w:r>
      <w:r>
        <w:rPr>
          <w:rFonts w:hint="eastAsia"/>
          <w:color w:val="auto"/>
          <w:highlight w:val="none"/>
          <w:lang w:val="en-US" w:eastAsia="en-US"/>
        </w:rPr>
        <w:fldChar w:fldCharType="end"/>
      </w:r>
    </w:p>
    <w:p w14:paraId="6A9AC0E7">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_Toc8526 </w:instrText>
      </w:r>
      <w:r>
        <w:rPr>
          <w:rFonts w:hint="eastAsia"/>
          <w:highlight w:val="none"/>
          <w:lang w:val="en-US" w:eastAsia="en-US"/>
        </w:rPr>
        <w:fldChar w:fldCharType="separate"/>
      </w:r>
      <w:r>
        <w:rPr>
          <w:rFonts w:hint="eastAsia"/>
          <w:bCs w:val="0"/>
          <w:highlight w:val="none"/>
          <w:lang w:val="en-US" w:eastAsia="zh-CN"/>
        </w:rPr>
        <w:t>第一节 建设韶关数据中心集群算力主中心</w:t>
      </w:r>
      <w:r>
        <w:tab/>
      </w:r>
      <w:r>
        <w:fldChar w:fldCharType="begin"/>
      </w:r>
      <w:r>
        <w:instrText xml:space="preserve"> PAGEREF _Toc8526 \h </w:instrText>
      </w:r>
      <w:r>
        <w:fldChar w:fldCharType="separate"/>
      </w:r>
      <w:r>
        <w:t>28</w:t>
      </w:r>
      <w:r>
        <w:fldChar w:fldCharType="end"/>
      </w:r>
      <w:r>
        <w:rPr>
          <w:rFonts w:hint="eastAsia"/>
          <w:color w:val="auto"/>
          <w:highlight w:val="none"/>
          <w:lang w:val="en-US" w:eastAsia="en-US"/>
        </w:rPr>
        <w:fldChar w:fldCharType="end"/>
      </w:r>
    </w:p>
    <w:p w14:paraId="5674ABBE">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_Toc11789 </w:instrText>
      </w:r>
      <w:r>
        <w:rPr>
          <w:rFonts w:hint="eastAsia"/>
          <w:highlight w:val="none"/>
          <w:lang w:val="en-US" w:eastAsia="en-US"/>
        </w:rPr>
        <w:fldChar w:fldCharType="separate"/>
      </w:r>
      <w:r>
        <w:rPr>
          <w:rFonts w:hint="eastAsia"/>
          <w:highlight w:val="none"/>
          <w:lang w:val="en-US" w:eastAsia="zh-CN"/>
        </w:rPr>
        <w:t>第二节 推动传统产业升级</w:t>
      </w:r>
      <w:r>
        <w:tab/>
      </w:r>
      <w:r>
        <w:fldChar w:fldCharType="begin"/>
      </w:r>
      <w:r>
        <w:instrText xml:space="preserve"> PAGEREF _Toc11789 \h </w:instrText>
      </w:r>
      <w:r>
        <w:fldChar w:fldCharType="separate"/>
      </w:r>
      <w:r>
        <w:t>29</w:t>
      </w:r>
      <w:r>
        <w:fldChar w:fldCharType="end"/>
      </w:r>
      <w:r>
        <w:rPr>
          <w:rFonts w:hint="eastAsia"/>
          <w:color w:val="auto"/>
          <w:highlight w:val="none"/>
          <w:lang w:val="en-US" w:eastAsia="en-US"/>
        </w:rPr>
        <w:fldChar w:fldCharType="end"/>
      </w:r>
    </w:p>
    <w:p w14:paraId="16F43CB5">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_Toc16654 </w:instrText>
      </w:r>
      <w:r>
        <w:rPr>
          <w:rFonts w:hint="eastAsia"/>
          <w:highlight w:val="none"/>
          <w:lang w:val="en-US" w:eastAsia="en-US"/>
        </w:rPr>
        <w:fldChar w:fldCharType="separate"/>
      </w:r>
      <w:r>
        <w:rPr>
          <w:rFonts w:hint="eastAsia"/>
          <w:highlight w:val="none"/>
          <w:lang w:val="en-US" w:eastAsia="zh-CN"/>
        </w:rPr>
        <w:t>第三节 培育壮大新兴产业和未来产业</w:t>
      </w:r>
      <w:r>
        <w:tab/>
      </w:r>
      <w:r>
        <w:fldChar w:fldCharType="begin"/>
      </w:r>
      <w:r>
        <w:instrText xml:space="preserve"> PAGEREF _Toc16654 \h </w:instrText>
      </w:r>
      <w:r>
        <w:fldChar w:fldCharType="separate"/>
      </w:r>
      <w:r>
        <w:t>32</w:t>
      </w:r>
      <w:r>
        <w:fldChar w:fldCharType="end"/>
      </w:r>
      <w:r>
        <w:rPr>
          <w:rFonts w:hint="eastAsia"/>
          <w:color w:val="auto"/>
          <w:highlight w:val="none"/>
          <w:lang w:val="en-US" w:eastAsia="en-US"/>
        </w:rPr>
        <w:fldChar w:fldCharType="end"/>
      </w:r>
    </w:p>
    <w:p w14:paraId="55F77563">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_Toc32315 </w:instrText>
      </w:r>
      <w:r>
        <w:rPr>
          <w:rFonts w:hint="eastAsia"/>
          <w:highlight w:val="none"/>
          <w:lang w:val="en-US" w:eastAsia="en-US"/>
        </w:rPr>
        <w:fldChar w:fldCharType="separate"/>
      </w:r>
      <w:r>
        <w:rPr>
          <w:rFonts w:hint="eastAsia"/>
          <w:bCs w:val="0"/>
          <w:highlight w:val="none"/>
          <w:lang w:val="en-US" w:eastAsia="zh-CN"/>
        </w:rPr>
        <w:t>第四节 加快产业平台载体建设</w:t>
      </w:r>
      <w:r>
        <w:tab/>
      </w:r>
      <w:r>
        <w:fldChar w:fldCharType="begin"/>
      </w:r>
      <w:r>
        <w:instrText xml:space="preserve"> PAGEREF _Toc32315 \h </w:instrText>
      </w:r>
      <w:r>
        <w:fldChar w:fldCharType="separate"/>
      </w:r>
      <w:r>
        <w:t>33</w:t>
      </w:r>
      <w:r>
        <w:fldChar w:fldCharType="end"/>
      </w:r>
      <w:r>
        <w:rPr>
          <w:rFonts w:hint="eastAsia"/>
          <w:color w:val="auto"/>
          <w:highlight w:val="none"/>
          <w:lang w:val="en-US" w:eastAsia="en-US"/>
        </w:rPr>
        <w:fldChar w:fldCharType="end"/>
      </w:r>
    </w:p>
    <w:p w14:paraId="0228EC26">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_Toc18595 </w:instrText>
      </w:r>
      <w:r>
        <w:rPr>
          <w:rFonts w:hint="eastAsia"/>
          <w:highlight w:val="none"/>
          <w:lang w:val="en-US" w:eastAsia="en-US"/>
        </w:rPr>
        <w:fldChar w:fldCharType="separate"/>
      </w:r>
      <w:r>
        <w:rPr>
          <w:rFonts w:hint="eastAsia"/>
          <w:bCs/>
          <w:highlight w:val="none"/>
          <w:lang w:val="en-US" w:eastAsia="zh-CN"/>
        </w:rPr>
        <w:t>第四章 强化科技创新引领，打造韶关科技创新聚集地</w:t>
      </w:r>
      <w:r>
        <w:tab/>
      </w:r>
      <w:r>
        <w:fldChar w:fldCharType="begin"/>
      </w:r>
      <w:r>
        <w:instrText xml:space="preserve"> PAGEREF _Toc18595 \h </w:instrText>
      </w:r>
      <w:r>
        <w:fldChar w:fldCharType="separate"/>
      </w:r>
      <w:r>
        <w:t>35</w:t>
      </w:r>
      <w:r>
        <w:fldChar w:fldCharType="end"/>
      </w:r>
      <w:r>
        <w:rPr>
          <w:rFonts w:hint="eastAsia"/>
          <w:color w:val="auto"/>
          <w:highlight w:val="none"/>
          <w:lang w:val="en-US" w:eastAsia="en-US"/>
        </w:rPr>
        <w:fldChar w:fldCharType="end"/>
      </w:r>
    </w:p>
    <w:p w14:paraId="39128D76">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_Toc30108 </w:instrText>
      </w:r>
      <w:r>
        <w:rPr>
          <w:rFonts w:hint="eastAsia"/>
          <w:highlight w:val="none"/>
          <w:lang w:val="en-US" w:eastAsia="en-US"/>
        </w:rPr>
        <w:fldChar w:fldCharType="separate"/>
      </w:r>
      <w:r>
        <w:rPr>
          <w:rFonts w:hint="eastAsia"/>
          <w:bCs w:val="0"/>
          <w:highlight w:val="none"/>
          <w:lang w:val="en-US" w:eastAsia="zh-CN"/>
        </w:rPr>
        <w:t>第一节 推动高能级科技创新平台建设</w:t>
      </w:r>
      <w:r>
        <w:tab/>
      </w:r>
      <w:r>
        <w:fldChar w:fldCharType="begin"/>
      </w:r>
      <w:r>
        <w:instrText xml:space="preserve"> PAGEREF _Toc30108 \h </w:instrText>
      </w:r>
      <w:r>
        <w:fldChar w:fldCharType="separate"/>
      </w:r>
      <w:r>
        <w:t>35</w:t>
      </w:r>
      <w:r>
        <w:fldChar w:fldCharType="end"/>
      </w:r>
      <w:r>
        <w:rPr>
          <w:rFonts w:hint="eastAsia"/>
          <w:color w:val="auto"/>
          <w:highlight w:val="none"/>
          <w:lang w:val="en-US" w:eastAsia="en-US"/>
        </w:rPr>
        <w:fldChar w:fldCharType="end"/>
      </w:r>
    </w:p>
    <w:p w14:paraId="337A5B2A">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_Toc18403 </w:instrText>
      </w:r>
      <w:r>
        <w:rPr>
          <w:rFonts w:hint="eastAsia"/>
          <w:highlight w:val="none"/>
          <w:lang w:val="en-US" w:eastAsia="en-US"/>
        </w:rPr>
        <w:fldChar w:fldCharType="separate"/>
      </w:r>
      <w:r>
        <w:rPr>
          <w:rFonts w:hint="eastAsia"/>
          <w:bCs w:val="0"/>
          <w:highlight w:val="none"/>
          <w:lang w:val="en-US" w:eastAsia="zh-CN"/>
        </w:rPr>
        <w:t>第二节 强化企业创新主体地位</w:t>
      </w:r>
      <w:r>
        <w:tab/>
      </w:r>
      <w:r>
        <w:fldChar w:fldCharType="begin"/>
      </w:r>
      <w:r>
        <w:instrText xml:space="preserve"> PAGEREF _Toc18403 \h </w:instrText>
      </w:r>
      <w:r>
        <w:fldChar w:fldCharType="separate"/>
      </w:r>
      <w:r>
        <w:t>36</w:t>
      </w:r>
      <w:r>
        <w:fldChar w:fldCharType="end"/>
      </w:r>
      <w:r>
        <w:rPr>
          <w:rFonts w:hint="eastAsia"/>
          <w:color w:val="auto"/>
          <w:highlight w:val="none"/>
          <w:lang w:val="en-US" w:eastAsia="en-US"/>
        </w:rPr>
        <w:fldChar w:fldCharType="end"/>
      </w:r>
    </w:p>
    <w:p w14:paraId="2A745795">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_Toc20141 </w:instrText>
      </w:r>
      <w:r>
        <w:rPr>
          <w:rFonts w:hint="eastAsia"/>
          <w:highlight w:val="none"/>
          <w:lang w:val="en-US" w:eastAsia="en-US"/>
        </w:rPr>
        <w:fldChar w:fldCharType="separate"/>
      </w:r>
      <w:r>
        <w:rPr>
          <w:rFonts w:hint="eastAsia"/>
          <w:bCs w:val="0"/>
          <w:highlight w:val="none"/>
          <w:lang w:val="en-US" w:eastAsia="zh-CN"/>
        </w:rPr>
        <w:t>第三节 构筑区域创新人才高地</w:t>
      </w:r>
      <w:r>
        <w:tab/>
      </w:r>
      <w:r>
        <w:fldChar w:fldCharType="begin"/>
      </w:r>
      <w:r>
        <w:instrText xml:space="preserve"> PAGEREF _Toc20141 \h </w:instrText>
      </w:r>
      <w:r>
        <w:fldChar w:fldCharType="separate"/>
      </w:r>
      <w:r>
        <w:t>37</w:t>
      </w:r>
      <w:r>
        <w:fldChar w:fldCharType="end"/>
      </w:r>
      <w:r>
        <w:rPr>
          <w:rFonts w:hint="eastAsia"/>
          <w:color w:val="auto"/>
          <w:highlight w:val="none"/>
          <w:lang w:val="en-US" w:eastAsia="en-US"/>
        </w:rPr>
        <w:fldChar w:fldCharType="end"/>
      </w:r>
    </w:p>
    <w:p w14:paraId="60BCC610">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_Toc26083 </w:instrText>
      </w:r>
      <w:r>
        <w:rPr>
          <w:rFonts w:hint="eastAsia"/>
          <w:highlight w:val="none"/>
          <w:lang w:val="en-US" w:eastAsia="en-US"/>
        </w:rPr>
        <w:fldChar w:fldCharType="separate"/>
      </w:r>
      <w:r>
        <w:rPr>
          <w:rFonts w:hint="eastAsia"/>
          <w:bCs w:val="0"/>
          <w:highlight w:val="none"/>
          <w:lang w:val="en-US" w:eastAsia="zh-CN"/>
        </w:rPr>
        <w:t>第五章 提升商贸枢纽能级，打造韶关商贸物流中心</w:t>
      </w:r>
      <w:r>
        <w:tab/>
      </w:r>
      <w:r>
        <w:fldChar w:fldCharType="begin"/>
      </w:r>
      <w:r>
        <w:instrText xml:space="preserve"> PAGEREF _Toc26083 \h </w:instrText>
      </w:r>
      <w:r>
        <w:fldChar w:fldCharType="separate"/>
      </w:r>
      <w:r>
        <w:t>39</w:t>
      </w:r>
      <w:r>
        <w:fldChar w:fldCharType="end"/>
      </w:r>
      <w:r>
        <w:rPr>
          <w:rFonts w:hint="eastAsia"/>
          <w:color w:val="auto"/>
          <w:highlight w:val="none"/>
          <w:lang w:val="en-US" w:eastAsia="en-US"/>
        </w:rPr>
        <w:fldChar w:fldCharType="end"/>
      </w:r>
    </w:p>
    <w:p w14:paraId="36082A3F">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_Toc28721 </w:instrText>
      </w:r>
      <w:r>
        <w:rPr>
          <w:rFonts w:hint="eastAsia"/>
          <w:highlight w:val="none"/>
          <w:lang w:val="en-US" w:eastAsia="en-US"/>
        </w:rPr>
        <w:fldChar w:fldCharType="separate"/>
      </w:r>
      <w:r>
        <w:rPr>
          <w:rFonts w:hint="eastAsia"/>
          <w:highlight w:val="none"/>
          <w:lang w:val="en-US" w:eastAsia="zh-CN"/>
        </w:rPr>
        <w:t>第一节 双轮驱动现代服务业提质升级</w:t>
      </w:r>
      <w:r>
        <w:tab/>
      </w:r>
      <w:r>
        <w:fldChar w:fldCharType="begin"/>
      </w:r>
      <w:r>
        <w:instrText xml:space="preserve"> PAGEREF _Toc28721 \h </w:instrText>
      </w:r>
      <w:r>
        <w:fldChar w:fldCharType="separate"/>
      </w:r>
      <w:r>
        <w:t>39</w:t>
      </w:r>
      <w:r>
        <w:fldChar w:fldCharType="end"/>
      </w:r>
      <w:r>
        <w:rPr>
          <w:rFonts w:hint="eastAsia"/>
          <w:color w:val="auto"/>
          <w:highlight w:val="none"/>
          <w:lang w:val="en-US" w:eastAsia="en-US"/>
        </w:rPr>
        <w:fldChar w:fldCharType="end"/>
      </w:r>
    </w:p>
    <w:p w14:paraId="3FC6E36E">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_Toc10596 </w:instrText>
      </w:r>
      <w:r>
        <w:rPr>
          <w:rFonts w:hint="eastAsia"/>
          <w:highlight w:val="none"/>
          <w:lang w:val="en-US" w:eastAsia="en-US"/>
        </w:rPr>
        <w:fldChar w:fldCharType="separate"/>
      </w:r>
      <w:r>
        <w:rPr>
          <w:rFonts w:hint="eastAsia"/>
          <w:bCs w:val="0"/>
          <w:highlight w:val="none"/>
          <w:lang w:val="en-US" w:eastAsia="zh-CN"/>
        </w:rPr>
        <w:t>第二节 多措并举激发市场消费潜力与活力</w:t>
      </w:r>
      <w:r>
        <w:tab/>
      </w:r>
      <w:r>
        <w:fldChar w:fldCharType="begin"/>
      </w:r>
      <w:r>
        <w:instrText xml:space="preserve"> PAGEREF _Toc10596 \h </w:instrText>
      </w:r>
      <w:r>
        <w:fldChar w:fldCharType="separate"/>
      </w:r>
      <w:r>
        <w:t>40</w:t>
      </w:r>
      <w:r>
        <w:fldChar w:fldCharType="end"/>
      </w:r>
      <w:r>
        <w:rPr>
          <w:rFonts w:hint="eastAsia"/>
          <w:color w:val="auto"/>
          <w:highlight w:val="none"/>
          <w:lang w:val="en-US" w:eastAsia="en-US"/>
        </w:rPr>
        <w:fldChar w:fldCharType="end"/>
      </w:r>
    </w:p>
    <w:p w14:paraId="0A44B999">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_Toc23975 </w:instrText>
      </w:r>
      <w:r>
        <w:rPr>
          <w:rFonts w:hint="eastAsia"/>
          <w:highlight w:val="none"/>
          <w:lang w:val="en-US" w:eastAsia="en-US"/>
        </w:rPr>
        <w:fldChar w:fldCharType="separate"/>
      </w:r>
      <w:r>
        <w:rPr>
          <w:rFonts w:hint="eastAsia"/>
          <w:bCs w:val="0"/>
          <w:highlight w:val="none"/>
          <w:lang w:val="en-US" w:eastAsia="zh-CN"/>
        </w:rPr>
        <w:t>第三节 展现特色鲜明城市商业场景</w:t>
      </w:r>
      <w:r>
        <w:tab/>
      </w:r>
      <w:r>
        <w:fldChar w:fldCharType="begin"/>
      </w:r>
      <w:r>
        <w:instrText xml:space="preserve"> PAGEREF _Toc23975 \h </w:instrText>
      </w:r>
      <w:r>
        <w:fldChar w:fldCharType="separate"/>
      </w:r>
      <w:r>
        <w:t>41</w:t>
      </w:r>
      <w:r>
        <w:fldChar w:fldCharType="end"/>
      </w:r>
      <w:r>
        <w:rPr>
          <w:rFonts w:hint="eastAsia"/>
          <w:color w:val="auto"/>
          <w:highlight w:val="none"/>
          <w:lang w:val="en-US" w:eastAsia="en-US"/>
        </w:rPr>
        <w:fldChar w:fldCharType="end"/>
      </w:r>
    </w:p>
    <w:p w14:paraId="3FB05EF7">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_Toc10428 </w:instrText>
      </w:r>
      <w:r>
        <w:rPr>
          <w:rFonts w:hint="eastAsia"/>
          <w:highlight w:val="none"/>
          <w:lang w:val="en-US" w:eastAsia="en-US"/>
        </w:rPr>
        <w:fldChar w:fldCharType="separate"/>
      </w:r>
      <w:r>
        <w:rPr>
          <w:rFonts w:hint="eastAsia"/>
          <w:highlight w:val="none"/>
          <w:lang w:val="en-US" w:eastAsia="zh-CN"/>
        </w:rPr>
        <w:t>第六章 深入推进“百千万工程”，打造城乡融合发展示范区</w:t>
      </w:r>
      <w:r>
        <w:tab/>
      </w:r>
      <w:r>
        <w:fldChar w:fldCharType="begin"/>
      </w:r>
      <w:r>
        <w:instrText xml:space="preserve"> PAGEREF _Toc10428 \h </w:instrText>
      </w:r>
      <w:r>
        <w:fldChar w:fldCharType="separate"/>
      </w:r>
      <w:r>
        <w:t>43</w:t>
      </w:r>
      <w:r>
        <w:fldChar w:fldCharType="end"/>
      </w:r>
      <w:r>
        <w:rPr>
          <w:rFonts w:hint="eastAsia"/>
          <w:color w:val="auto"/>
          <w:highlight w:val="none"/>
          <w:lang w:val="en-US" w:eastAsia="en-US"/>
        </w:rPr>
        <w:fldChar w:fldCharType="end"/>
      </w:r>
    </w:p>
    <w:p w14:paraId="608FD5BA">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_Toc14737 </w:instrText>
      </w:r>
      <w:r>
        <w:rPr>
          <w:rFonts w:hint="eastAsia"/>
          <w:highlight w:val="none"/>
          <w:lang w:val="en-US" w:eastAsia="en-US"/>
        </w:rPr>
        <w:fldChar w:fldCharType="separate"/>
      </w:r>
      <w:r>
        <w:rPr>
          <w:rFonts w:hint="eastAsia"/>
          <w:highlight w:val="none"/>
          <w:lang w:val="en-US" w:eastAsia="zh-CN"/>
        </w:rPr>
        <w:t>第一节 推动镇域经济高质量发展</w:t>
      </w:r>
      <w:r>
        <w:tab/>
      </w:r>
      <w:r>
        <w:fldChar w:fldCharType="begin"/>
      </w:r>
      <w:r>
        <w:instrText xml:space="preserve"> PAGEREF _Toc14737 \h </w:instrText>
      </w:r>
      <w:r>
        <w:fldChar w:fldCharType="separate"/>
      </w:r>
      <w:r>
        <w:t>43</w:t>
      </w:r>
      <w:r>
        <w:fldChar w:fldCharType="end"/>
      </w:r>
      <w:r>
        <w:rPr>
          <w:rFonts w:hint="eastAsia"/>
          <w:color w:val="auto"/>
          <w:highlight w:val="none"/>
          <w:lang w:val="en-US" w:eastAsia="en-US"/>
        </w:rPr>
        <w:fldChar w:fldCharType="end"/>
      </w:r>
    </w:p>
    <w:p w14:paraId="32BB9E3E">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_Toc29639 </w:instrText>
      </w:r>
      <w:r>
        <w:rPr>
          <w:rFonts w:hint="eastAsia"/>
          <w:highlight w:val="none"/>
          <w:lang w:val="en-US" w:eastAsia="en-US"/>
        </w:rPr>
        <w:fldChar w:fldCharType="separate"/>
      </w:r>
      <w:r>
        <w:rPr>
          <w:rFonts w:hint="eastAsia"/>
          <w:highlight w:val="none"/>
          <w:lang w:val="en-US" w:eastAsia="zh-CN"/>
        </w:rPr>
        <w:t>第二节 加快发展现代农业</w:t>
      </w:r>
      <w:r>
        <w:tab/>
      </w:r>
      <w:r>
        <w:fldChar w:fldCharType="begin"/>
      </w:r>
      <w:r>
        <w:instrText xml:space="preserve"> PAGEREF _Toc29639 \h </w:instrText>
      </w:r>
      <w:r>
        <w:fldChar w:fldCharType="separate"/>
      </w:r>
      <w:r>
        <w:t>46</w:t>
      </w:r>
      <w:r>
        <w:fldChar w:fldCharType="end"/>
      </w:r>
      <w:r>
        <w:rPr>
          <w:rFonts w:hint="eastAsia"/>
          <w:color w:val="auto"/>
          <w:highlight w:val="none"/>
          <w:lang w:val="en-US" w:eastAsia="en-US"/>
        </w:rPr>
        <w:fldChar w:fldCharType="end"/>
      </w:r>
    </w:p>
    <w:p w14:paraId="6F752331">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_Toc30264 </w:instrText>
      </w:r>
      <w:r>
        <w:rPr>
          <w:rFonts w:hint="eastAsia"/>
          <w:highlight w:val="none"/>
          <w:lang w:val="en-US" w:eastAsia="en-US"/>
        </w:rPr>
        <w:fldChar w:fldCharType="separate"/>
      </w:r>
      <w:r>
        <w:rPr>
          <w:rFonts w:hint="eastAsia"/>
          <w:highlight w:val="none"/>
          <w:lang w:val="en-US" w:eastAsia="zh-CN"/>
        </w:rPr>
        <w:t>第三节 促进乡村全面振兴</w:t>
      </w:r>
      <w:r>
        <w:tab/>
      </w:r>
      <w:r>
        <w:fldChar w:fldCharType="begin"/>
      </w:r>
      <w:r>
        <w:instrText xml:space="preserve"> PAGEREF _Toc30264 \h </w:instrText>
      </w:r>
      <w:r>
        <w:fldChar w:fldCharType="separate"/>
      </w:r>
      <w:r>
        <w:t>49</w:t>
      </w:r>
      <w:r>
        <w:fldChar w:fldCharType="end"/>
      </w:r>
      <w:r>
        <w:rPr>
          <w:rFonts w:hint="eastAsia"/>
          <w:color w:val="auto"/>
          <w:highlight w:val="none"/>
          <w:lang w:val="en-US" w:eastAsia="en-US"/>
        </w:rPr>
        <w:fldChar w:fldCharType="end"/>
      </w:r>
    </w:p>
    <w:p w14:paraId="73A9CA6A">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_Toc13848 </w:instrText>
      </w:r>
      <w:r>
        <w:rPr>
          <w:rFonts w:hint="eastAsia"/>
          <w:highlight w:val="none"/>
          <w:lang w:val="en-US" w:eastAsia="en-US"/>
        </w:rPr>
        <w:fldChar w:fldCharType="separate"/>
      </w:r>
      <w:r>
        <w:rPr>
          <w:rFonts w:hint="eastAsia"/>
          <w:highlight w:val="none"/>
          <w:lang w:val="en-US" w:eastAsia="zh-CN"/>
        </w:rPr>
        <w:t>第七章 坚持人民城市人民建，建设现代化人民城市</w:t>
      </w:r>
      <w:r>
        <w:tab/>
      </w:r>
      <w:r>
        <w:fldChar w:fldCharType="begin"/>
      </w:r>
      <w:r>
        <w:instrText xml:space="preserve"> PAGEREF _Toc13848 \h </w:instrText>
      </w:r>
      <w:r>
        <w:fldChar w:fldCharType="separate"/>
      </w:r>
      <w:r>
        <w:t>51</w:t>
      </w:r>
      <w:r>
        <w:fldChar w:fldCharType="end"/>
      </w:r>
      <w:r>
        <w:rPr>
          <w:rFonts w:hint="eastAsia"/>
          <w:color w:val="auto"/>
          <w:highlight w:val="none"/>
          <w:lang w:val="en-US" w:eastAsia="en-US"/>
        </w:rPr>
        <w:fldChar w:fldCharType="end"/>
      </w:r>
    </w:p>
    <w:p w14:paraId="5EC4FEC4">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_Toc20875 </w:instrText>
      </w:r>
      <w:r>
        <w:rPr>
          <w:rFonts w:hint="eastAsia"/>
          <w:highlight w:val="none"/>
          <w:lang w:val="en-US" w:eastAsia="en-US"/>
        </w:rPr>
        <w:fldChar w:fldCharType="separate"/>
      </w:r>
      <w:r>
        <w:rPr>
          <w:rFonts w:hint="eastAsia" w:ascii="楷体_GB2312" w:hAnsi="楷体_GB2312" w:eastAsia="楷体_GB2312" w:cs="楷体_GB2312"/>
          <w:bCs w:val="0"/>
          <w:snapToGrid w:val="0"/>
          <w:kern w:val="0"/>
          <w:szCs w:val="27"/>
          <w:highlight w:val="none"/>
          <w:lang w:val="en-US" w:eastAsia="zh-CN" w:bidi="ar"/>
        </w:rPr>
        <w:t>第一节</w:t>
      </w:r>
      <w:r>
        <w:rPr>
          <w:rFonts w:hint="eastAsia" w:ascii="楷体_GB2312" w:hAnsi="楷体_GB2312" w:cs="楷体_GB2312"/>
          <w:bCs w:val="0"/>
          <w:snapToGrid w:val="0"/>
          <w:kern w:val="0"/>
          <w:szCs w:val="27"/>
          <w:highlight w:val="none"/>
          <w:lang w:val="en-US" w:eastAsia="zh-CN" w:bidi="ar"/>
        </w:rPr>
        <w:t xml:space="preserve"> </w:t>
      </w:r>
      <w:r>
        <w:rPr>
          <w:rFonts w:hint="eastAsia" w:ascii="楷体_GB2312" w:hAnsi="楷体_GB2312" w:cs="楷体_GB2312"/>
          <w:highlight w:val="none"/>
          <w:lang w:val="en-US" w:eastAsia="zh-CN"/>
        </w:rPr>
        <w:t>高品质提升韶州古城风貌</w:t>
      </w:r>
      <w:r>
        <w:tab/>
      </w:r>
      <w:r>
        <w:fldChar w:fldCharType="begin"/>
      </w:r>
      <w:r>
        <w:instrText xml:space="preserve"> PAGEREF _Toc20875 \h </w:instrText>
      </w:r>
      <w:r>
        <w:fldChar w:fldCharType="separate"/>
      </w:r>
      <w:r>
        <w:t>51</w:t>
      </w:r>
      <w:r>
        <w:fldChar w:fldCharType="end"/>
      </w:r>
      <w:r>
        <w:rPr>
          <w:rFonts w:hint="eastAsia"/>
          <w:color w:val="auto"/>
          <w:highlight w:val="none"/>
          <w:lang w:val="en-US" w:eastAsia="en-US"/>
        </w:rPr>
        <w:fldChar w:fldCharType="end"/>
      </w:r>
    </w:p>
    <w:p w14:paraId="16BBA171">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_Toc7145 </w:instrText>
      </w:r>
      <w:r>
        <w:rPr>
          <w:rFonts w:hint="eastAsia"/>
          <w:highlight w:val="none"/>
          <w:lang w:val="en-US" w:eastAsia="en-US"/>
        </w:rPr>
        <w:fldChar w:fldCharType="separate"/>
      </w:r>
      <w:r>
        <w:rPr>
          <w:rFonts w:hint="eastAsia"/>
          <w:highlight w:val="none"/>
          <w:lang w:val="en-US" w:eastAsia="zh-CN"/>
        </w:rPr>
        <w:t>第二节 高站位建设莲花科创新城</w:t>
      </w:r>
      <w:r>
        <w:tab/>
      </w:r>
      <w:r>
        <w:fldChar w:fldCharType="begin"/>
      </w:r>
      <w:r>
        <w:instrText xml:space="preserve"> PAGEREF _Toc7145 \h </w:instrText>
      </w:r>
      <w:r>
        <w:fldChar w:fldCharType="separate"/>
      </w:r>
      <w:r>
        <w:t>52</w:t>
      </w:r>
      <w:r>
        <w:fldChar w:fldCharType="end"/>
      </w:r>
      <w:r>
        <w:rPr>
          <w:rFonts w:hint="eastAsia"/>
          <w:color w:val="auto"/>
          <w:highlight w:val="none"/>
          <w:lang w:val="en-US" w:eastAsia="en-US"/>
        </w:rPr>
        <w:fldChar w:fldCharType="end"/>
      </w:r>
    </w:p>
    <w:p w14:paraId="0C176E58">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_Toc7384 </w:instrText>
      </w:r>
      <w:r>
        <w:rPr>
          <w:rFonts w:hint="eastAsia"/>
          <w:highlight w:val="none"/>
          <w:lang w:val="en-US" w:eastAsia="en-US"/>
        </w:rPr>
        <w:fldChar w:fldCharType="separate"/>
      </w:r>
      <w:r>
        <w:rPr>
          <w:rFonts w:hint="eastAsia"/>
          <w:highlight w:val="none"/>
          <w:lang w:val="en-US" w:eastAsia="zh-CN"/>
        </w:rPr>
        <w:t>第三节 高质量推进城市更新</w:t>
      </w:r>
      <w:r>
        <w:tab/>
      </w:r>
      <w:r>
        <w:fldChar w:fldCharType="begin"/>
      </w:r>
      <w:r>
        <w:instrText xml:space="preserve"> PAGEREF _Toc7384 \h </w:instrText>
      </w:r>
      <w:r>
        <w:fldChar w:fldCharType="separate"/>
      </w:r>
      <w:r>
        <w:t>53</w:t>
      </w:r>
      <w:r>
        <w:fldChar w:fldCharType="end"/>
      </w:r>
      <w:r>
        <w:rPr>
          <w:rFonts w:hint="eastAsia"/>
          <w:color w:val="auto"/>
          <w:highlight w:val="none"/>
          <w:lang w:val="en-US" w:eastAsia="en-US"/>
        </w:rPr>
        <w:fldChar w:fldCharType="end"/>
      </w:r>
    </w:p>
    <w:p w14:paraId="55CFD8D3">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_Toc5985 </w:instrText>
      </w:r>
      <w:r>
        <w:rPr>
          <w:rFonts w:hint="eastAsia"/>
          <w:highlight w:val="none"/>
          <w:lang w:val="en-US" w:eastAsia="en-US"/>
        </w:rPr>
        <w:fldChar w:fldCharType="separate"/>
      </w:r>
      <w:r>
        <w:rPr>
          <w:rFonts w:hint="eastAsia"/>
          <w:highlight w:val="none"/>
          <w:lang w:val="en-US" w:eastAsia="zh-CN"/>
        </w:rPr>
        <w:t>第四节 完善城乡互联互通基础设施</w:t>
      </w:r>
      <w:r>
        <w:tab/>
      </w:r>
      <w:r>
        <w:fldChar w:fldCharType="begin"/>
      </w:r>
      <w:r>
        <w:instrText xml:space="preserve"> PAGEREF _Toc5985 \h </w:instrText>
      </w:r>
      <w:r>
        <w:fldChar w:fldCharType="separate"/>
      </w:r>
      <w:r>
        <w:t>54</w:t>
      </w:r>
      <w:r>
        <w:fldChar w:fldCharType="end"/>
      </w:r>
      <w:r>
        <w:rPr>
          <w:rFonts w:hint="eastAsia"/>
          <w:color w:val="auto"/>
          <w:highlight w:val="none"/>
          <w:lang w:val="en-US" w:eastAsia="en-US"/>
        </w:rPr>
        <w:fldChar w:fldCharType="end"/>
      </w:r>
    </w:p>
    <w:p w14:paraId="386FB318">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_Toc6005 </w:instrText>
      </w:r>
      <w:r>
        <w:rPr>
          <w:rFonts w:hint="eastAsia"/>
          <w:highlight w:val="none"/>
          <w:lang w:val="en-US" w:eastAsia="en-US"/>
        </w:rPr>
        <w:fldChar w:fldCharType="separate"/>
      </w:r>
      <w:r>
        <w:rPr>
          <w:rFonts w:hint="eastAsia"/>
          <w:bCs/>
          <w:highlight w:val="none"/>
          <w:lang w:val="en-US" w:eastAsia="zh-CN"/>
        </w:rPr>
        <w:t>第八章 全面深化改革攻坚，释放高质量发展动能</w:t>
      </w:r>
      <w:r>
        <w:tab/>
      </w:r>
      <w:r>
        <w:fldChar w:fldCharType="begin"/>
      </w:r>
      <w:r>
        <w:instrText xml:space="preserve"> PAGEREF _Toc6005 \h </w:instrText>
      </w:r>
      <w:r>
        <w:fldChar w:fldCharType="separate"/>
      </w:r>
      <w:r>
        <w:t>56</w:t>
      </w:r>
      <w:r>
        <w:fldChar w:fldCharType="end"/>
      </w:r>
      <w:r>
        <w:rPr>
          <w:rFonts w:hint="eastAsia"/>
          <w:color w:val="auto"/>
          <w:highlight w:val="none"/>
          <w:lang w:val="en-US" w:eastAsia="en-US"/>
        </w:rPr>
        <w:fldChar w:fldCharType="end"/>
      </w:r>
    </w:p>
    <w:p w14:paraId="5C89EAB5">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_Toc20770 </w:instrText>
      </w:r>
      <w:r>
        <w:rPr>
          <w:rFonts w:hint="eastAsia"/>
          <w:highlight w:val="none"/>
          <w:lang w:val="en-US" w:eastAsia="en-US"/>
        </w:rPr>
        <w:fldChar w:fldCharType="separate"/>
      </w:r>
      <w:r>
        <w:rPr>
          <w:rFonts w:hint="eastAsia"/>
          <w:bCs w:val="0"/>
          <w:highlight w:val="none"/>
          <w:lang w:val="en-US" w:eastAsia="zh-CN"/>
        </w:rPr>
        <w:t>第一节 攻坚重点领域改革</w:t>
      </w:r>
      <w:r>
        <w:tab/>
      </w:r>
      <w:r>
        <w:fldChar w:fldCharType="begin"/>
      </w:r>
      <w:r>
        <w:instrText xml:space="preserve"> PAGEREF _Toc20770 \h </w:instrText>
      </w:r>
      <w:r>
        <w:fldChar w:fldCharType="separate"/>
      </w:r>
      <w:r>
        <w:t>56</w:t>
      </w:r>
      <w:r>
        <w:fldChar w:fldCharType="end"/>
      </w:r>
      <w:r>
        <w:rPr>
          <w:rFonts w:hint="eastAsia"/>
          <w:color w:val="auto"/>
          <w:highlight w:val="none"/>
          <w:lang w:val="en-US" w:eastAsia="en-US"/>
        </w:rPr>
        <w:fldChar w:fldCharType="end"/>
      </w:r>
    </w:p>
    <w:p w14:paraId="6A8C9792">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_Toc7059 </w:instrText>
      </w:r>
      <w:r>
        <w:rPr>
          <w:rFonts w:hint="eastAsia"/>
          <w:highlight w:val="none"/>
          <w:lang w:val="en-US" w:eastAsia="en-US"/>
        </w:rPr>
        <w:fldChar w:fldCharType="separate"/>
      </w:r>
      <w:r>
        <w:rPr>
          <w:rFonts w:hint="eastAsia"/>
          <w:bCs w:val="0"/>
          <w:highlight w:val="none"/>
          <w:lang w:val="en-US" w:eastAsia="zh-CN"/>
        </w:rPr>
        <w:t>第二节 培育壮大高质量市场主体</w:t>
      </w:r>
      <w:r>
        <w:tab/>
      </w:r>
      <w:r>
        <w:fldChar w:fldCharType="begin"/>
      </w:r>
      <w:r>
        <w:instrText xml:space="preserve"> PAGEREF _Toc7059 \h </w:instrText>
      </w:r>
      <w:r>
        <w:fldChar w:fldCharType="separate"/>
      </w:r>
      <w:r>
        <w:t>57</w:t>
      </w:r>
      <w:r>
        <w:fldChar w:fldCharType="end"/>
      </w:r>
      <w:r>
        <w:rPr>
          <w:rFonts w:hint="eastAsia"/>
          <w:color w:val="auto"/>
          <w:highlight w:val="none"/>
          <w:lang w:val="en-US" w:eastAsia="en-US"/>
        </w:rPr>
        <w:fldChar w:fldCharType="end"/>
      </w:r>
    </w:p>
    <w:p w14:paraId="476469D0">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_Toc9796 </w:instrText>
      </w:r>
      <w:r>
        <w:rPr>
          <w:rFonts w:hint="eastAsia"/>
          <w:highlight w:val="none"/>
          <w:lang w:val="en-US" w:eastAsia="en-US"/>
        </w:rPr>
        <w:fldChar w:fldCharType="separate"/>
      </w:r>
      <w:r>
        <w:rPr>
          <w:rFonts w:hint="eastAsia"/>
          <w:highlight w:val="none"/>
          <w:lang w:val="en-US" w:eastAsia="zh-CN"/>
        </w:rPr>
        <w:t>第三节 深化营商环境改革</w:t>
      </w:r>
      <w:r>
        <w:tab/>
      </w:r>
      <w:r>
        <w:fldChar w:fldCharType="begin"/>
      </w:r>
      <w:r>
        <w:instrText xml:space="preserve"> PAGEREF _Toc9796 \h </w:instrText>
      </w:r>
      <w:r>
        <w:fldChar w:fldCharType="separate"/>
      </w:r>
      <w:r>
        <w:t>58</w:t>
      </w:r>
      <w:r>
        <w:fldChar w:fldCharType="end"/>
      </w:r>
      <w:r>
        <w:rPr>
          <w:rFonts w:hint="eastAsia"/>
          <w:color w:val="auto"/>
          <w:highlight w:val="none"/>
          <w:lang w:val="en-US" w:eastAsia="en-US"/>
        </w:rPr>
        <w:fldChar w:fldCharType="end"/>
      </w:r>
    </w:p>
    <w:p w14:paraId="510E0192">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_Toc5845 </w:instrText>
      </w:r>
      <w:r>
        <w:rPr>
          <w:rFonts w:hint="eastAsia"/>
          <w:highlight w:val="none"/>
          <w:lang w:val="en-US" w:eastAsia="en-US"/>
        </w:rPr>
        <w:fldChar w:fldCharType="separate"/>
      </w:r>
      <w:r>
        <w:rPr>
          <w:rFonts w:hint="eastAsia"/>
          <w:highlight w:val="none"/>
          <w:lang w:val="en-US" w:eastAsia="zh-CN"/>
        </w:rPr>
        <w:t>第九章 践行项目为王理念，提升招商引资和项目建设能效</w:t>
      </w:r>
      <w:r>
        <w:tab/>
      </w:r>
      <w:r>
        <w:fldChar w:fldCharType="begin"/>
      </w:r>
      <w:r>
        <w:instrText xml:space="preserve"> PAGEREF _Toc5845 \h </w:instrText>
      </w:r>
      <w:r>
        <w:fldChar w:fldCharType="separate"/>
      </w:r>
      <w:r>
        <w:t>60</w:t>
      </w:r>
      <w:r>
        <w:fldChar w:fldCharType="end"/>
      </w:r>
      <w:r>
        <w:rPr>
          <w:rFonts w:hint="eastAsia"/>
          <w:color w:val="auto"/>
          <w:highlight w:val="none"/>
          <w:lang w:val="en-US" w:eastAsia="en-US"/>
        </w:rPr>
        <w:fldChar w:fldCharType="end"/>
      </w:r>
    </w:p>
    <w:p w14:paraId="40BFCB26">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_Toc26405 </w:instrText>
      </w:r>
      <w:r>
        <w:rPr>
          <w:rFonts w:hint="eastAsia"/>
          <w:highlight w:val="none"/>
          <w:lang w:val="en-US" w:eastAsia="en-US"/>
        </w:rPr>
        <w:fldChar w:fldCharType="separate"/>
      </w:r>
      <w:r>
        <w:rPr>
          <w:rFonts w:hint="eastAsia"/>
          <w:highlight w:val="none"/>
          <w:lang w:val="en-US" w:eastAsia="zh-CN"/>
        </w:rPr>
        <w:t>第一节 精准出击谋划招商</w:t>
      </w:r>
      <w:r>
        <w:tab/>
      </w:r>
      <w:r>
        <w:fldChar w:fldCharType="begin"/>
      </w:r>
      <w:r>
        <w:instrText xml:space="preserve"> PAGEREF _Toc26405 \h </w:instrText>
      </w:r>
      <w:r>
        <w:fldChar w:fldCharType="separate"/>
      </w:r>
      <w:r>
        <w:t>60</w:t>
      </w:r>
      <w:r>
        <w:fldChar w:fldCharType="end"/>
      </w:r>
      <w:r>
        <w:rPr>
          <w:rFonts w:hint="eastAsia"/>
          <w:color w:val="auto"/>
          <w:highlight w:val="none"/>
          <w:lang w:val="en-US" w:eastAsia="en-US"/>
        </w:rPr>
        <w:fldChar w:fldCharType="end"/>
      </w:r>
    </w:p>
    <w:p w14:paraId="1A0ECDCD">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_Toc21596 </w:instrText>
      </w:r>
      <w:r>
        <w:rPr>
          <w:rFonts w:hint="eastAsia"/>
          <w:highlight w:val="none"/>
          <w:lang w:val="en-US" w:eastAsia="en-US"/>
        </w:rPr>
        <w:fldChar w:fldCharType="separate"/>
      </w:r>
      <w:r>
        <w:rPr>
          <w:rFonts w:hint="eastAsia"/>
          <w:bCs w:val="0"/>
          <w:highlight w:val="none"/>
          <w:lang w:val="en-US" w:eastAsia="zh-CN"/>
        </w:rPr>
        <w:t>第二节 积极扩大有效投资</w:t>
      </w:r>
      <w:r>
        <w:tab/>
      </w:r>
      <w:r>
        <w:fldChar w:fldCharType="begin"/>
      </w:r>
      <w:r>
        <w:instrText xml:space="preserve"> PAGEREF _Toc21596 \h </w:instrText>
      </w:r>
      <w:r>
        <w:fldChar w:fldCharType="separate"/>
      </w:r>
      <w:r>
        <w:t>61</w:t>
      </w:r>
      <w:r>
        <w:fldChar w:fldCharType="end"/>
      </w:r>
      <w:r>
        <w:rPr>
          <w:rFonts w:hint="eastAsia"/>
          <w:color w:val="auto"/>
          <w:highlight w:val="none"/>
          <w:lang w:val="en-US" w:eastAsia="en-US"/>
        </w:rPr>
        <w:fldChar w:fldCharType="end"/>
      </w:r>
    </w:p>
    <w:p w14:paraId="03089A6A">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_Toc26037 </w:instrText>
      </w:r>
      <w:r>
        <w:rPr>
          <w:rFonts w:hint="eastAsia"/>
          <w:highlight w:val="none"/>
          <w:lang w:val="en-US" w:eastAsia="en-US"/>
        </w:rPr>
        <w:fldChar w:fldCharType="separate"/>
      </w:r>
      <w:r>
        <w:rPr>
          <w:rFonts w:hint="eastAsia"/>
          <w:bCs w:val="0"/>
          <w:highlight w:val="none"/>
          <w:lang w:val="en-US" w:eastAsia="zh-CN"/>
        </w:rPr>
        <w:t>第三节 加强投资要素保障</w:t>
      </w:r>
      <w:r>
        <w:tab/>
      </w:r>
      <w:r>
        <w:fldChar w:fldCharType="begin"/>
      </w:r>
      <w:r>
        <w:instrText xml:space="preserve"> PAGEREF _Toc26037 \h </w:instrText>
      </w:r>
      <w:r>
        <w:fldChar w:fldCharType="separate"/>
      </w:r>
      <w:r>
        <w:t>62</w:t>
      </w:r>
      <w:r>
        <w:fldChar w:fldCharType="end"/>
      </w:r>
      <w:r>
        <w:rPr>
          <w:rFonts w:hint="eastAsia"/>
          <w:color w:val="auto"/>
          <w:highlight w:val="none"/>
          <w:lang w:val="en-US" w:eastAsia="en-US"/>
        </w:rPr>
        <w:fldChar w:fldCharType="end"/>
      </w:r>
    </w:p>
    <w:p w14:paraId="4FE860EA">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_Toc3169 </w:instrText>
      </w:r>
      <w:r>
        <w:rPr>
          <w:rFonts w:hint="eastAsia"/>
          <w:highlight w:val="none"/>
          <w:lang w:val="en-US" w:eastAsia="en-US"/>
        </w:rPr>
        <w:fldChar w:fldCharType="separate"/>
      </w:r>
      <w:r>
        <w:rPr>
          <w:rFonts w:hint="eastAsia"/>
          <w:highlight w:val="none"/>
          <w:lang w:val="en-US" w:eastAsia="zh-CN"/>
        </w:rPr>
        <w:t>第十章 繁荣发展文化事业，擦亮历史文化名城品牌</w:t>
      </w:r>
      <w:r>
        <w:tab/>
      </w:r>
      <w:r>
        <w:fldChar w:fldCharType="begin"/>
      </w:r>
      <w:r>
        <w:instrText xml:space="preserve"> PAGEREF _Toc3169 \h </w:instrText>
      </w:r>
      <w:r>
        <w:fldChar w:fldCharType="separate"/>
      </w:r>
      <w:r>
        <w:t>63</w:t>
      </w:r>
      <w:r>
        <w:fldChar w:fldCharType="end"/>
      </w:r>
      <w:r>
        <w:rPr>
          <w:rFonts w:hint="eastAsia"/>
          <w:color w:val="auto"/>
          <w:highlight w:val="none"/>
          <w:lang w:val="en-US" w:eastAsia="en-US"/>
        </w:rPr>
        <w:fldChar w:fldCharType="end"/>
      </w:r>
    </w:p>
    <w:p w14:paraId="38035D5D">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_Toc5927 </w:instrText>
      </w:r>
      <w:r>
        <w:rPr>
          <w:rFonts w:hint="eastAsia"/>
          <w:highlight w:val="none"/>
          <w:lang w:val="en-US" w:eastAsia="en-US"/>
        </w:rPr>
        <w:fldChar w:fldCharType="separate"/>
      </w:r>
      <w:r>
        <w:rPr>
          <w:rFonts w:hint="eastAsia"/>
          <w:highlight w:val="none"/>
          <w:lang w:val="en-US" w:eastAsia="zh-CN"/>
        </w:rPr>
        <w:t>第一节 提升新时代精神文明建设水平</w:t>
      </w:r>
      <w:r>
        <w:tab/>
      </w:r>
      <w:r>
        <w:fldChar w:fldCharType="begin"/>
      </w:r>
      <w:r>
        <w:instrText xml:space="preserve"> PAGEREF _Toc5927 \h </w:instrText>
      </w:r>
      <w:r>
        <w:fldChar w:fldCharType="separate"/>
      </w:r>
      <w:r>
        <w:t>63</w:t>
      </w:r>
      <w:r>
        <w:fldChar w:fldCharType="end"/>
      </w:r>
      <w:r>
        <w:rPr>
          <w:rFonts w:hint="eastAsia"/>
          <w:color w:val="auto"/>
          <w:highlight w:val="none"/>
          <w:lang w:val="en-US" w:eastAsia="en-US"/>
        </w:rPr>
        <w:fldChar w:fldCharType="end"/>
      </w:r>
    </w:p>
    <w:p w14:paraId="31C02711">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_Toc3491 </w:instrText>
      </w:r>
      <w:r>
        <w:rPr>
          <w:rFonts w:hint="eastAsia"/>
          <w:highlight w:val="none"/>
          <w:lang w:val="en-US" w:eastAsia="en-US"/>
        </w:rPr>
        <w:fldChar w:fldCharType="separate"/>
      </w:r>
      <w:r>
        <w:rPr>
          <w:rFonts w:hint="eastAsia"/>
          <w:highlight w:val="none"/>
          <w:lang w:val="en-US" w:eastAsia="zh-CN"/>
        </w:rPr>
        <w:t>第二节 大力繁荣文化事业</w:t>
      </w:r>
      <w:r>
        <w:tab/>
      </w:r>
      <w:r>
        <w:fldChar w:fldCharType="begin"/>
      </w:r>
      <w:r>
        <w:instrText xml:space="preserve"> PAGEREF _Toc3491 \h </w:instrText>
      </w:r>
      <w:r>
        <w:fldChar w:fldCharType="separate"/>
      </w:r>
      <w:r>
        <w:t>64</w:t>
      </w:r>
      <w:r>
        <w:fldChar w:fldCharType="end"/>
      </w:r>
      <w:r>
        <w:rPr>
          <w:rFonts w:hint="eastAsia"/>
          <w:color w:val="auto"/>
          <w:highlight w:val="none"/>
          <w:lang w:val="en-US" w:eastAsia="en-US"/>
        </w:rPr>
        <w:fldChar w:fldCharType="end"/>
      </w:r>
    </w:p>
    <w:p w14:paraId="0998522A">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_Toc27699 </w:instrText>
      </w:r>
      <w:r>
        <w:rPr>
          <w:rFonts w:hint="eastAsia"/>
          <w:highlight w:val="none"/>
          <w:lang w:val="en-US" w:eastAsia="en-US"/>
        </w:rPr>
        <w:fldChar w:fldCharType="separate"/>
      </w:r>
      <w:r>
        <w:rPr>
          <w:rFonts w:hint="eastAsia"/>
          <w:highlight w:val="none"/>
          <w:lang w:val="en-US" w:eastAsia="zh-CN"/>
        </w:rPr>
        <w:t>第三节 拓展文旅体产业发展空间</w:t>
      </w:r>
      <w:r>
        <w:tab/>
      </w:r>
      <w:r>
        <w:fldChar w:fldCharType="begin"/>
      </w:r>
      <w:r>
        <w:instrText xml:space="preserve"> PAGEREF _Toc27699 \h </w:instrText>
      </w:r>
      <w:r>
        <w:fldChar w:fldCharType="separate"/>
      </w:r>
      <w:r>
        <w:t>65</w:t>
      </w:r>
      <w:r>
        <w:fldChar w:fldCharType="end"/>
      </w:r>
      <w:r>
        <w:rPr>
          <w:rFonts w:hint="eastAsia"/>
          <w:color w:val="auto"/>
          <w:highlight w:val="none"/>
          <w:lang w:val="en-US" w:eastAsia="en-US"/>
        </w:rPr>
        <w:fldChar w:fldCharType="end"/>
      </w:r>
    </w:p>
    <w:p w14:paraId="74579382">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_Toc14122 </w:instrText>
      </w:r>
      <w:r>
        <w:rPr>
          <w:rFonts w:hint="eastAsia"/>
          <w:highlight w:val="none"/>
          <w:lang w:val="en-US" w:eastAsia="en-US"/>
        </w:rPr>
        <w:fldChar w:fldCharType="separate"/>
      </w:r>
      <w:r>
        <w:rPr>
          <w:rFonts w:hint="eastAsia"/>
          <w:bCs/>
          <w:highlight w:val="none"/>
          <w:lang w:val="en-US" w:eastAsia="zh-CN"/>
        </w:rPr>
        <w:t>第十一章 持续增进民生福祉，建设更加普惠幸福浈江</w:t>
      </w:r>
      <w:r>
        <w:tab/>
      </w:r>
      <w:r>
        <w:fldChar w:fldCharType="begin"/>
      </w:r>
      <w:r>
        <w:instrText xml:space="preserve"> PAGEREF _Toc14122 \h </w:instrText>
      </w:r>
      <w:r>
        <w:fldChar w:fldCharType="separate"/>
      </w:r>
      <w:r>
        <w:t>68</w:t>
      </w:r>
      <w:r>
        <w:fldChar w:fldCharType="end"/>
      </w:r>
      <w:r>
        <w:rPr>
          <w:rFonts w:hint="eastAsia"/>
          <w:color w:val="auto"/>
          <w:highlight w:val="none"/>
          <w:lang w:val="en-US" w:eastAsia="en-US"/>
        </w:rPr>
        <w:fldChar w:fldCharType="end"/>
      </w:r>
    </w:p>
    <w:p w14:paraId="7EC674F8">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_Toc23620 </w:instrText>
      </w:r>
      <w:r>
        <w:rPr>
          <w:rFonts w:hint="eastAsia"/>
          <w:highlight w:val="none"/>
          <w:lang w:val="en-US" w:eastAsia="en-US"/>
        </w:rPr>
        <w:fldChar w:fldCharType="separate"/>
      </w:r>
      <w:r>
        <w:rPr>
          <w:rFonts w:hint="eastAsia"/>
          <w:bCs w:val="0"/>
          <w:highlight w:val="none"/>
          <w:lang w:val="en-US" w:eastAsia="zh-CN"/>
        </w:rPr>
        <w:t>第一节 推进高质量充分就业</w:t>
      </w:r>
      <w:r>
        <w:tab/>
      </w:r>
      <w:r>
        <w:fldChar w:fldCharType="begin"/>
      </w:r>
      <w:r>
        <w:instrText xml:space="preserve"> PAGEREF _Toc23620 \h </w:instrText>
      </w:r>
      <w:r>
        <w:fldChar w:fldCharType="separate"/>
      </w:r>
      <w:r>
        <w:t>68</w:t>
      </w:r>
      <w:r>
        <w:fldChar w:fldCharType="end"/>
      </w:r>
      <w:r>
        <w:rPr>
          <w:rFonts w:hint="eastAsia"/>
          <w:color w:val="auto"/>
          <w:highlight w:val="none"/>
          <w:lang w:val="en-US" w:eastAsia="en-US"/>
        </w:rPr>
        <w:fldChar w:fldCharType="end"/>
      </w:r>
    </w:p>
    <w:p w14:paraId="38E22ED9">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_Toc27946 </w:instrText>
      </w:r>
      <w:r>
        <w:rPr>
          <w:rFonts w:hint="eastAsia"/>
          <w:highlight w:val="none"/>
          <w:lang w:val="en-US" w:eastAsia="en-US"/>
        </w:rPr>
        <w:fldChar w:fldCharType="separate"/>
      </w:r>
      <w:r>
        <w:rPr>
          <w:rFonts w:hint="eastAsia"/>
          <w:bCs w:val="0"/>
          <w:highlight w:val="none"/>
          <w:lang w:val="en-US" w:eastAsia="zh-CN"/>
        </w:rPr>
        <w:t>第二节 办好人民满意的教育</w:t>
      </w:r>
      <w:r>
        <w:tab/>
      </w:r>
      <w:r>
        <w:fldChar w:fldCharType="begin"/>
      </w:r>
      <w:r>
        <w:instrText xml:space="preserve"> PAGEREF _Toc27946 \h </w:instrText>
      </w:r>
      <w:r>
        <w:fldChar w:fldCharType="separate"/>
      </w:r>
      <w:r>
        <w:t>69</w:t>
      </w:r>
      <w:r>
        <w:fldChar w:fldCharType="end"/>
      </w:r>
      <w:r>
        <w:rPr>
          <w:rFonts w:hint="eastAsia"/>
          <w:color w:val="auto"/>
          <w:highlight w:val="none"/>
          <w:lang w:val="en-US" w:eastAsia="en-US"/>
        </w:rPr>
        <w:fldChar w:fldCharType="end"/>
      </w:r>
    </w:p>
    <w:p w14:paraId="471B5772">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_Toc17229 </w:instrText>
      </w:r>
      <w:r>
        <w:rPr>
          <w:rFonts w:hint="eastAsia"/>
          <w:highlight w:val="none"/>
          <w:lang w:val="en-US" w:eastAsia="en-US"/>
        </w:rPr>
        <w:fldChar w:fldCharType="separate"/>
      </w:r>
      <w:r>
        <w:rPr>
          <w:rFonts w:hint="eastAsia"/>
          <w:highlight w:val="none"/>
          <w:lang w:val="en-US" w:eastAsia="zh-CN"/>
        </w:rPr>
        <w:t>第三节 建设更高水平的健康浈江</w:t>
      </w:r>
      <w:r>
        <w:tab/>
      </w:r>
      <w:r>
        <w:fldChar w:fldCharType="begin"/>
      </w:r>
      <w:r>
        <w:instrText xml:space="preserve"> PAGEREF _Toc17229 \h </w:instrText>
      </w:r>
      <w:r>
        <w:fldChar w:fldCharType="separate"/>
      </w:r>
      <w:r>
        <w:t>72</w:t>
      </w:r>
      <w:r>
        <w:fldChar w:fldCharType="end"/>
      </w:r>
      <w:r>
        <w:rPr>
          <w:rFonts w:hint="eastAsia"/>
          <w:color w:val="auto"/>
          <w:highlight w:val="none"/>
          <w:lang w:val="en-US" w:eastAsia="en-US"/>
        </w:rPr>
        <w:fldChar w:fldCharType="end"/>
      </w:r>
    </w:p>
    <w:p w14:paraId="2D374CBF">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_Toc18964 </w:instrText>
      </w:r>
      <w:r>
        <w:rPr>
          <w:rFonts w:hint="eastAsia"/>
          <w:highlight w:val="none"/>
          <w:lang w:val="en-US" w:eastAsia="en-US"/>
        </w:rPr>
        <w:fldChar w:fldCharType="separate"/>
      </w:r>
      <w:r>
        <w:rPr>
          <w:rFonts w:hint="eastAsia"/>
          <w:bCs w:val="0"/>
          <w:highlight w:val="none"/>
          <w:lang w:val="en-US" w:eastAsia="zh-CN"/>
        </w:rPr>
        <w:t>第四节 织密扎牢社会保障网</w:t>
      </w:r>
      <w:r>
        <w:tab/>
      </w:r>
      <w:r>
        <w:fldChar w:fldCharType="begin"/>
      </w:r>
      <w:r>
        <w:instrText xml:space="preserve"> PAGEREF _Toc18964 \h </w:instrText>
      </w:r>
      <w:r>
        <w:fldChar w:fldCharType="separate"/>
      </w:r>
      <w:r>
        <w:t>73</w:t>
      </w:r>
      <w:r>
        <w:fldChar w:fldCharType="end"/>
      </w:r>
      <w:r>
        <w:rPr>
          <w:rFonts w:hint="eastAsia"/>
          <w:color w:val="auto"/>
          <w:highlight w:val="none"/>
          <w:lang w:val="en-US" w:eastAsia="en-US"/>
        </w:rPr>
        <w:fldChar w:fldCharType="end"/>
      </w:r>
    </w:p>
    <w:p w14:paraId="7F21AF7D">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_Toc28446 </w:instrText>
      </w:r>
      <w:r>
        <w:rPr>
          <w:rFonts w:hint="eastAsia"/>
          <w:highlight w:val="none"/>
          <w:lang w:val="en-US" w:eastAsia="en-US"/>
        </w:rPr>
        <w:fldChar w:fldCharType="separate"/>
      </w:r>
      <w:r>
        <w:rPr>
          <w:rFonts w:hint="eastAsia"/>
          <w:bCs w:val="0"/>
          <w:highlight w:val="none"/>
          <w:lang w:val="en-US" w:eastAsia="zh-CN"/>
        </w:rPr>
        <w:t>第五节 促进人口高质量发展</w:t>
      </w:r>
      <w:r>
        <w:tab/>
      </w:r>
      <w:r>
        <w:fldChar w:fldCharType="begin"/>
      </w:r>
      <w:r>
        <w:instrText xml:space="preserve"> PAGEREF _Toc28446 \h </w:instrText>
      </w:r>
      <w:r>
        <w:fldChar w:fldCharType="separate"/>
      </w:r>
      <w:r>
        <w:t>75</w:t>
      </w:r>
      <w:r>
        <w:fldChar w:fldCharType="end"/>
      </w:r>
      <w:r>
        <w:rPr>
          <w:rFonts w:hint="eastAsia"/>
          <w:color w:val="auto"/>
          <w:highlight w:val="none"/>
          <w:lang w:val="en-US" w:eastAsia="en-US"/>
        </w:rPr>
        <w:fldChar w:fldCharType="end"/>
      </w:r>
    </w:p>
    <w:p w14:paraId="4C16BEA1">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_Toc5396 </w:instrText>
      </w:r>
      <w:r>
        <w:rPr>
          <w:rFonts w:hint="eastAsia"/>
          <w:highlight w:val="none"/>
          <w:lang w:val="en-US" w:eastAsia="en-US"/>
        </w:rPr>
        <w:fldChar w:fldCharType="separate"/>
      </w:r>
      <w:r>
        <w:rPr>
          <w:rFonts w:hint="eastAsia"/>
          <w:highlight w:val="none"/>
          <w:lang w:val="en-US" w:eastAsia="zh-CN"/>
        </w:rPr>
        <w:t>第十二章 深化绿美生态建设，打造美丽浈江生态样板</w:t>
      </w:r>
      <w:r>
        <w:tab/>
      </w:r>
      <w:r>
        <w:fldChar w:fldCharType="begin"/>
      </w:r>
      <w:r>
        <w:instrText xml:space="preserve"> PAGEREF _Toc5396 \h </w:instrText>
      </w:r>
      <w:r>
        <w:fldChar w:fldCharType="separate"/>
      </w:r>
      <w:r>
        <w:t>77</w:t>
      </w:r>
      <w:r>
        <w:fldChar w:fldCharType="end"/>
      </w:r>
      <w:r>
        <w:rPr>
          <w:rFonts w:hint="eastAsia"/>
          <w:color w:val="auto"/>
          <w:highlight w:val="none"/>
          <w:lang w:val="en-US" w:eastAsia="en-US"/>
        </w:rPr>
        <w:fldChar w:fldCharType="end"/>
      </w:r>
    </w:p>
    <w:p w14:paraId="78330348">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_Toc24677 </w:instrText>
      </w:r>
      <w:r>
        <w:rPr>
          <w:rFonts w:hint="eastAsia"/>
          <w:highlight w:val="none"/>
          <w:lang w:val="en-US" w:eastAsia="en-US"/>
        </w:rPr>
        <w:fldChar w:fldCharType="separate"/>
      </w:r>
      <w:r>
        <w:rPr>
          <w:rFonts w:hint="eastAsia"/>
          <w:highlight w:val="none"/>
          <w:lang w:val="en-US" w:eastAsia="zh-CN"/>
        </w:rPr>
        <w:t>第一节 擘画美丽浈江生态图景</w:t>
      </w:r>
      <w:r>
        <w:tab/>
      </w:r>
      <w:r>
        <w:fldChar w:fldCharType="begin"/>
      </w:r>
      <w:r>
        <w:instrText xml:space="preserve"> PAGEREF _Toc24677 \h </w:instrText>
      </w:r>
      <w:r>
        <w:fldChar w:fldCharType="separate"/>
      </w:r>
      <w:r>
        <w:t>77</w:t>
      </w:r>
      <w:r>
        <w:fldChar w:fldCharType="end"/>
      </w:r>
      <w:r>
        <w:rPr>
          <w:rFonts w:hint="eastAsia"/>
          <w:color w:val="auto"/>
          <w:highlight w:val="none"/>
          <w:lang w:val="en-US" w:eastAsia="en-US"/>
        </w:rPr>
        <w:fldChar w:fldCharType="end"/>
      </w:r>
    </w:p>
    <w:p w14:paraId="3E2C489A">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_Toc4489 </w:instrText>
      </w:r>
      <w:r>
        <w:rPr>
          <w:rFonts w:hint="eastAsia"/>
          <w:highlight w:val="none"/>
          <w:lang w:val="en-US" w:eastAsia="en-US"/>
        </w:rPr>
        <w:fldChar w:fldCharType="separate"/>
      </w:r>
      <w:r>
        <w:rPr>
          <w:rFonts w:hint="eastAsia"/>
          <w:highlight w:val="none"/>
          <w:lang w:val="en-US" w:eastAsia="zh-CN"/>
        </w:rPr>
        <w:t>第二节 全面提升生态环境品质</w:t>
      </w:r>
      <w:r>
        <w:tab/>
      </w:r>
      <w:r>
        <w:fldChar w:fldCharType="begin"/>
      </w:r>
      <w:r>
        <w:instrText xml:space="preserve"> PAGEREF _Toc4489 \h </w:instrText>
      </w:r>
      <w:r>
        <w:fldChar w:fldCharType="separate"/>
      </w:r>
      <w:r>
        <w:t>78</w:t>
      </w:r>
      <w:r>
        <w:fldChar w:fldCharType="end"/>
      </w:r>
      <w:r>
        <w:rPr>
          <w:rFonts w:hint="eastAsia"/>
          <w:color w:val="auto"/>
          <w:highlight w:val="none"/>
          <w:lang w:val="en-US" w:eastAsia="en-US"/>
        </w:rPr>
        <w:fldChar w:fldCharType="end"/>
      </w:r>
    </w:p>
    <w:p w14:paraId="7D475083">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_Toc9415 </w:instrText>
      </w:r>
      <w:r>
        <w:rPr>
          <w:rFonts w:hint="eastAsia"/>
          <w:highlight w:val="none"/>
          <w:lang w:val="en-US" w:eastAsia="en-US"/>
        </w:rPr>
        <w:fldChar w:fldCharType="separate"/>
      </w:r>
      <w:r>
        <w:rPr>
          <w:rFonts w:hint="eastAsia"/>
          <w:highlight w:val="none"/>
          <w:lang w:val="en-US" w:eastAsia="zh-CN"/>
        </w:rPr>
        <w:t>第三节 加快绿色低碳转型发展</w:t>
      </w:r>
      <w:r>
        <w:tab/>
      </w:r>
      <w:r>
        <w:fldChar w:fldCharType="begin"/>
      </w:r>
      <w:r>
        <w:instrText xml:space="preserve"> PAGEREF _Toc9415 \h </w:instrText>
      </w:r>
      <w:r>
        <w:fldChar w:fldCharType="separate"/>
      </w:r>
      <w:r>
        <w:t>79</w:t>
      </w:r>
      <w:r>
        <w:fldChar w:fldCharType="end"/>
      </w:r>
      <w:r>
        <w:rPr>
          <w:rFonts w:hint="eastAsia"/>
          <w:color w:val="auto"/>
          <w:highlight w:val="none"/>
          <w:lang w:val="en-US" w:eastAsia="en-US"/>
        </w:rPr>
        <w:fldChar w:fldCharType="end"/>
      </w:r>
    </w:p>
    <w:p w14:paraId="014B2F0C">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_Toc5951 </w:instrText>
      </w:r>
      <w:r>
        <w:rPr>
          <w:rFonts w:hint="eastAsia"/>
          <w:highlight w:val="none"/>
          <w:lang w:val="en-US" w:eastAsia="en-US"/>
        </w:rPr>
        <w:fldChar w:fldCharType="separate"/>
      </w:r>
      <w:r>
        <w:rPr>
          <w:rFonts w:hint="eastAsia"/>
          <w:highlight w:val="none"/>
          <w:lang w:val="en-US" w:eastAsia="zh-CN"/>
        </w:rPr>
        <w:t>第四节 拓宽生态价值转化路径</w:t>
      </w:r>
      <w:r>
        <w:tab/>
      </w:r>
      <w:r>
        <w:fldChar w:fldCharType="begin"/>
      </w:r>
      <w:r>
        <w:instrText xml:space="preserve"> PAGEREF _Toc5951 \h </w:instrText>
      </w:r>
      <w:r>
        <w:fldChar w:fldCharType="separate"/>
      </w:r>
      <w:r>
        <w:t>80</w:t>
      </w:r>
      <w:r>
        <w:fldChar w:fldCharType="end"/>
      </w:r>
      <w:r>
        <w:rPr>
          <w:rFonts w:hint="eastAsia"/>
          <w:color w:val="auto"/>
          <w:highlight w:val="none"/>
          <w:lang w:val="en-US" w:eastAsia="en-US"/>
        </w:rPr>
        <w:fldChar w:fldCharType="end"/>
      </w:r>
    </w:p>
    <w:p w14:paraId="341FBCE3">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_Toc6836 </w:instrText>
      </w:r>
      <w:r>
        <w:rPr>
          <w:rFonts w:hint="eastAsia"/>
          <w:highlight w:val="none"/>
          <w:lang w:val="en-US" w:eastAsia="en-US"/>
        </w:rPr>
        <w:fldChar w:fldCharType="separate"/>
      </w:r>
      <w:r>
        <w:rPr>
          <w:rFonts w:hint="eastAsia"/>
          <w:bCs/>
          <w:highlight w:val="none"/>
          <w:lang w:val="en-US" w:eastAsia="zh-CN"/>
        </w:rPr>
        <w:t>第十三章 统筹发展和安全，建设更高水平平安浈江</w:t>
      </w:r>
      <w:r>
        <w:tab/>
      </w:r>
      <w:r>
        <w:fldChar w:fldCharType="begin"/>
      </w:r>
      <w:r>
        <w:instrText xml:space="preserve"> PAGEREF _Toc6836 \h </w:instrText>
      </w:r>
      <w:r>
        <w:fldChar w:fldCharType="separate"/>
      </w:r>
      <w:r>
        <w:t>82</w:t>
      </w:r>
      <w:r>
        <w:fldChar w:fldCharType="end"/>
      </w:r>
      <w:r>
        <w:rPr>
          <w:rFonts w:hint="eastAsia"/>
          <w:color w:val="auto"/>
          <w:highlight w:val="none"/>
          <w:lang w:val="en-US" w:eastAsia="en-US"/>
        </w:rPr>
        <w:fldChar w:fldCharType="end"/>
      </w:r>
    </w:p>
    <w:p w14:paraId="1C8F6655">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_Toc8558 </w:instrText>
      </w:r>
      <w:r>
        <w:rPr>
          <w:rFonts w:hint="eastAsia"/>
          <w:highlight w:val="none"/>
          <w:lang w:val="en-US" w:eastAsia="en-US"/>
        </w:rPr>
        <w:fldChar w:fldCharType="separate"/>
      </w:r>
      <w:r>
        <w:rPr>
          <w:rFonts w:hint="eastAsia"/>
          <w:bCs w:val="0"/>
          <w:highlight w:val="none"/>
          <w:lang w:val="en-US" w:eastAsia="zh-CN"/>
        </w:rPr>
        <w:t>第一节 稳慎化解重点领域风险</w:t>
      </w:r>
      <w:r>
        <w:tab/>
      </w:r>
      <w:r>
        <w:fldChar w:fldCharType="begin"/>
      </w:r>
      <w:r>
        <w:instrText xml:space="preserve"> PAGEREF _Toc8558 \h </w:instrText>
      </w:r>
      <w:r>
        <w:fldChar w:fldCharType="separate"/>
      </w:r>
      <w:r>
        <w:t>82</w:t>
      </w:r>
      <w:r>
        <w:fldChar w:fldCharType="end"/>
      </w:r>
      <w:r>
        <w:rPr>
          <w:rFonts w:hint="eastAsia"/>
          <w:color w:val="auto"/>
          <w:highlight w:val="none"/>
          <w:lang w:val="en-US" w:eastAsia="en-US"/>
        </w:rPr>
        <w:fldChar w:fldCharType="end"/>
      </w:r>
    </w:p>
    <w:p w14:paraId="027400F0">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_Toc13537 </w:instrText>
      </w:r>
      <w:r>
        <w:rPr>
          <w:rFonts w:hint="eastAsia"/>
          <w:highlight w:val="none"/>
          <w:lang w:val="en-US" w:eastAsia="en-US"/>
        </w:rPr>
        <w:fldChar w:fldCharType="separate"/>
      </w:r>
      <w:r>
        <w:rPr>
          <w:rFonts w:hint="eastAsia"/>
          <w:bCs w:val="0"/>
          <w:highlight w:val="none"/>
          <w:lang w:val="en-US" w:eastAsia="zh-CN"/>
        </w:rPr>
        <w:t>第二节 筑牢公共安全防线</w:t>
      </w:r>
      <w:r>
        <w:tab/>
      </w:r>
      <w:r>
        <w:fldChar w:fldCharType="begin"/>
      </w:r>
      <w:r>
        <w:instrText xml:space="preserve"> PAGEREF _Toc13537 \h </w:instrText>
      </w:r>
      <w:r>
        <w:fldChar w:fldCharType="separate"/>
      </w:r>
      <w:r>
        <w:t>83</w:t>
      </w:r>
      <w:r>
        <w:fldChar w:fldCharType="end"/>
      </w:r>
      <w:r>
        <w:rPr>
          <w:rFonts w:hint="eastAsia"/>
          <w:color w:val="auto"/>
          <w:highlight w:val="none"/>
          <w:lang w:val="en-US" w:eastAsia="en-US"/>
        </w:rPr>
        <w:fldChar w:fldCharType="end"/>
      </w:r>
    </w:p>
    <w:p w14:paraId="0D983109">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_Toc13011 </w:instrText>
      </w:r>
      <w:r>
        <w:rPr>
          <w:rFonts w:hint="eastAsia"/>
          <w:highlight w:val="none"/>
          <w:lang w:val="en-US" w:eastAsia="en-US"/>
        </w:rPr>
        <w:fldChar w:fldCharType="separate"/>
      </w:r>
      <w:r>
        <w:rPr>
          <w:rFonts w:hint="eastAsia"/>
          <w:highlight w:val="none"/>
          <w:lang w:val="en-US" w:eastAsia="zh-CN"/>
        </w:rPr>
        <w:t>第三节 完善社会治理体系</w:t>
      </w:r>
      <w:r>
        <w:tab/>
      </w:r>
      <w:r>
        <w:fldChar w:fldCharType="begin"/>
      </w:r>
      <w:r>
        <w:instrText xml:space="preserve"> PAGEREF _Toc13011 \h </w:instrText>
      </w:r>
      <w:r>
        <w:fldChar w:fldCharType="separate"/>
      </w:r>
      <w:r>
        <w:t>84</w:t>
      </w:r>
      <w:r>
        <w:fldChar w:fldCharType="end"/>
      </w:r>
      <w:r>
        <w:rPr>
          <w:rFonts w:hint="eastAsia"/>
          <w:color w:val="auto"/>
          <w:highlight w:val="none"/>
          <w:lang w:val="en-US" w:eastAsia="en-US"/>
        </w:rPr>
        <w:fldChar w:fldCharType="end"/>
      </w:r>
    </w:p>
    <w:p w14:paraId="0CD9A55B">
      <w:pPr>
        <w:pStyle w:val="21"/>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_Toc17038 </w:instrText>
      </w:r>
      <w:r>
        <w:rPr>
          <w:rFonts w:hint="eastAsia"/>
          <w:highlight w:val="none"/>
          <w:lang w:val="en-US" w:eastAsia="en-US"/>
        </w:rPr>
        <w:fldChar w:fldCharType="separate"/>
      </w:r>
      <w:r>
        <w:rPr>
          <w:rFonts w:hint="eastAsia"/>
          <w:highlight w:val="none"/>
          <w:lang w:val="en-US" w:eastAsia="zh-CN"/>
        </w:rPr>
        <w:t>第十四章 坚持和加强党的全面领导，强化规划实施保障</w:t>
      </w:r>
      <w:r>
        <w:tab/>
      </w:r>
      <w:r>
        <w:fldChar w:fldCharType="begin"/>
      </w:r>
      <w:r>
        <w:instrText xml:space="preserve"> PAGEREF _Toc17038 \h </w:instrText>
      </w:r>
      <w:r>
        <w:fldChar w:fldCharType="separate"/>
      </w:r>
      <w:r>
        <w:t>87</w:t>
      </w:r>
      <w:r>
        <w:fldChar w:fldCharType="end"/>
      </w:r>
      <w:r>
        <w:rPr>
          <w:rFonts w:hint="eastAsia"/>
          <w:color w:val="auto"/>
          <w:highlight w:val="none"/>
          <w:lang w:val="en-US" w:eastAsia="en-US"/>
        </w:rPr>
        <w:fldChar w:fldCharType="end"/>
      </w:r>
    </w:p>
    <w:p w14:paraId="3FC67898">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_Toc8022 </w:instrText>
      </w:r>
      <w:r>
        <w:rPr>
          <w:rFonts w:hint="eastAsia"/>
          <w:highlight w:val="none"/>
          <w:lang w:val="en-US" w:eastAsia="en-US"/>
        </w:rPr>
        <w:fldChar w:fldCharType="separate"/>
      </w:r>
      <w:r>
        <w:rPr>
          <w:rFonts w:hint="eastAsia"/>
          <w:highlight w:val="none"/>
          <w:lang w:val="en-US" w:eastAsia="zh-CN"/>
        </w:rPr>
        <w:t>第一节 坚持和加强党的全面领导</w:t>
      </w:r>
      <w:r>
        <w:tab/>
      </w:r>
      <w:r>
        <w:fldChar w:fldCharType="begin"/>
      </w:r>
      <w:r>
        <w:instrText xml:space="preserve"> PAGEREF _Toc8022 \h </w:instrText>
      </w:r>
      <w:r>
        <w:fldChar w:fldCharType="separate"/>
      </w:r>
      <w:r>
        <w:t>87</w:t>
      </w:r>
      <w:r>
        <w:fldChar w:fldCharType="end"/>
      </w:r>
      <w:r>
        <w:rPr>
          <w:rFonts w:hint="eastAsia"/>
          <w:color w:val="auto"/>
          <w:highlight w:val="none"/>
          <w:lang w:val="en-US" w:eastAsia="en-US"/>
        </w:rPr>
        <w:fldChar w:fldCharType="end"/>
      </w:r>
    </w:p>
    <w:p w14:paraId="7E183990">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_Toc11011 </w:instrText>
      </w:r>
      <w:r>
        <w:rPr>
          <w:rFonts w:hint="eastAsia"/>
          <w:highlight w:val="none"/>
          <w:lang w:val="en-US" w:eastAsia="en-US"/>
        </w:rPr>
        <w:fldChar w:fldCharType="separate"/>
      </w:r>
      <w:r>
        <w:rPr>
          <w:rFonts w:hint="eastAsia"/>
          <w:strike w:val="0"/>
          <w:dstrike w:val="0"/>
          <w:highlight w:val="none"/>
          <w:lang w:val="en-US" w:eastAsia="zh-CN"/>
        </w:rPr>
        <w:t>第二节 完善统一规划体系</w:t>
      </w:r>
      <w:r>
        <w:tab/>
      </w:r>
      <w:r>
        <w:fldChar w:fldCharType="begin"/>
      </w:r>
      <w:r>
        <w:instrText xml:space="preserve"> PAGEREF _Toc11011 \h </w:instrText>
      </w:r>
      <w:r>
        <w:fldChar w:fldCharType="separate"/>
      </w:r>
      <w:r>
        <w:t>88</w:t>
      </w:r>
      <w:r>
        <w:fldChar w:fldCharType="end"/>
      </w:r>
      <w:r>
        <w:rPr>
          <w:rFonts w:hint="eastAsia"/>
          <w:color w:val="auto"/>
          <w:highlight w:val="none"/>
          <w:lang w:val="en-US" w:eastAsia="en-US"/>
        </w:rPr>
        <w:fldChar w:fldCharType="end"/>
      </w:r>
    </w:p>
    <w:p w14:paraId="2B250779">
      <w:pPr>
        <w:pStyle w:val="14"/>
        <w:tabs>
          <w:tab w:val="right" w:leader="dot" w:pos="8845"/>
        </w:tabs>
      </w:pPr>
      <w:r>
        <w:rPr>
          <w:rFonts w:hint="eastAsia"/>
          <w:color w:val="auto"/>
          <w:highlight w:val="none"/>
          <w:lang w:val="en-US" w:eastAsia="en-US"/>
        </w:rPr>
        <w:fldChar w:fldCharType="begin"/>
      </w:r>
      <w:r>
        <w:rPr>
          <w:rFonts w:hint="eastAsia"/>
          <w:highlight w:val="none"/>
          <w:lang w:val="en-US" w:eastAsia="en-US"/>
        </w:rPr>
        <w:instrText xml:space="preserve"> HYPERLINK \l _Toc4123 </w:instrText>
      </w:r>
      <w:r>
        <w:rPr>
          <w:rFonts w:hint="eastAsia"/>
          <w:highlight w:val="none"/>
          <w:lang w:val="en-US" w:eastAsia="en-US"/>
        </w:rPr>
        <w:fldChar w:fldCharType="separate"/>
      </w:r>
      <w:r>
        <w:rPr>
          <w:rFonts w:hint="eastAsia"/>
          <w:strike w:val="0"/>
          <w:dstrike w:val="0"/>
          <w:highlight w:val="none"/>
          <w:lang w:val="en-US" w:eastAsia="zh-CN"/>
        </w:rPr>
        <w:t>第三节 健全规划实施机制</w:t>
      </w:r>
      <w:r>
        <w:tab/>
      </w:r>
      <w:r>
        <w:fldChar w:fldCharType="begin"/>
      </w:r>
      <w:r>
        <w:instrText xml:space="preserve"> PAGEREF _Toc4123 \h </w:instrText>
      </w:r>
      <w:r>
        <w:fldChar w:fldCharType="separate"/>
      </w:r>
      <w:r>
        <w:t>89</w:t>
      </w:r>
      <w:r>
        <w:fldChar w:fldCharType="end"/>
      </w:r>
      <w:r>
        <w:rPr>
          <w:rFonts w:hint="eastAsia"/>
          <w:color w:val="auto"/>
          <w:highlight w:val="none"/>
          <w:lang w:val="en-US" w:eastAsia="en-US"/>
        </w:rPr>
        <w:fldChar w:fldCharType="end"/>
      </w:r>
    </w:p>
    <w:p w14:paraId="3D6E3093">
      <w:pPr>
        <w:pStyle w:val="10"/>
        <w:keepNext w:val="0"/>
        <w:keepLines w:val="0"/>
        <w:pageBreakBefore w:val="0"/>
        <w:widowControl/>
        <w:shd w:val="clear"/>
        <w:kinsoku/>
        <w:wordWrap/>
        <w:overflowPunct/>
        <w:topLinePunct w:val="0"/>
        <w:autoSpaceDE w:val="0"/>
        <w:autoSpaceDN w:val="0"/>
        <w:bidi w:val="0"/>
        <w:adjustRightInd w:val="0"/>
        <w:snapToGrid w:val="0"/>
        <w:spacing w:before="0" w:beforeLines="0" w:after="0" w:afterLines="0" w:line="20" w:lineRule="exact"/>
        <w:ind w:left="0" w:leftChars="0" w:right="0" w:rightChars="0" w:firstLine="0" w:firstLineChars="0"/>
        <w:jc w:val="center"/>
        <w:textAlignment w:val="baseline"/>
        <w:rPr>
          <w:rFonts w:hint="eastAsia" w:ascii="Arial" w:hAnsi="Arial" w:eastAsia="Arial" w:cs="Arial"/>
          <w:snapToGrid w:val="0"/>
          <w:color w:val="auto"/>
          <w:kern w:val="0"/>
          <w:sz w:val="21"/>
          <w:szCs w:val="21"/>
          <w:highlight w:val="none"/>
          <w:lang w:val="en-US" w:eastAsia="en-US" w:bidi="ar-SA"/>
        </w:rPr>
      </w:pPr>
      <w:r>
        <w:rPr>
          <w:rFonts w:hint="eastAsia"/>
          <w:color w:val="auto"/>
          <w:highlight w:val="none"/>
          <w:lang w:val="en-US" w:eastAsia="en-US"/>
        </w:rPr>
        <w:fldChar w:fldCharType="end"/>
      </w:r>
    </w:p>
    <w:p w14:paraId="62B3257C">
      <w:pPr>
        <w:shd w:val="clear"/>
        <w:kinsoku/>
        <w:rPr>
          <w:rFonts w:hint="eastAsia"/>
          <w:color w:val="auto"/>
          <w:highlight w:val="none"/>
          <w:lang w:val="en-US" w:eastAsia="en-US"/>
        </w:rPr>
        <w:sectPr>
          <w:headerReference r:id="rId5" w:type="default"/>
          <w:footerReference r:id="rId7" w:type="default"/>
          <w:headerReference r:id="rId6" w:type="even"/>
          <w:footerReference r:id="rId8" w:type="even"/>
          <w:pgSz w:w="11906" w:h="16839"/>
          <w:pgMar w:top="2098" w:right="1474" w:bottom="1984" w:left="1587" w:header="397" w:footer="991" w:gutter="0"/>
          <w:pgNumType w:fmt="numberInDash" w:start="1"/>
          <w:cols w:space="720" w:num="1"/>
          <w:rtlGutter w:val="0"/>
        </w:sectPr>
      </w:pPr>
    </w:p>
    <w:p w14:paraId="11565E77">
      <w:pPr>
        <w:kinsoku/>
        <w:bidi w:val="0"/>
        <w:rPr>
          <w:rFonts w:hint="eastAsia" w:cs="仿宋_GB2312"/>
          <w:color w:val="auto"/>
          <w:highlight w:val="none"/>
          <w:lang w:val="en"/>
        </w:rPr>
      </w:pPr>
      <w:bookmarkStart w:id="122" w:name="_Toc5371"/>
      <w:bookmarkStart w:id="123" w:name="_Toc22626"/>
      <w:bookmarkStart w:id="124" w:name="_Toc15093"/>
      <w:bookmarkStart w:id="125" w:name="_Toc30340"/>
      <w:bookmarkStart w:id="126" w:name="_Toc505"/>
      <w:r>
        <w:rPr>
          <w:rFonts w:hint="eastAsia" w:cs="仿宋_GB2312"/>
          <w:color w:val="auto"/>
          <w:highlight w:val="none"/>
          <w:lang w:val="en"/>
        </w:rPr>
        <w:t>本规划纲要</w:t>
      </w:r>
      <w:r>
        <w:rPr>
          <w:rFonts w:hint="eastAsia"/>
          <w:color w:val="auto"/>
          <w:highlight w:val="none"/>
          <w:lang w:val="en"/>
        </w:rPr>
        <w:t>根据习近平新时代中国特色社会主义思想</w:t>
      </w:r>
      <w:r>
        <w:rPr>
          <w:rFonts w:hint="eastAsia"/>
          <w:color w:val="auto"/>
          <w:highlight w:val="none"/>
          <w:lang w:val="en" w:eastAsia="zh-CN"/>
        </w:rPr>
        <w:t>，</w:t>
      </w:r>
      <w:r>
        <w:rPr>
          <w:rFonts w:hint="eastAsia"/>
          <w:color w:val="auto"/>
          <w:highlight w:val="none"/>
          <w:lang w:val="en"/>
        </w:rPr>
        <w:t>党的</w:t>
      </w:r>
      <w:r>
        <w:rPr>
          <w:rFonts w:hint="eastAsia"/>
          <w:color w:val="auto"/>
          <w:highlight w:val="none"/>
        </w:rPr>
        <w:t>二十大和二十届历次</w:t>
      </w:r>
      <w:r>
        <w:rPr>
          <w:rFonts w:hint="eastAsia"/>
          <w:color w:val="auto"/>
          <w:highlight w:val="none"/>
          <w:lang w:val="en"/>
        </w:rPr>
        <w:t>全会精神，</w:t>
      </w:r>
      <w:r>
        <w:rPr>
          <w:rFonts w:hint="eastAsia"/>
          <w:color w:val="auto"/>
          <w:highlight w:val="none"/>
        </w:rPr>
        <w:t>广东省</w:t>
      </w:r>
      <w:r>
        <w:rPr>
          <w:rFonts w:hint="eastAsia"/>
          <w:color w:val="auto"/>
          <w:highlight w:val="none"/>
          <w:lang w:val="en"/>
        </w:rPr>
        <w:t>委</w:t>
      </w:r>
      <w:r>
        <w:rPr>
          <w:rFonts w:hint="eastAsia"/>
          <w:color w:val="auto"/>
          <w:highlight w:val="none"/>
        </w:rPr>
        <w:t>第十三届</w:t>
      </w:r>
      <w:r>
        <w:rPr>
          <w:rFonts w:hint="eastAsia"/>
          <w:color w:val="auto"/>
          <w:highlight w:val="none"/>
          <w:lang w:eastAsia="zh-CN"/>
        </w:rPr>
        <w:t>七</w:t>
      </w:r>
      <w:r>
        <w:rPr>
          <w:rFonts w:hint="eastAsia"/>
          <w:color w:val="auto"/>
          <w:highlight w:val="none"/>
        </w:rPr>
        <w:t>次全会</w:t>
      </w:r>
      <w:r>
        <w:rPr>
          <w:rFonts w:hint="eastAsia"/>
          <w:color w:val="auto"/>
          <w:highlight w:val="none"/>
          <w:lang w:eastAsia="zh-CN"/>
        </w:rPr>
        <w:t>精神、市委十三届九次全会精神、区委十届</w:t>
      </w:r>
      <w:r>
        <w:rPr>
          <w:rFonts w:hint="eastAsia"/>
          <w:color w:val="auto"/>
          <w:highlight w:val="none"/>
          <w:lang w:val="en-US" w:eastAsia="zh-CN"/>
        </w:rPr>
        <w:t>九</w:t>
      </w:r>
      <w:r>
        <w:rPr>
          <w:rFonts w:hint="eastAsia"/>
          <w:color w:val="auto"/>
          <w:highlight w:val="none"/>
          <w:lang w:eastAsia="zh-CN"/>
        </w:rPr>
        <w:t>次全会精神</w:t>
      </w:r>
      <w:r>
        <w:rPr>
          <w:rFonts w:hint="eastAsia"/>
          <w:color w:val="auto"/>
          <w:highlight w:val="none"/>
        </w:rPr>
        <w:t>和</w:t>
      </w:r>
      <w:r>
        <w:rPr>
          <w:rFonts w:hint="eastAsia"/>
          <w:color w:val="auto"/>
          <w:highlight w:val="none"/>
          <w:lang w:val="en"/>
        </w:rPr>
        <w:t>《</w:t>
      </w:r>
      <w:r>
        <w:rPr>
          <w:rFonts w:hint="eastAsia"/>
          <w:color w:val="auto"/>
          <w:highlight w:val="none"/>
        </w:rPr>
        <w:t>中共韶关市浈江区委关于制定浈江区国民经济和社会发展第十五个五年规划的建议</w:t>
      </w:r>
      <w:r>
        <w:rPr>
          <w:rFonts w:hint="eastAsia"/>
          <w:color w:val="auto"/>
          <w:highlight w:val="none"/>
          <w:lang w:val="en"/>
        </w:rPr>
        <w:t>》编制，重点明确</w:t>
      </w:r>
      <w:r>
        <w:rPr>
          <w:rFonts w:hint="eastAsia"/>
          <w:color w:val="auto"/>
          <w:highlight w:val="none"/>
          <w:lang w:val="en" w:eastAsia="zh-CN"/>
        </w:rPr>
        <w:t>“</w:t>
      </w:r>
      <w:r>
        <w:rPr>
          <w:rFonts w:hint="eastAsia"/>
          <w:color w:val="auto"/>
          <w:highlight w:val="none"/>
        </w:rPr>
        <w:t>十</w:t>
      </w:r>
      <w:r>
        <w:rPr>
          <w:rFonts w:hint="eastAsia" w:cs="仿宋_GB2312"/>
          <w:color w:val="auto"/>
          <w:highlight w:val="none"/>
        </w:rPr>
        <w:t>五</w:t>
      </w:r>
      <w:r>
        <w:rPr>
          <w:rFonts w:hint="eastAsia" w:cs="仿宋_GB2312"/>
          <w:color w:val="auto"/>
          <w:highlight w:val="none"/>
          <w:lang w:val="en"/>
        </w:rPr>
        <w:t>五</w:t>
      </w:r>
      <w:r>
        <w:rPr>
          <w:rFonts w:hint="eastAsia" w:cs="仿宋_GB2312"/>
          <w:color w:val="auto"/>
          <w:highlight w:val="none"/>
          <w:lang w:val="en" w:eastAsia="zh-CN"/>
        </w:rPr>
        <w:t>”</w:t>
      </w:r>
      <w:r>
        <w:rPr>
          <w:rFonts w:hint="eastAsia" w:cs="仿宋_GB2312"/>
          <w:color w:val="auto"/>
          <w:highlight w:val="none"/>
          <w:lang w:val="en"/>
        </w:rPr>
        <w:t>时期</w:t>
      </w:r>
      <w:r>
        <w:rPr>
          <w:rFonts w:hint="eastAsia" w:cs="仿宋_GB2312"/>
          <w:color w:val="auto"/>
          <w:highlight w:val="none"/>
          <w:lang w:val="en" w:eastAsia="zh-CN"/>
        </w:rPr>
        <w:t>（</w:t>
      </w:r>
      <w:r>
        <w:rPr>
          <w:rFonts w:hint="eastAsia" w:cs="Times New Roman"/>
          <w:color w:val="auto"/>
          <w:highlight w:val="none"/>
          <w:lang w:val="en" w:eastAsia="zh-CN"/>
        </w:rPr>
        <w:t>202</w:t>
      </w:r>
      <w:r>
        <w:rPr>
          <w:rFonts w:hint="eastAsia" w:cs="Times New Roman"/>
          <w:color w:val="auto"/>
          <w:highlight w:val="none"/>
          <w:lang w:eastAsia="zh-CN"/>
        </w:rPr>
        <w:t>6</w:t>
      </w:r>
      <w:r>
        <w:rPr>
          <w:rFonts w:hint="eastAsia" w:cs="仿宋_GB2312"/>
          <w:color w:val="auto"/>
          <w:highlight w:val="none"/>
          <w:lang w:val="en"/>
        </w:rPr>
        <w:t>—</w:t>
      </w:r>
      <w:r>
        <w:rPr>
          <w:rFonts w:hint="eastAsia" w:cs="Times New Roman"/>
          <w:color w:val="auto"/>
          <w:highlight w:val="none"/>
          <w:lang w:val="en" w:eastAsia="zh-CN"/>
        </w:rPr>
        <w:t>20</w:t>
      </w:r>
      <w:r>
        <w:rPr>
          <w:rFonts w:hint="eastAsia" w:cs="Times New Roman"/>
          <w:color w:val="auto"/>
          <w:highlight w:val="none"/>
          <w:lang w:eastAsia="zh-CN"/>
        </w:rPr>
        <w:t>30</w:t>
      </w:r>
      <w:r>
        <w:rPr>
          <w:rFonts w:hint="eastAsia" w:cs="仿宋_GB2312"/>
          <w:color w:val="auto"/>
          <w:highlight w:val="none"/>
          <w:lang w:val="en"/>
        </w:rPr>
        <w:t>年</w:t>
      </w:r>
      <w:r>
        <w:rPr>
          <w:rFonts w:hint="eastAsia" w:cs="仿宋_GB2312"/>
          <w:color w:val="auto"/>
          <w:highlight w:val="none"/>
          <w:lang w:val="en" w:eastAsia="zh-CN"/>
        </w:rPr>
        <w:t>）</w:t>
      </w:r>
      <w:r>
        <w:rPr>
          <w:rFonts w:hint="eastAsia" w:cs="仿宋_GB2312"/>
          <w:color w:val="auto"/>
          <w:highlight w:val="none"/>
        </w:rPr>
        <w:t>全</w:t>
      </w:r>
      <w:r>
        <w:rPr>
          <w:rFonts w:hint="eastAsia" w:cs="仿宋_GB2312"/>
          <w:color w:val="auto"/>
          <w:highlight w:val="none"/>
          <w:lang w:val="en-US" w:eastAsia="zh-CN"/>
        </w:rPr>
        <w:t>区</w:t>
      </w:r>
      <w:r>
        <w:rPr>
          <w:rFonts w:hint="eastAsia" w:cs="仿宋_GB2312"/>
          <w:color w:val="auto"/>
          <w:highlight w:val="none"/>
          <w:lang w:val="en"/>
        </w:rPr>
        <w:t>经济社会发展的指导思想、基本原则</w:t>
      </w:r>
      <w:r>
        <w:rPr>
          <w:rFonts w:hint="eastAsia" w:cs="仿宋_GB2312"/>
          <w:color w:val="auto"/>
          <w:highlight w:val="none"/>
          <w:lang w:val="en-US" w:eastAsia="zh-CN"/>
        </w:rPr>
        <w:t>和导向</w:t>
      </w:r>
      <w:r>
        <w:rPr>
          <w:rFonts w:hint="eastAsia" w:cs="仿宋_GB2312"/>
          <w:color w:val="auto"/>
          <w:highlight w:val="none"/>
          <w:lang w:val="en"/>
        </w:rPr>
        <w:t>、</w:t>
      </w:r>
      <w:r>
        <w:rPr>
          <w:rFonts w:hint="eastAsia" w:cs="仿宋_GB2312"/>
          <w:color w:val="auto"/>
          <w:highlight w:val="none"/>
          <w:lang w:val="en" w:eastAsia="zh-CN"/>
        </w:rPr>
        <w:t>主要</w:t>
      </w:r>
      <w:r>
        <w:rPr>
          <w:rFonts w:hint="eastAsia" w:cs="仿宋_GB2312"/>
          <w:color w:val="auto"/>
          <w:highlight w:val="none"/>
          <w:lang w:val="en"/>
        </w:rPr>
        <w:t>目标、发展要求，谋划重大战略，部署重大任务，是战略性、宏观性、政策性规划，是政府履行经济调节、市场监管、社会管理、公共服务和生态环境保护职能的重要依据，是未来五年全</w:t>
      </w:r>
      <w:r>
        <w:rPr>
          <w:rFonts w:hint="eastAsia" w:cs="仿宋_GB2312"/>
          <w:color w:val="auto"/>
          <w:highlight w:val="none"/>
          <w:lang w:val="en-US" w:eastAsia="zh-CN"/>
        </w:rPr>
        <w:t>区</w:t>
      </w:r>
      <w:r>
        <w:rPr>
          <w:rFonts w:hint="eastAsia" w:cs="仿宋_GB2312"/>
          <w:color w:val="auto"/>
          <w:highlight w:val="none"/>
          <w:lang w:val="en"/>
        </w:rPr>
        <w:t>经济社会发展的宏伟蓝图和全</w:t>
      </w:r>
      <w:r>
        <w:rPr>
          <w:rFonts w:hint="eastAsia" w:cs="仿宋_GB2312"/>
          <w:color w:val="auto"/>
          <w:highlight w:val="none"/>
          <w:lang w:val="en-US" w:eastAsia="zh-CN"/>
        </w:rPr>
        <w:t>区</w:t>
      </w:r>
      <w:r>
        <w:rPr>
          <w:rFonts w:hint="eastAsia" w:cs="仿宋_GB2312"/>
          <w:color w:val="auto"/>
          <w:highlight w:val="none"/>
          <w:lang w:val="en"/>
        </w:rPr>
        <w:t>人民共同的行动纲领。</w:t>
      </w:r>
    </w:p>
    <w:p w14:paraId="621BBC33">
      <w:pPr>
        <w:kinsoku/>
        <w:bidi w:val="0"/>
        <w:rPr>
          <w:rFonts w:hint="eastAsia" w:cs="仿宋_GB2312"/>
          <w:color w:val="auto"/>
          <w:highlight w:val="none"/>
          <w:lang w:val="en"/>
        </w:rPr>
      </w:pPr>
    </w:p>
    <w:p w14:paraId="7544C260">
      <w:pPr>
        <w:pStyle w:val="3"/>
        <w:shd w:val="clear"/>
        <w:kinsoku/>
        <w:bidi w:val="0"/>
        <w:rPr>
          <w:rFonts w:hint="eastAsia"/>
          <w:color w:val="auto"/>
          <w:szCs w:val="32"/>
          <w:highlight w:val="none"/>
          <w:lang w:val="en-US" w:eastAsia="zh-CN"/>
        </w:rPr>
      </w:pPr>
      <w:bookmarkStart w:id="127" w:name="_Toc24550"/>
      <w:bookmarkStart w:id="128" w:name="_Toc5768"/>
      <w:bookmarkStart w:id="129" w:name="_Toc19219"/>
      <w:bookmarkStart w:id="130" w:name="_Toc15777"/>
      <w:bookmarkStart w:id="131" w:name="_Toc16357"/>
      <w:bookmarkStart w:id="132" w:name="_Toc3163"/>
      <w:bookmarkStart w:id="133" w:name="_Toc5862"/>
      <w:bookmarkStart w:id="134" w:name="_Toc30699"/>
      <w:bookmarkStart w:id="135" w:name="_Toc1130"/>
      <w:bookmarkStart w:id="136" w:name="_Toc26966"/>
      <w:bookmarkStart w:id="137" w:name="_Toc30398"/>
      <w:bookmarkStart w:id="138" w:name="_Toc15603"/>
      <w:bookmarkStart w:id="139" w:name="_Toc28036"/>
      <w:bookmarkStart w:id="140" w:name="_Toc5312"/>
      <w:bookmarkStart w:id="141" w:name="_Toc4855"/>
      <w:bookmarkStart w:id="142" w:name="_Toc28103"/>
      <w:bookmarkStart w:id="143" w:name="_Toc31667"/>
      <w:bookmarkStart w:id="144" w:name="_Toc2509"/>
      <w:r>
        <w:rPr>
          <w:rFonts w:hint="eastAsia"/>
          <w:color w:val="auto"/>
          <w:highlight w:val="none"/>
          <w:lang w:val="en-US" w:eastAsia="zh-CN"/>
        </w:rPr>
        <w:t xml:space="preserve">第一章 </w:t>
      </w:r>
      <w:r>
        <w:rPr>
          <w:rFonts w:hint="eastAsia"/>
          <w:color w:val="auto"/>
          <w:szCs w:val="32"/>
          <w:highlight w:val="none"/>
          <w:lang w:val="en-US" w:eastAsia="zh-CN"/>
        </w:rPr>
        <w:t>扛稳扛牢使命担当</w:t>
      </w:r>
      <w:r>
        <w:rPr>
          <w:color w:val="auto"/>
          <w:szCs w:val="32"/>
          <w:highlight w:val="none"/>
          <w:lang w:val="en"/>
        </w:rPr>
        <w:t>，</w:t>
      </w:r>
      <w:r>
        <w:rPr>
          <w:rFonts w:hint="eastAsia"/>
          <w:color w:val="auto"/>
          <w:szCs w:val="32"/>
          <w:highlight w:val="none"/>
          <w:lang w:val="en-US" w:eastAsia="zh-CN"/>
        </w:rPr>
        <w:t>建设城乡融合发展新浈江</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D033002">
      <w:pPr>
        <w:rPr>
          <w:rFonts w:hint="eastAsia"/>
          <w:lang w:val="en-US" w:eastAsia="zh-CN"/>
        </w:rPr>
      </w:pPr>
    </w:p>
    <w:p w14:paraId="01E51290">
      <w:pPr>
        <w:ind w:firstLine="640"/>
        <w:rPr>
          <w:rFonts w:hint="eastAsia" w:cs="仿宋_GB2312"/>
          <w:color w:val="auto"/>
          <w:highlight w:val="none"/>
          <w:lang w:val="en"/>
        </w:rPr>
      </w:pPr>
      <w:bookmarkStart w:id="145" w:name="_Toc5251"/>
      <w:bookmarkStart w:id="146" w:name="_Toc25367"/>
      <w:bookmarkStart w:id="147" w:name="_Toc31119"/>
      <w:bookmarkStart w:id="148" w:name="_Toc31607"/>
      <w:bookmarkStart w:id="149" w:name="_Toc13317"/>
      <w:bookmarkStart w:id="150" w:name="_Toc27772"/>
      <w:bookmarkStart w:id="151" w:name="_Toc24147"/>
      <w:bookmarkStart w:id="152" w:name="_Toc5656"/>
      <w:bookmarkStart w:id="153" w:name="_Toc18678"/>
      <w:bookmarkStart w:id="154" w:name="_Toc23782"/>
      <w:r>
        <w:rPr>
          <w:rFonts w:hint="eastAsia" w:ascii="仿宋_GB2312" w:hAnsi="仿宋_GB2312" w:cs="仿宋_GB2312"/>
          <w:strike w:val="0"/>
          <w:dstrike w:val="0"/>
          <w:color w:val="auto"/>
          <w:sz w:val="32"/>
          <w:szCs w:val="32"/>
          <w:highlight w:val="none"/>
          <w:lang w:val="en-US" w:eastAsia="zh-CN"/>
        </w:rPr>
        <w:t>“十四五”时期，浈江发展历程极不寻常、发展成效极其不易。面对复杂多变的外部环境、艰巨繁重的改革发展稳定任务，在以习近平同志为核心的党中央坚强领导下，在市委、市政府的正确领导下，区委、区政府团结带领全区人民迎难而上、锐意进取，实现经济社会发展取得新成就。</w:t>
      </w:r>
      <w:r>
        <w:rPr>
          <w:rFonts w:hint="eastAsia" w:cs="仿宋_GB2312"/>
          <w:color w:val="auto"/>
          <w:highlight w:val="none"/>
          <w:lang w:val="en" w:eastAsia="zh-CN"/>
        </w:rPr>
        <w:t>“</w:t>
      </w:r>
      <w:r>
        <w:rPr>
          <w:rFonts w:hint="eastAsia" w:cs="仿宋_GB2312"/>
          <w:color w:val="auto"/>
          <w:highlight w:val="none"/>
          <w:lang w:val="en"/>
        </w:rPr>
        <w:t>十五五</w:t>
      </w:r>
      <w:r>
        <w:rPr>
          <w:rFonts w:hint="eastAsia" w:cs="仿宋_GB2312"/>
          <w:color w:val="auto"/>
          <w:highlight w:val="none"/>
          <w:lang w:val="en" w:eastAsia="zh-CN"/>
        </w:rPr>
        <w:t>”</w:t>
      </w:r>
      <w:r>
        <w:rPr>
          <w:rFonts w:hint="eastAsia" w:cs="仿宋_GB2312"/>
          <w:color w:val="auto"/>
          <w:highlight w:val="none"/>
          <w:lang w:val="en"/>
        </w:rPr>
        <w:t>时期是我国基本实现社会主义现代化</w:t>
      </w:r>
      <w:r>
        <w:rPr>
          <w:rFonts w:hint="eastAsia" w:cs="仿宋_GB2312"/>
          <w:color w:val="auto"/>
          <w:highlight w:val="none"/>
        </w:rPr>
        <w:t>夯实基础、全面发力的关键时期，也是</w:t>
      </w:r>
      <w:r>
        <w:rPr>
          <w:rFonts w:hint="eastAsia" w:cs="仿宋_GB2312"/>
          <w:color w:val="auto"/>
          <w:highlight w:val="none"/>
          <w:lang w:val="en-US" w:eastAsia="zh-CN"/>
        </w:rPr>
        <w:t>浈江</w:t>
      </w:r>
      <w:r>
        <w:rPr>
          <w:rFonts w:hint="eastAsia" w:cs="仿宋_GB2312"/>
          <w:color w:val="auto"/>
          <w:highlight w:val="none"/>
        </w:rPr>
        <w:t>推进高质量发展爬坡过坎、奋力蓄势突破的关键阶段，具有承前启后的重要地位，挑战前所未有，前景仍然光明。</w:t>
      </w:r>
      <w:r>
        <w:rPr>
          <w:rFonts w:hint="eastAsia" w:cs="仿宋_GB2312"/>
          <w:color w:val="auto"/>
          <w:highlight w:val="none"/>
          <w:lang w:val="en"/>
        </w:rPr>
        <w:t>我们要辩证认识和把握国内外大势，抓住机遇，应对挑战，趋利避害，奋勇前进。</w:t>
      </w:r>
    </w:p>
    <w:p w14:paraId="134A801C">
      <w:pPr>
        <w:ind w:firstLine="640"/>
        <w:rPr>
          <w:rFonts w:hint="eastAsia" w:cs="仿宋_GB2312"/>
          <w:color w:val="auto"/>
          <w:highlight w:val="none"/>
          <w:lang w:val="en"/>
        </w:rPr>
      </w:pPr>
    </w:p>
    <w:p w14:paraId="13619007">
      <w:pPr>
        <w:pStyle w:val="4"/>
        <w:shd w:val="clear"/>
        <w:bidi w:val="0"/>
        <w:rPr>
          <w:rFonts w:hint="eastAsia"/>
          <w:color w:val="auto"/>
          <w:highlight w:val="none"/>
          <w:lang w:val="en-US"/>
        </w:rPr>
      </w:pPr>
      <w:bookmarkStart w:id="155" w:name="_Toc12461"/>
      <w:bookmarkStart w:id="156" w:name="_Toc30979"/>
      <w:bookmarkStart w:id="157" w:name="_Toc12763"/>
      <w:bookmarkStart w:id="158" w:name="_Toc13736"/>
      <w:bookmarkStart w:id="159" w:name="_Toc11422"/>
      <w:bookmarkStart w:id="160" w:name="_Toc23897"/>
      <w:bookmarkStart w:id="161" w:name="_Toc2462"/>
      <w:bookmarkStart w:id="162" w:name="_Toc23321"/>
      <w:r>
        <w:rPr>
          <w:rFonts w:hint="eastAsia"/>
          <w:color w:val="auto"/>
          <w:highlight w:val="none"/>
          <w:lang w:val="en-US" w:eastAsia="zh-CN"/>
        </w:rPr>
        <w:t>第一节 “十四五”现代化建设起步良好</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0A9CA2AE">
      <w:pPr>
        <w:shd w:val="clear"/>
        <w:kinsoku/>
        <w:bidi w:val="0"/>
        <w:rPr>
          <w:rFonts w:hint="eastAsia" w:ascii="仿宋_GB2312" w:hAnsi="仿宋_GB2312" w:cs="仿宋_GB2312"/>
          <w:strike w:val="0"/>
          <w:dstrike w:val="0"/>
          <w:color w:val="auto"/>
          <w:sz w:val="32"/>
          <w:szCs w:val="32"/>
          <w:highlight w:val="none"/>
          <w:lang w:val="en-US" w:eastAsia="zh-CN"/>
        </w:rPr>
      </w:pPr>
    </w:p>
    <w:p w14:paraId="6A3E22AD">
      <w:pPr>
        <w:shd w:val="clear"/>
        <w:kinsoku/>
        <w:bidi w:val="0"/>
        <w:rPr>
          <w:rFonts w:hint="default" w:ascii="仿宋_GB2312" w:hAnsi="仿宋_GB2312" w:cs="仿宋_GB2312"/>
          <w:strike w:val="0"/>
          <w:dstrike w:val="0"/>
          <w:color w:val="auto"/>
          <w:sz w:val="32"/>
          <w:szCs w:val="32"/>
          <w:highlight w:val="none"/>
          <w:lang w:val="en-US" w:eastAsia="zh-CN"/>
        </w:rPr>
      </w:pPr>
      <w:r>
        <w:rPr>
          <w:rFonts w:hint="eastAsia" w:ascii="仿宋_GB2312" w:hAnsi="仿宋_GB2312" w:cs="仿宋_GB2312"/>
          <w:strike w:val="0"/>
          <w:dstrike w:val="0"/>
          <w:color w:val="auto"/>
          <w:sz w:val="32"/>
          <w:szCs w:val="32"/>
          <w:highlight w:val="none"/>
          <w:lang w:val="en-US" w:eastAsia="zh-CN"/>
        </w:rPr>
        <w:t>“十四五”时期，面对世纪疫情和国内外经济大环境等复杂局面，浈江以超常的决心、超常的力度攻坚克难，奋力推进经济社会高质量发展，取得了来之不易的发展成绩。</w:t>
      </w:r>
    </w:p>
    <w:p w14:paraId="36C097B2">
      <w:pPr>
        <w:pStyle w:val="5"/>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一、综合经济实力稳步提升</w:t>
      </w:r>
    </w:p>
    <w:p w14:paraId="2E551ABF">
      <w:pPr>
        <w:numPr>
          <w:ilvl w:val="0"/>
          <w:numId w:val="0"/>
        </w:numPr>
        <w:shd w:val="clear"/>
        <w:kinsoku/>
        <w:bidi w:val="0"/>
        <w:ind w:firstLine="640" w:firstLineChars="200"/>
        <w:rPr>
          <w:rFonts w:hint="eastAsia" w:ascii="仿宋_GB2312" w:hAnsi="仿宋_GB2312" w:cs="仿宋_GB2312"/>
          <w:strike w:val="0"/>
          <w:dstrike w:val="0"/>
          <w:color w:val="auto"/>
          <w:sz w:val="32"/>
          <w:szCs w:val="32"/>
          <w:highlight w:val="none"/>
          <w:lang w:val="en-US" w:eastAsia="zh-CN"/>
        </w:rPr>
      </w:pPr>
      <w:r>
        <w:rPr>
          <w:rFonts w:hint="eastAsia" w:ascii="Times New Roman" w:hAnsi="Times New Roman" w:cs="Times New Roman"/>
          <w:strike w:val="0"/>
          <w:dstrike w:val="0"/>
          <w:color w:val="auto"/>
          <w:sz w:val="32"/>
          <w:szCs w:val="32"/>
          <w:highlight w:val="none"/>
          <w:lang w:val="en-US" w:eastAsia="zh-CN"/>
        </w:rPr>
        <w:t>2025</w:t>
      </w:r>
      <w:r>
        <w:rPr>
          <w:rFonts w:hint="eastAsia" w:ascii="仿宋_GB2312" w:hAnsi="仿宋_GB2312" w:eastAsia="仿宋_GB2312" w:cs="仿宋_GB2312"/>
          <w:strike w:val="0"/>
          <w:dstrike w:val="0"/>
          <w:color w:val="auto"/>
          <w:sz w:val="32"/>
          <w:szCs w:val="32"/>
          <w:highlight w:val="none"/>
          <w:lang w:val="en-US" w:eastAsia="zh-CN"/>
        </w:rPr>
        <w:t>年，浈江区地区生产总值</w:t>
      </w:r>
      <w:r>
        <w:rPr>
          <w:rFonts w:hint="eastAsia" w:ascii="仿宋_GB2312" w:hAnsi="仿宋_GB2312" w:cs="仿宋_GB2312"/>
          <w:strike w:val="0"/>
          <w:dstrike w:val="0"/>
          <w:color w:val="auto"/>
          <w:sz w:val="32"/>
          <w:szCs w:val="32"/>
          <w:highlight w:val="none"/>
          <w:lang w:val="en-US" w:eastAsia="zh-CN"/>
        </w:rPr>
        <w:t>完成</w:t>
      </w:r>
      <w:r>
        <w:rPr>
          <w:rFonts w:hint="eastAsia" w:ascii="Times New Roman" w:hAnsi="Times New Roman" w:cs="Times New Roman"/>
          <w:strike w:val="0"/>
          <w:dstrike w:val="0"/>
          <w:color w:val="auto"/>
          <w:sz w:val="32"/>
          <w:szCs w:val="32"/>
          <w:highlight w:val="none"/>
          <w:lang w:val="en-US" w:eastAsia="zh-CN"/>
        </w:rPr>
        <w:t>235</w:t>
      </w:r>
      <w:r>
        <w:rPr>
          <w:rFonts w:hint="eastAsia" w:ascii="仿宋_GB2312" w:hAnsi="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24</w:t>
      </w:r>
      <w:r>
        <w:rPr>
          <w:rFonts w:hint="eastAsia" w:ascii="仿宋_GB2312" w:hAnsi="仿宋_GB2312" w:eastAsia="仿宋_GB2312" w:cs="仿宋_GB2312"/>
          <w:strike w:val="0"/>
          <w:dstrike w:val="0"/>
          <w:color w:val="auto"/>
          <w:sz w:val="32"/>
          <w:szCs w:val="32"/>
          <w:highlight w:val="none"/>
          <w:lang w:val="en-US" w:eastAsia="zh-CN"/>
        </w:rPr>
        <w:t>亿元，</w:t>
      </w:r>
      <w:r>
        <w:rPr>
          <w:rFonts w:hint="eastAsia" w:ascii="仿宋_GB2312" w:hAnsi="仿宋_GB2312" w:cs="仿宋_GB2312"/>
          <w:strike w:val="0"/>
          <w:dstrike w:val="0"/>
          <w:color w:val="auto"/>
          <w:sz w:val="32"/>
          <w:szCs w:val="32"/>
          <w:highlight w:val="none"/>
          <w:lang w:val="en-US" w:eastAsia="zh-CN"/>
        </w:rPr>
        <w:t>比</w:t>
      </w:r>
      <w:r>
        <w:rPr>
          <w:rFonts w:hint="eastAsia" w:ascii="仿宋_GB2312" w:hAnsi="仿宋_GB2312" w:eastAsia="仿宋_GB2312" w:cs="仿宋_GB2312"/>
          <w:strike w:val="0"/>
          <w:dstrike w:val="0"/>
          <w:color w:val="auto"/>
          <w:sz w:val="32"/>
          <w:szCs w:val="32"/>
          <w:highlight w:val="none"/>
          <w:lang w:val="en-US" w:eastAsia="zh-CN"/>
        </w:rPr>
        <w:t>“十三五”末期增加</w:t>
      </w:r>
      <w:r>
        <w:rPr>
          <w:rFonts w:hint="eastAsia" w:cs="Times New Roman"/>
          <w:strike w:val="0"/>
          <w:dstrike w:val="0"/>
          <w:color w:val="auto"/>
          <w:sz w:val="32"/>
          <w:szCs w:val="32"/>
          <w:highlight w:val="none"/>
          <w:lang w:val="en-US" w:eastAsia="zh-CN"/>
        </w:rPr>
        <w:t>27.67</w:t>
      </w:r>
      <w:r>
        <w:rPr>
          <w:rFonts w:hint="eastAsia" w:ascii="仿宋_GB2312" w:hAnsi="仿宋_GB2312" w:eastAsia="仿宋_GB2312" w:cs="仿宋_GB2312"/>
          <w:strike w:val="0"/>
          <w:dstrike w:val="0"/>
          <w:color w:val="auto"/>
          <w:sz w:val="32"/>
          <w:szCs w:val="32"/>
          <w:highlight w:val="none"/>
          <w:lang w:val="en-US" w:eastAsia="zh-CN"/>
        </w:rPr>
        <w:t>亿元，</w:t>
      </w:r>
      <w:r>
        <w:rPr>
          <w:rFonts w:hint="eastAsia" w:ascii="仿宋_GB2312" w:hAnsi="仿宋_GB2312" w:cs="仿宋_GB2312"/>
          <w:strike w:val="0"/>
          <w:dstrike w:val="0"/>
          <w:color w:val="auto"/>
          <w:sz w:val="32"/>
          <w:szCs w:val="32"/>
          <w:highlight w:val="none"/>
          <w:lang w:val="en-US" w:eastAsia="zh-CN"/>
        </w:rPr>
        <w:t>年均增长</w:t>
      </w:r>
      <w:r>
        <w:rPr>
          <w:rFonts w:hint="eastAsia" w:cs="Times New Roman"/>
          <w:strike w:val="0"/>
          <w:dstrike w:val="0"/>
          <w:color w:val="auto"/>
          <w:sz w:val="32"/>
          <w:szCs w:val="32"/>
          <w:highlight w:val="none"/>
          <w:lang w:val="en-US" w:eastAsia="zh-CN"/>
        </w:rPr>
        <w:t>2.2</w:t>
      </w:r>
      <w:r>
        <w:rPr>
          <w:rFonts w:hint="eastAsia" w:ascii="Times New Roman" w:hAnsi="Times New Roman" w:cs="Times New Roman"/>
          <w:strike w:val="0"/>
          <w:dstrike w:val="0"/>
          <w:color w:val="auto"/>
          <w:sz w:val="32"/>
          <w:szCs w:val="32"/>
          <w:highlight w:val="none"/>
          <w:lang w:val="en-US" w:eastAsia="zh-CN"/>
        </w:rPr>
        <w:t>%</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地区生产总值</w:t>
      </w:r>
      <w:r>
        <w:rPr>
          <w:rFonts w:hint="eastAsia" w:ascii="仿宋_GB2312" w:hAnsi="仿宋_GB2312" w:cs="仿宋_GB2312"/>
          <w:strike w:val="0"/>
          <w:dstrike w:val="0"/>
          <w:color w:val="auto"/>
          <w:sz w:val="32"/>
          <w:szCs w:val="32"/>
          <w:highlight w:val="none"/>
          <w:lang w:val="en-US" w:eastAsia="zh-CN"/>
        </w:rPr>
        <w:t>位</w:t>
      </w:r>
      <w:r>
        <w:rPr>
          <w:rFonts w:hint="eastAsia" w:ascii="仿宋_GB2312" w:hAnsi="仿宋_GB2312" w:eastAsia="仿宋_GB2312" w:cs="仿宋_GB2312"/>
          <w:strike w:val="0"/>
          <w:dstrike w:val="0"/>
          <w:color w:val="auto"/>
          <w:sz w:val="32"/>
          <w:szCs w:val="32"/>
          <w:highlight w:val="none"/>
          <w:lang w:val="en-US" w:eastAsia="zh-CN"/>
        </w:rPr>
        <w:t>居全市第二</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人均地区生产总值</w:t>
      </w:r>
      <w:r>
        <w:rPr>
          <w:rFonts w:hint="eastAsia" w:ascii="Times New Roman" w:hAnsi="Times New Roman" w:cs="Times New Roman"/>
          <w:strike w:val="0"/>
          <w:dstrike w:val="0"/>
          <w:color w:val="auto"/>
          <w:sz w:val="32"/>
          <w:szCs w:val="32"/>
          <w:highlight w:val="none"/>
          <w:lang w:val="en-US" w:eastAsia="zh-CN"/>
        </w:rPr>
        <w:t>6</w:t>
      </w:r>
      <w:r>
        <w:rPr>
          <w:rFonts w:hint="eastAsia" w:ascii="仿宋_GB2312" w:hAnsi="仿宋_GB2312" w:eastAsia="仿宋_GB2312"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54</w:t>
      </w:r>
      <w:r>
        <w:rPr>
          <w:rFonts w:hint="eastAsia" w:ascii="仿宋_GB2312" w:hAnsi="仿宋_GB2312" w:eastAsia="仿宋_GB2312" w:cs="仿宋_GB2312"/>
          <w:strike w:val="0"/>
          <w:dstrike w:val="0"/>
          <w:color w:val="auto"/>
          <w:sz w:val="32"/>
          <w:szCs w:val="32"/>
          <w:highlight w:val="none"/>
          <w:lang w:val="en-US" w:eastAsia="zh-CN"/>
        </w:rPr>
        <w:t>万元</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城乡居民人均可支配收入从</w:t>
      </w:r>
      <w:r>
        <w:rPr>
          <w:rFonts w:hint="eastAsia" w:ascii="Times New Roman" w:hAnsi="Times New Roman" w:cs="Times New Roman"/>
          <w:strike w:val="0"/>
          <w:dstrike w:val="0"/>
          <w:color w:val="auto"/>
          <w:sz w:val="32"/>
          <w:szCs w:val="32"/>
          <w:highlight w:val="none"/>
          <w:lang w:val="en-US" w:eastAsia="zh-CN"/>
        </w:rPr>
        <w:t>2020</w:t>
      </w:r>
      <w:r>
        <w:rPr>
          <w:rFonts w:hint="eastAsia" w:ascii="仿宋_GB2312" w:hAnsi="仿宋_GB2312" w:eastAsia="仿宋_GB2312" w:cs="仿宋_GB2312"/>
          <w:strike w:val="0"/>
          <w:dstrike w:val="0"/>
          <w:color w:val="auto"/>
          <w:sz w:val="32"/>
          <w:szCs w:val="32"/>
          <w:highlight w:val="none"/>
          <w:lang w:val="en-US" w:eastAsia="zh-CN"/>
        </w:rPr>
        <w:t>年</w:t>
      </w:r>
      <w:r>
        <w:rPr>
          <w:rFonts w:hint="eastAsia" w:ascii="Times New Roman" w:hAnsi="Times New Roman" w:cs="Times New Roman"/>
          <w:strike w:val="0"/>
          <w:dstrike w:val="0"/>
          <w:color w:val="auto"/>
          <w:sz w:val="32"/>
          <w:szCs w:val="32"/>
          <w:highlight w:val="none"/>
          <w:lang w:val="en-US" w:eastAsia="zh-CN"/>
        </w:rPr>
        <w:t>3</w:t>
      </w:r>
      <w:r>
        <w:rPr>
          <w:rFonts w:hint="eastAsia" w:ascii="仿宋_GB2312" w:hAnsi="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85</w:t>
      </w:r>
      <w:r>
        <w:rPr>
          <w:rFonts w:hint="eastAsia" w:ascii="仿宋_GB2312" w:hAnsi="仿宋_GB2312" w:eastAsia="仿宋_GB2312" w:cs="仿宋_GB2312"/>
          <w:strike w:val="0"/>
          <w:dstrike w:val="0"/>
          <w:color w:val="auto"/>
          <w:sz w:val="32"/>
          <w:szCs w:val="32"/>
          <w:highlight w:val="none"/>
          <w:lang w:val="en-US" w:eastAsia="zh-CN"/>
        </w:rPr>
        <w:t>万元提升至</w:t>
      </w:r>
      <w:r>
        <w:rPr>
          <w:rFonts w:hint="eastAsia" w:ascii="Times New Roman" w:hAnsi="Times New Roman" w:cs="Times New Roman"/>
          <w:strike w:val="0"/>
          <w:dstrike w:val="0"/>
          <w:color w:val="auto"/>
          <w:sz w:val="32"/>
          <w:szCs w:val="32"/>
          <w:highlight w:val="none"/>
          <w:lang w:val="en-US" w:eastAsia="zh-CN"/>
        </w:rPr>
        <w:t>2025</w:t>
      </w:r>
      <w:r>
        <w:rPr>
          <w:rFonts w:hint="eastAsia" w:ascii="仿宋_GB2312" w:hAnsi="仿宋_GB2312" w:eastAsia="仿宋_GB2312" w:cs="仿宋_GB2312"/>
          <w:strike w:val="0"/>
          <w:dstrike w:val="0"/>
          <w:color w:val="auto"/>
          <w:sz w:val="32"/>
          <w:szCs w:val="32"/>
          <w:highlight w:val="none"/>
          <w:lang w:val="en-US" w:eastAsia="zh-CN"/>
        </w:rPr>
        <w:t>年</w:t>
      </w:r>
      <w:r>
        <w:rPr>
          <w:rFonts w:hint="eastAsia" w:ascii="Times New Roman" w:hAnsi="Times New Roman" w:cs="Times New Roman"/>
          <w:strike w:val="0"/>
          <w:dstrike w:val="0"/>
          <w:color w:val="auto"/>
          <w:sz w:val="32"/>
          <w:szCs w:val="32"/>
          <w:highlight w:val="none"/>
          <w:lang w:val="en-US" w:eastAsia="zh-CN"/>
        </w:rPr>
        <w:t>4</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8</w:t>
      </w:r>
      <w:r>
        <w:rPr>
          <w:rFonts w:hint="eastAsia" w:cs="Times New Roman"/>
          <w:strike w:val="0"/>
          <w:dstrike w:val="0"/>
          <w:color w:val="auto"/>
          <w:sz w:val="32"/>
          <w:szCs w:val="32"/>
          <w:highlight w:val="none"/>
          <w:lang w:val="en-US" w:eastAsia="zh-CN"/>
        </w:rPr>
        <w:t>0</w:t>
      </w:r>
      <w:r>
        <w:rPr>
          <w:rFonts w:hint="eastAsia" w:ascii="仿宋_GB2312" w:hAnsi="仿宋_GB2312" w:eastAsia="仿宋_GB2312" w:cs="仿宋_GB2312"/>
          <w:strike w:val="0"/>
          <w:dstrike w:val="0"/>
          <w:color w:val="auto"/>
          <w:sz w:val="32"/>
          <w:szCs w:val="32"/>
          <w:highlight w:val="none"/>
          <w:lang w:val="en-US" w:eastAsia="zh-CN"/>
        </w:rPr>
        <w:t>万元</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实现城乡居民收入增长与经济增长基本同步</w:t>
      </w:r>
      <w:r>
        <w:rPr>
          <w:rFonts w:hint="eastAsia" w:ascii="仿宋_GB2312" w:hAnsi="仿宋_GB2312" w:cs="仿宋_GB2312"/>
          <w:strike w:val="0"/>
          <w:dstrike w:val="0"/>
          <w:color w:val="auto"/>
          <w:sz w:val="32"/>
          <w:szCs w:val="32"/>
          <w:highlight w:val="none"/>
          <w:lang w:val="en-US" w:eastAsia="zh-CN"/>
        </w:rPr>
        <w:t>。城镇</w:t>
      </w:r>
      <w:r>
        <w:rPr>
          <w:rFonts w:hint="eastAsia" w:ascii="仿宋_GB2312" w:hAnsi="仿宋_GB2312" w:eastAsia="仿宋_GB2312" w:cs="仿宋_GB2312"/>
          <w:strike w:val="0"/>
          <w:dstrike w:val="0"/>
          <w:color w:val="auto"/>
          <w:sz w:val="32"/>
          <w:szCs w:val="32"/>
          <w:highlight w:val="none"/>
          <w:lang w:val="en-US" w:eastAsia="zh-CN"/>
        </w:rPr>
        <w:t>居民</w:t>
      </w:r>
      <w:r>
        <w:rPr>
          <w:rFonts w:hint="eastAsia" w:ascii="仿宋_GB2312" w:hAnsi="仿宋_GB2312" w:cs="仿宋_GB2312"/>
          <w:strike w:val="0"/>
          <w:dstrike w:val="0"/>
          <w:color w:val="auto"/>
          <w:sz w:val="32"/>
          <w:szCs w:val="32"/>
          <w:highlight w:val="none"/>
          <w:lang w:val="en-US" w:eastAsia="zh-CN"/>
        </w:rPr>
        <w:t>与农村居民</w:t>
      </w:r>
      <w:r>
        <w:rPr>
          <w:rFonts w:hint="eastAsia" w:ascii="仿宋_GB2312" w:hAnsi="仿宋_GB2312" w:eastAsia="仿宋_GB2312" w:cs="仿宋_GB2312"/>
          <w:strike w:val="0"/>
          <w:dstrike w:val="0"/>
          <w:color w:val="auto"/>
          <w:sz w:val="32"/>
          <w:szCs w:val="32"/>
          <w:highlight w:val="none"/>
          <w:lang w:val="en-US" w:eastAsia="zh-CN"/>
        </w:rPr>
        <w:t>人均可支配收入比</w:t>
      </w:r>
      <w:r>
        <w:rPr>
          <w:rFonts w:hint="eastAsia" w:ascii="仿宋_GB2312" w:hAnsi="仿宋_GB2312" w:cs="仿宋_GB2312"/>
          <w:strike w:val="0"/>
          <w:dstrike w:val="0"/>
          <w:color w:val="auto"/>
          <w:sz w:val="32"/>
          <w:szCs w:val="32"/>
          <w:highlight w:val="none"/>
          <w:lang w:val="en-US" w:eastAsia="zh-CN"/>
        </w:rPr>
        <w:t>预计</w:t>
      </w:r>
      <w:r>
        <w:rPr>
          <w:rFonts w:hint="eastAsia" w:ascii="仿宋_GB2312" w:hAnsi="仿宋_GB2312" w:eastAsia="仿宋_GB2312" w:cs="仿宋_GB2312"/>
          <w:strike w:val="0"/>
          <w:dstrike w:val="0"/>
          <w:color w:val="auto"/>
          <w:sz w:val="32"/>
          <w:szCs w:val="32"/>
          <w:highlight w:val="none"/>
          <w:lang w:val="en-US" w:eastAsia="zh-CN"/>
        </w:rPr>
        <w:t>由</w:t>
      </w:r>
      <w:r>
        <w:rPr>
          <w:rFonts w:hint="eastAsia" w:ascii="Times New Roman" w:hAnsi="Times New Roman" w:cs="Times New Roman"/>
          <w:strike w:val="0"/>
          <w:dstrike w:val="0"/>
          <w:color w:val="auto"/>
          <w:sz w:val="32"/>
          <w:szCs w:val="32"/>
          <w:highlight w:val="none"/>
          <w:lang w:val="en-US" w:eastAsia="zh-CN"/>
        </w:rPr>
        <w:t>2020</w:t>
      </w:r>
      <w:r>
        <w:rPr>
          <w:rFonts w:hint="eastAsia" w:ascii="仿宋_GB2312" w:hAnsi="仿宋_GB2312" w:eastAsia="仿宋_GB2312" w:cs="仿宋_GB2312"/>
          <w:strike w:val="0"/>
          <w:dstrike w:val="0"/>
          <w:color w:val="auto"/>
          <w:sz w:val="32"/>
          <w:szCs w:val="32"/>
          <w:highlight w:val="none"/>
          <w:lang w:val="en-US" w:eastAsia="zh-CN"/>
        </w:rPr>
        <w:t>年的</w:t>
      </w:r>
      <w:r>
        <w:rPr>
          <w:rFonts w:hint="eastAsia" w:ascii="Times New Roman" w:hAnsi="Times New Roman" w:cs="Times New Roman"/>
          <w:strike w:val="0"/>
          <w:dstrike w:val="0"/>
          <w:color w:val="auto"/>
          <w:sz w:val="32"/>
          <w:szCs w:val="32"/>
          <w:highlight w:val="none"/>
          <w:lang w:val="en-US" w:eastAsia="zh-CN"/>
        </w:rPr>
        <w:t>1</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97</w:t>
      </w:r>
      <w:r>
        <w:rPr>
          <w:rFonts w:hint="eastAsia" w:ascii="仿宋_GB2312" w:hAnsi="仿宋_GB2312" w:eastAsia="仿宋_GB2312" w:cs="仿宋_GB2312"/>
          <w:strike w:val="0"/>
          <w:dstrike w:val="0"/>
          <w:color w:val="auto"/>
          <w:sz w:val="32"/>
          <w:szCs w:val="32"/>
          <w:highlight w:val="none"/>
          <w:lang w:val="en-US" w:eastAsia="zh-CN"/>
        </w:rPr>
        <w:t>缩小至</w:t>
      </w:r>
      <w:r>
        <w:rPr>
          <w:rFonts w:hint="eastAsia" w:ascii="Times New Roman" w:hAnsi="Times New Roman" w:cs="Times New Roman"/>
          <w:strike w:val="0"/>
          <w:dstrike w:val="0"/>
          <w:color w:val="auto"/>
          <w:sz w:val="32"/>
          <w:szCs w:val="32"/>
          <w:highlight w:val="none"/>
          <w:lang w:val="en-US" w:eastAsia="zh-CN"/>
        </w:rPr>
        <w:t>2025</w:t>
      </w:r>
      <w:r>
        <w:rPr>
          <w:rFonts w:hint="eastAsia" w:ascii="仿宋_GB2312" w:hAnsi="仿宋_GB2312" w:eastAsia="仿宋_GB2312" w:cs="仿宋_GB2312"/>
          <w:strike w:val="0"/>
          <w:dstrike w:val="0"/>
          <w:color w:val="auto"/>
          <w:sz w:val="32"/>
          <w:szCs w:val="32"/>
          <w:highlight w:val="none"/>
          <w:lang w:val="en-US" w:eastAsia="zh-CN"/>
        </w:rPr>
        <w:t>年的</w:t>
      </w:r>
      <w:r>
        <w:rPr>
          <w:rFonts w:hint="eastAsia" w:ascii="Times New Roman" w:hAnsi="Times New Roman" w:cs="Times New Roman"/>
          <w:strike w:val="0"/>
          <w:dstrike w:val="0"/>
          <w:color w:val="auto"/>
          <w:sz w:val="32"/>
          <w:szCs w:val="32"/>
          <w:highlight w:val="none"/>
          <w:lang w:val="en-US" w:eastAsia="zh-CN"/>
        </w:rPr>
        <w:t>1</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83</w:t>
      </w:r>
      <w:r>
        <w:rPr>
          <w:rFonts w:hint="eastAsia" w:ascii="仿宋_GB2312" w:hAnsi="仿宋_GB2312" w:eastAsia="仿宋_GB2312" w:cs="仿宋_GB2312"/>
          <w:strike w:val="0"/>
          <w:dstrike w:val="0"/>
          <w:color w:val="auto"/>
          <w:sz w:val="32"/>
          <w:szCs w:val="32"/>
          <w:highlight w:val="none"/>
          <w:lang w:val="en-US" w:eastAsia="zh-CN"/>
        </w:rPr>
        <w:t>，城乡</w:t>
      </w:r>
      <w:r>
        <w:rPr>
          <w:rFonts w:hint="eastAsia" w:ascii="仿宋_GB2312" w:hAnsi="仿宋_GB2312" w:cs="仿宋_GB2312"/>
          <w:strike w:val="0"/>
          <w:dstrike w:val="0"/>
          <w:color w:val="auto"/>
          <w:sz w:val="32"/>
          <w:szCs w:val="32"/>
          <w:highlight w:val="none"/>
          <w:lang w:val="en-US" w:eastAsia="zh-CN"/>
        </w:rPr>
        <w:t>居民</w:t>
      </w:r>
      <w:r>
        <w:rPr>
          <w:rFonts w:hint="eastAsia" w:ascii="仿宋_GB2312" w:hAnsi="仿宋_GB2312" w:eastAsia="仿宋_GB2312" w:cs="仿宋_GB2312"/>
          <w:strike w:val="0"/>
          <w:dstrike w:val="0"/>
          <w:color w:val="auto"/>
          <w:sz w:val="32"/>
          <w:szCs w:val="32"/>
          <w:highlight w:val="none"/>
          <w:lang w:val="en-US" w:eastAsia="zh-CN"/>
        </w:rPr>
        <w:t>收入差距逐步收窄</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地方一般公共预算收入</w:t>
      </w:r>
      <w:r>
        <w:rPr>
          <w:rFonts w:hint="eastAsia" w:ascii="仿宋_GB2312" w:hAnsi="仿宋_GB2312" w:cs="仿宋_GB2312"/>
          <w:strike w:val="0"/>
          <w:dstrike w:val="0"/>
          <w:color w:val="auto"/>
          <w:sz w:val="32"/>
          <w:szCs w:val="32"/>
          <w:highlight w:val="none"/>
          <w:lang w:val="en-US" w:eastAsia="zh-CN"/>
        </w:rPr>
        <w:t>年均增长</w:t>
      </w:r>
      <w:r>
        <w:rPr>
          <w:rFonts w:hint="eastAsia" w:ascii="Times New Roman" w:hAnsi="Times New Roman" w:cs="Times New Roman"/>
          <w:strike w:val="0"/>
          <w:dstrike w:val="0"/>
          <w:color w:val="auto"/>
          <w:sz w:val="32"/>
          <w:szCs w:val="32"/>
          <w:highlight w:val="none"/>
          <w:lang w:val="en-US" w:eastAsia="zh-CN"/>
        </w:rPr>
        <w:t>8</w:t>
      </w:r>
      <w:r>
        <w:rPr>
          <w:rFonts w:hint="eastAsia" w:ascii="仿宋_GB2312" w:hAnsi="仿宋_GB2312"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75</w:t>
      </w:r>
      <w:r>
        <w:rPr>
          <w:rFonts w:hint="eastAsia" w:ascii="Times New Roman" w:hAnsi="Times New Roman" w:cs="Times New Roman"/>
          <w:strike w:val="0"/>
          <w:dstrike w:val="0"/>
          <w:color w:val="auto"/>
          <w:sz w:val="32"/>
          <w:szCs w:val="32"/>
          <w:highlight w:val="none"/>
          <w:lang w:val="en-US" w:eastAsia="zh-CN"/>
        </w:rPr>
        <w:t>%</w:t>
      </w:r>
      <w:r>
        <w:rPr>
          <w:rFonts w:hint="eastAsia" w:ascii="仿宋_GB2312" w:hAnsi="仿宋_GB2312" w:cs="仿宋_GB2312"/>
          <w:strike w:val="0"/>
          <w:dstrike w:val="0"/>
          <w:color w:val="auto"/>
          <w:sz w:val="32"/>
          <w:szCs w:val="32"/>
          <w:highlight w:val="none"/>
          <w:lang w:val="en-US" w:eastAsia="zh-CN"/>
        </w:rPr>
        <w:t>，连续三年增速位居全市前列。</w:t>
      </w:r>
    </w:p>
    <w:p w14:paraId="24B1B15D">
      <w:pPr>
        <w:rPr>
          <w:rFonts w:hint="eastAsia" w:ascii="仿宋_GB2312" w:hAnsi="仿宋_GB2312" w:cs="仿宋_GB2312"/>
          <w:strike w:val="0"/>
          <w:dstrike w:val="0"/>
          <w:color w:val="auto"/>
          <w:sz w:val="32"/>
          <w:szCs w:val="32"/>
          <w:highlight w:val="none"/>
          <w:lang w:val="en-US" w:eastAsia="zh-CN"/>
        </w:rPr>
      </w:pPr>
      <w:r>
        <w:rPr>
          <w:rFonts w:hint="eastAsia" w:ascii="仿宋_GB2312" w:hAnsi="仿宋_GB2312" w:cs="仿宋_GB2312"/>
          <w:strike w:val="0"/>
          <w:dstrike w:val="0"/>
          <w:color w:val="auto"/>
          <w:sz w:val="32"/>
          <w:szCs w:val="32"/>
          <w:highlight w:val="none"/>
          <w:lang w:val="en-US" w:eastAsia="zh-CN"/>
        </w:rPr>
        <w:br w:type="page"/>
      </w:r>
    </w:p>
    <w:p w14:paraId="19F67826">
      <w:pPr>
        <w:keepNext w:val="0"/>
        <w:keepLines w:val="0"/>
        <w:pageBreakBefore w:val="0"/>
        <w:widowControl/>
        <w:kinsoku/>
        <w:wordWrap/>
        <w:overflowPunct/>
        <w:topLinePunct w:val="0"/>
        <w:autoSpaceDE w:val="0"/>
        <w:autoSpaceDN w:val="0"/>
        <w:bidi w:val="0"/>
        <w:adjustRightInd w:val="0"/>
        <w:snapToGrid w:val="0"/>
        <w:spacing w:before="0" w:beforeLines="20" w:line="240" w:lineRule="auto"/>
        <w:ind w:firstLine="0" w:firstLineChars="0"/>
        <w:jc w:val="center"/>
        <w:textAlignment w:val="baseline"/>
        <w:rPr>
          <w:rFonts w:hint="eastAsia" w:ascii="楷体_GB2312" w:hAnsi="楷体_GB2312" w:eastAsia="楷体_GB2312" w:cs="楷体_GB2312"/>
          <w:color w:val="auto"/>
          <w:sz w:val="28"/>
          <w:szCs w:val="22"/>
          <w:highlight w:val="none"/>
        </w:rPr>
      </w:pPr>
      <w:r>
        <w:rPr>
          <w:rFonts w:hint="eastAsia" w:ascii="楷体_GB2312" w:hAnsi="楷体_GB2312" w:eastAsia="楷体_GB2312" w:cs="楷体_GB2312"/>
          <w:color w:val="auto"/>
          <w:sz w:val="28"/>
          <w:szCs w:val="22"/>
          <w:highlight w:val="none"/>
        </w:rPr>
        <w:t>图</w:t>
      </w:r>
      <w:r>
        <w:rPr>
          <w:rFonts w:hint="eastAsia" w:ascii="Times New Roman" w:hAnsi="Times New Roman" w:eastAsia="楷体_GB2312" w:cs="Times New Roman"/>
          <w:color w:val="auto"/>
          <w:sz w:val="28"/>
          <w:szCs w:val="22"/>
          <w:highlight w:val="none"/>
          <w:lang w:eastAsia="zh-CN"/>
        </w:rPr>
        <w:t>1</w:t>
      </w:r>
      <w:r>
        <w:rPr>
          <w:rFonts w:hint="eastAsia" w:ascii="楷体_GB2312" w:hAnsi="楷体_GB2312" w:eastAsia="楷体_GB2312" w:cs="楷体_GB2312"/>
          <w:color w:val="auto"/>
          <w:sz w:val="28"/>
          <w:szCs w:val="22"/>
          <w:highlight w:val="none"/>
        </w:rPr>
        <w:t xml:space="preserve">  </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2025</w:t>
      </w:r>
      <w:r>
        <w:rPr>
          <w:rFonts w:hint="eastAsia" w:ascii="楷体_GB2312" w:hAnsi="楷体_GB2312" w:eastAsia="楷体_GB2312" w:cs="楷体_GB2312"/>
          <w:color w:val="auto"/>
          <w:sz w:val="28"/>
          <w:szCs w:val="22"/>
          <w:highlight w:val="none"/>
        </w:rPr>
        <w:t>年</w:t>
      </w:r>
      <w:r>
        <w:rPr>
          <w:rFonts w:hint="eastAsia" w:ascii="楷体_GB2312" w:hAnsi="楷体_GB2312" w:eastAsia="楷体_GB2312" w:cs="楷体_GB2312"/>
          <w:color w:val="auto"/>
          <w:sz w:val="28"/>
          <w:szCs w:val="22"/>
          <w:highlight w:val="none"/>
          <w:lang w:val="en-US" w:eastAsia="zh-CN"/>
        </w:rPr>
        <w:t>浈江区</w:t>
      </w:r>
      <w:r>
        <w:rPr>
          <w:rFonts w:hint="eastAsia" w:ascii="楷体_GB2312" w:hAnsi="楷体_GB2312" w:eastAsia="楷体_GB2312" w:cs="楷体_GB2312"/>
          <w:color w:val="auto"/>
          <w:sz w:val="28"/>
          <w:szCs w:val="22"/>
          <w:highlight w:val="none"/>
        </w:rPr>
        <w:t>地区生产总值增速</w:t>
      </w:r>
    </w:p>
    <w:p w14:paraId="0EA56FBB">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firstLine="0" w:firstLineChars="0"/>
        <w:jc w:val="both"/>
        <w:textAlignment w:val="baseline"/>
        <w:rPr>
          <w:rFonts w:hint="eastAsia" w:ascii="仿宋_GB2312" w:hAnsi="仿宋_GB2312" w:eastAsia="仿宋_GB2312" w:cs="仿宋_GB2312"/>
          <w:strike w:val="0"/>
          <w:dstrike w:val="0"/>
          <w:color w:val="auto"/>
          <w:sz w:val="32"/>
          <w:szCs w:val="32"/>
          <w:highlight w:val="none"/>
          <w:lang w:val="en-US" w:eastAsia="zh-CN"/>
        </w:rPr>
      </w:pPr>
      <w:r>
        <w:rPr>
          <w:color w:val="auto"/>
          <w:highlight w:val="none"/>
        </w:rPr>
        <w:drawing>
          <wp:inline distT="0" distB="0" distL="114300" distR="114300">
            <wp:extent cx="5579745" cy="2484120"/>
            <wp:effectExtent l="4445" t="5080" r="16510" b="6350"/>
            <wp:docPr id="1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1580C3">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rPr>
      </w:pPr>
    </w:p>
    <w:p w14:paraId="3C79D5BE">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val="en-US" w:eastAsia="zh-CN"/>
        </w:rPr>
      </w:pPr>
      <w:r>
        <w:rPr>
          <w:rFonts w:hint="eastAsia" w:ascii="楷体_GB2312" w:hAnsi="楷体_GB2312" w:eastAsia="楷体_GB2312" w:cs="楷体_GB2312"/>
          <w:color w:val="auto"/>
          <w:sz w:val="28"/>
          <w:szCs w:val="22"/>
          <w:highlight w:val="none"/>
        </w:rPr>
        <w:t>图</w:t>
      </w:r>
      <w:r>
        <w:rPr>
          <w:rFonts w:hint="eastAsia" w:ascii="Times New Roman" w:hAnsi="Times New Roman" w:eastAsia="楷体_GB2312" w:cs="Times New Roman"/>
          <w:color w:val="auto"/>
          <w:sz w:val="28"/>
          <w:szCs w:val="22"/>
          <w:highlight w:val="none"/>
          <w:lang w:val="en-US" w:eastAsia="zh-CN"/>
        </w:rPr>
        <w:t>2</w:t>
      </w:r>
      <w:r>
        <w:rPr>
          <w:rFonts w:hint="eastAsia" w:ascii="楷体_GB2312" w:hAnsi="楷体_GB2312" w:eastAsia="楷体_GB2312" w:cs="楷体_GB2312"/>
          <w:color w:val="auto"/>
          <w:sz w:val="28"/>
          <w:szCs w:val="22"/>
          <w:highlight w:val="none"/>
        </w:rPr>
        <w:t xml:space="preserve">  </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2025</w:t>
      </w:r>
      <w:r>
        <w:rPr>
          <w:rFonts w:hint="eastAsia" w:ascii="楷体_GB2312" w:hAnsi="楷体_GB2312" w:eastAsia="楷体_GB2312" w:cs="楷体_GB2312"/>
          <w:color w:val="auto"/>
          <w:sz w:val="28"/>
          <w:szCs w:val="22"/>
          <w:highlight w:val="none"/>
        </w:rPr>
        <w:t>年</w:t>
      </w:r>
      <w:r>
        <w:rPr>
          <w:rFonts w:hint="eastAsia" w:ascii="楷体_GB2312" w:hAnsi="楷体_GB2312" w:eastAsia="楷体_GB2312" w:cs="楷体_GB2312"/>
          <w:color w:val="auto"/>
          <w:sz w:val="28"/>
          <w:szCs w:val="22"/>
          <w:highlight w:val="none"/>
          <w:lang w:val="en-US" w:eastAsia="zh-CN"/>
        </w:rPr>
        <w:t>浈江区人均</w:t>
      </w:r>
      <w:r>
        <w:rPr>
          <w:rFonts w:hint="eastAsia" w:ascii="楷体_GB2312" w:hAnsi="楷体_GB2312" w:eastAsia="楷体_GB2312" w:cs="楷体_GB2312"/>
          <w:color w:val="auto"/>
          <w:sz w:val="28"/>
          <w:szCs w:val="22"/>
          <w:highlight w:val="none"/>
        </w:rPr>
        <w:t>地区生产总值</w:t>
      </w:r>
      <w:r>
        <w:rPr>
          <w:rFonts w:hint="eastAsia" w:ascii="楷体_GB2312" w:hAnsi="楷体_GB2312" w:eastAsia="楷体_GB2312" w:cs="楷体_GB2312"/>
          <w:color w:val="auto"/>
          <w:sz w:val="28"/>
          <w:szCs w:val="22"/>
          <w:highlight w:val="none"/>
          <w:lang w:val="en-US" w:eastAsia="zh-CN"/>
        </w:rPr>
        <w:t>情况</w:t>
      </w:r>
    </w:p>
    <w:p w14:paraId="7E03CB9F">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val="en-US" w:eastAsia="zh-CN"/>
        </w:rPr>
      </w:pPr>
      <w:r>
        <w:rPr>
          <w:color w:val="auto"/>
          <w:highlight w:val="none"/>
        </w:rPr>
        <w:drawing>
          <wp:inline distT="0" distB="0" distL="114300" distR="114300">
            <wp:extent cx="5579745" cy="2232025"/>
            <wp:effectExtent l="5080" t="5080" r="15875" b="10795"/>
            <wp:docPr id="1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10E5E4">
      <w:pPr>
        <w:rPr>
          <w:rFonts w:hint="eastAsia" w:ascii="楷体_GB2312" w:hAnsi="楷体_GB2312" w:eastAsia="楷体_GB2312" w:cs="楷体_GB2312"/>
          <w:color w:val="auto"/>
          <w:sz w:val="28"/>
          <w:szCs w:val="22"/>
          <w:highlight w:val="none"/>
        </w:rPr>
      </w:pPr>
      <w:r>
        <w:rPr>
          <w:rFonts w:hint="eastAsia" w:ascii="楷体_GB2312" w:hAnsi="楷体_GB2312" w:eastAsia="楷体_GB2312" w:cs="楷体_GB2312"/>
          <w:color w:val="auto"/>
          <w:sz w:val="28"/>
          <w:szCs w:val="22"/>
          <w:highlight w:val="none"/>
        </w:rPr>
        <w:br w:type="page"/>
      </w:r>
    </w:p>
    <w:p w14:paraId="2BA8B521">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eastAsia="zh-CN"/>
        </w:rPr>
      </w:pPr>
      <w:r>
        <w:rPr>
          <w:rFonts w:hint="eastAsia" w:ascii="楷体_GB2312" w:hAnsi="楷体_GB2312" w:eastAsia="楷体_GB2312" w:cs="楷体_GB2312"/>
          <w:color w:val="auto"/>
          <w:sz w:val="28"/>
          <w:szCs w:val="22"/>
          <w:highlight w:val="none"/>
        </w:rPr>
        <w:t>图</w:t>
      </w:r>
      <w:r>
        <w:rPr>
          <w:rFonts w:hint="eastAsia" w:ascii="Times New Roman" w:hAnsi="Times New Roman" w:eastAsia="楷体_GB2312" w:cs="Times New Roman"/>
          <w:color w:val="auto"/>
          <w:sz w:val="28"/>
          <w:szCs w:val="22"/>
          <w:highlight w:val="none"/>
          <w:lang w:val="en-US" w:eastAsia="zh-CN"/>
        </w:rPr>
        <w:t>3</w:t>
      </w:r>
      <w:r>
        <w:rPr>
          <w:rFonts w:hint="eastAsia" w:ascii="楷体_GB2312" w:hAnsi="楷体_GB2312" w:eastAsia="楷体_GB2312" w:cs="楷体_GB2312"/>
          <w:color w:val="auto"/>
          <w:sz w:val="28"/>
          <w:szCs w:val="22"/>
          <w:highlight w:val="none"/>
        </w:rPr>
        <w:t xml:space="preserve">  </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5</w:t>
      </w:r>
      <w:r>
        <w:rPr>
          <w:rFonts w:hint="eastAsia" w:ascii="楷体_GB2312" w:hAnsi="楷体_GB2312" w:eastAsia="楷体_GB2312" w:cs="楷体_GB2312"/>
          <w:color w:val="auto"/>
          <w:sz w:val="28"/>
          <w:szCs w:val="22"/>
          <w:highlight w:val="none"/>
        </w:rPr>
        <w:t>年</w:t>
      </w:r>
      <w:r>
        <w:rPr>
          <w:rFonts w:hint="eastAsia" w:ascii="楷体_GB2312" w:hAnsi="楷体_GB2312" w:eastAsia="楷体_GB2312" w:cs="楷体_GB2312"/>
          <w:color w:val="auto"/>
          <w:sz w:val="28"/>
          <w:szCs w:val="22"/>
          <w:highlight w:val="none"/>
          <w:lang w:val="en-US" w:eastAsia="zh-CN"/>
        </w:rPr>
        <w:t>浈江区城乡</w:t>
      </w:r>
      <w:r>
        <w:rPr>
          <w:rFonts w:hint="eastAsia" w:ascii="楷体_GB2312" w:hAnsi="楷体_GB2312" w:eastAsia="楷体_GB2312" w:cs="楷体_GB2312"/>
          <w:color w:val="auto"/>
          <w:sz w:val="28"/>
          <w:szCs w:val="22"/>
          <w:highlight w:val="none"/>
        </w:rPr>
        <w:t>居民人均可支配收入及增速</w:t>
      </w:r>
    </w:p>
    <w:p w14:paraId="5EC9FA51">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楷体_GB2312" w:hAnsi="楷体_GB2312" w:eastAsia="楷体_GB2312" w:cs="楷体_GB2312"/>
          <w:color w:val="auto"/>
          <w:sz w:val="28"/>
          <w:szCs w:val="22"/>
          <w:highlight w:val="none"/>
        </w:rPr>
      </w:pPr>
      <w:r>
        <w:rPr>
          <w:color w:val="auto"/>
          <w:highlight w:val="none"/>
        </w:rPr>
        <w:drawing>
          <wp:inline distT="0" distB="0" distL="114300" distR="114300">
            <wp:extent cx="5579745" cy="2447925"/>
            <wp:effectExtent l="4445" t="5080" r="16510" b="4445"/>
            <wp:docPr id="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DDFAEF">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rPr>
      </w:pPr>
    </w:p>
    <w:p w14:paraId="19DE5DB6">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eastAsia="zh-CN"/>
        </w:rPr>
      </w:pPr>
      <w:r>
        <w:rPr>
          <w:rFonts w:hint="eastAsia" w:ascii="楷体_GB2312" w:hAnsi="楷体_GB2312" w:eastAsia="楷体_GB2312" w:cs="楷体_GB2312"/>
          <w:color w:val="auto"/>
          <w:sz w:val="28"/>
          <w:szCs w:val="22"/>
          <w:highlight w:val="none"/>
        </w:rPr>
        <w:t>图</w:t>
      </w:r>
      <w:r>
        <w:rPr>
          <w:rFonts w:hint="eastAsia" w:ascii="Times New Roman" w:hAnsi="Times New Roman" w:eastAsia="楷体_GB2312" w:cs="Times New Roman"/>
          <w:color w:val="auto"/>
          <w:sz w:val="28"/>
          <w:szCs w:val="22"/>
          <w:highlight w:val="none"/>
          <w:lang w:val="en-US" w:eastAsia="zh-CN"/>
        </w:rPr>
        <w:t>4</w:t>
      </w:r>
      <w:r>
        <w:rPr>
          <w:rFonts w:hint="eastAsia" w:ascii="楷体_GB2312" w:hAnsi="楷体_GB2312" w:eastAsia="楷体_GB2312" w:cs="楷体_GB2312"/>
          <w:color w:val="auto"/>
          <w:sz w:val="28"/>
          <w:szCs w:val="22"/>
          <w:highlight w:val="none"/>
        </w:rPr>
        <w:t xml:space="preserve">  </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5</w:t>
      </w:r>
      <w:r>
        <w:rPr>
          <w:rFonts w:hint="eastAsia" w:ascii="楷体_GB2312" w:hAnsi="楷体_GB2312" w:eastAsia="楷体_GB2312" w:cs="楷体_GB2312"/>
          <w:color w:val="auto"/>
          <w:sz w:val="28"/>
          <w:szCs w:val="22"/>
          <w:highlight w:val="none"/>
        </w:rPr>
        <w:t>年</w:t>
      </w:r>
      <w:r>
        <w:rPr>
          <w:rFonts w:hint="eastAsia" w:ascii="楷体_GB2312" w:hAnsi="楷体_GB2312" w:eastAsia="楷体_GB2312" w:cs="楷体_GB2312"/>
          <w:color w:val="auto"/>
          <w:sz w:val="28"/>
          <w:szCs w:val="22"/>
          <w:highlight w:val="none"/>
          <w:lang w:val="en-US" w:eastAsia="zh-CN"/>
        </w:rPr>
        <w:t>浈江区</w:t>
      </w:r>
      <w:r>
        <w:rPr>
          <w:rFonts w:hint="eastAsia" w:ascii="楷体_GB2312" w:hAnsi="楷体_GB2312" w:eastAsia="楷体_GB2312" w:cs="楷体_GB2312"/>
          <w:color w:val="auto"/>
          <w:sz w:val="28"/>
          <w:szCs w:val="22"/>
          <w:highlight w:val="none"/>
        </w:rPr>
        <w:t>地方一般预算收入和支出</w:t>
      </w:r>
    </w:p>
    <w:p w14:paraId="6AB78F0D">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firstLine="0" w:firstLineChars="0"/>
        <w:jc w:val="center"/>
        <w:textAlignment w:val="baseline"/>
        <w:rPr>
          <w:rFonts w:hint="eastAsia" w:ascii="仿宋_GB2312" w:hAnsi="仿宋_GB2312" w:eastAsia="仿宋_GB2312" w:cs="仿宋_GB2312"/>
          <w:strike w:val="0"/>
          <w:dstrike w:val="0"/>
          <w:color w:val="auto"/>
          <w:sz w:val="32"/>
          <w:szCs w:val="32"/>
          <w:highlight w:val="none"/>
          <w:lang w:val="en-US" w:eastAsia="zh-CN"/>
        </w:rPr>
      </w:pPr>
      <w:r>
        <w:rPr>
          <w:color w:val="auto"/>
          <w:highlight w:val="none"/>
        </w:rPr>
        <w:drawing>
          <wp:inline distT="0" distB="0" distL="114300" distR="114300">
            <wp:extent cx="5796280" cy="2447925"/>
            <wp:effectExtent l="4445" t="4445" r="9525" b="5080"/>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AC15A7C">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p>
    <w:p w14:paraId="05AB7669">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二、现代化产业体系加快构建</w:t>
      </w:r>
    </w:p>
    <w:p w14:paraId="0BB8DC62">
      <w:pPr>
        <w:shd w:val="clear"/>
        <w:kinsoku/>
        <w:bidi w:val="0"/>
        <w:rPr>
          <w:rFonts w:hint="eastAsia"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工业基础持续巩固</w:t>
      </w:r>
      <w:r>
        <w:rPr>
          <w:rFonts w:hint="eastAsia" w:cs="仿宋_GB2312"/>
          <w:b/>
          <w:bCs/>
          <w:strike w:val="0"/>
          <w:dstrike w:val="0"/>
          <w:color w:val="auto"/>
          <w:sz w:val="32"/>
          <w:szCs w:val="32"/>
          <w:highlight w:val="none"/>
          <w:lang w:val="en-US" w:eastAsia="zh-CN"/>
        </w:rPr>
        <w:t>。</w:t>
      </w:r>
      <w:r>
        <w:rPr>
          <w:rFonts w:hint="eastAsia" w:ascii="Times New Roman" w:hAnsi="Times New Roman" w:eastAsia="仿宋_GB2312" w:cs="仿宋_GB2312"/>
          <w:strike w:val="0"/>
          <w:dstrike w:val="0"/>
          <w:color w:val="auto"/>
          <w:sz w:val="32"/>
          <w:szCs w:val="32"/>
          <w:highlight w:val="none"/>
          <w:lang w:val="en-US" w:eastAsia="zh-CN"/>
        </w:rPr>
        <w:t>规上工业产值年均增长</w:t>
      </w:r>
      <w:r>
        <w:rPr>
          <w:rFonts w:hint="eastAsia" w:cs="Times New Roman"/>
          <w:strike w:val="0"/>
          <w:dstrike w:val="0"/>
          <w:color w:val="auto"/>
          <w:sz w:val="32"/>
          <w:szCs w:val="32"/>
          <w:highlight w:val="none"/>
          <w:lang w:val="en-US" w:eastAsia="zh-CN"/>
        </w:rPr>
        <w:t>7</w:t>
      </w:r>
      <w:r>
        <w:rPr>
          <w:rFonts w:hint="eastAsia"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2</w:t>
      </w:r>
      <w:r>
        <w:rPr>
          <w:rFonts w:hint="eastAsia" w:ascii="Times New Roman" w:hAnsi="Times New Roman" w:cs="Times New Roman"/>
          <w:strike w:val="0"/>
          <w:dstrike w:val="0"/>
          <w:color w:val="auto"/>
          <w:sz w:val="32"/>
          <w:szCs w:val="32"/>
          <w:highlight w:val="none"/>
          <w:lang w:val="en-US" w:eastAsia="zh-CN"/>
        </w:rPr>
        <w:t>%</w:t>
      </w:r>
      <w:r>
        <w:rPr>
          <w:rFonts w:hint="eastAsia" w:ascii="Times New Roman" w:hAnsi="Times New Roman" w:cs="仿宋_GB2312"/>
          <w:strike w:val="0"/>
          <w:dstrike w:val="0"/>
          <w:color w:val="auto"/>
          <w:sz w:val="32"/>
          <w:szCs w:val="32"/>
          <w:highlight w:val="none"/>
          <w:lang w:val="en-US" w:eastAsia="zh-CN"/>
        </w:rPr>
        <w:t>，是经济增长的主要拉动引擎</w:t>
      </w:r>
      <w:r>
        <w:rPr>
          <w:rFonts w:hint="eastAsia" w:ascii="Times New Roman" w:hAnsi="Times New Roman" w:eastAsia="仿宋_GB2312" w:cs="仿宋_GB2312"/>
          <w:strike w:val="0"/>
          <w:dstrike w:val="0"/>
          <w:color w:val="auto"/>
          <w:sz w:val="32"/>
          <w:szCs w:val="32"/>
          <w:highlight w:val="none"/>
          <w:lang w:val="en-US" w:eastAsia="zh-CN"/>
        </w:rPr>
        <w:t>。</w:t>
      </w:r>
      <w:r>
        <w:rPr>
          <w:rFonts w:hint="eastAsia" w:cs="仿宋_GB2312"/>
          <w:strike w:val="0"/>
          <w:dstrike w:val="0"/>
          <w:color w:val="auto"/>
          <w:sz w:val="32"/>
          <w:szCs w:val="32"/>
          <w:highlight w:val="none"/>
          <w:lang w:val="en-US" w:eastAsia="zh-CN"/>
        </w:rPr>
        <w:t>先进</w:t>
      </w:r>
      <w:r>
        <w:rPr>
          <w:rFonts w:hint="eastAsia" w:ascii="Times New Roman" w:hAnsi="Times New Roman" w:eastAsia="仿宋_GB2312" w:cs="仿宋_GB2312"/>
          <w:strike w:val="0"/>
          <w:dstrike w:val="0"/>
          <w:color w:val="auto"/>
          <w:sz w:val="32"/>
          <w:szCs w:val="32"/>
          <w:highlight w:val="none"/>
          <w:lang w:val="en-US" w:eastAsia="zh-CN"/>
        </w:rPr>
        <w:t>装备制造</w:t>
      </w:r>
      <w:r>
        <w:rPr>
          <w:rFonts w:hint="eastAsia" w:cs="仿宋_GB2312"/>
          <w:strike w:val="0"/>
          <w:dstrike w:val="0"/>
          <w:color w:val="auto"/>
          <w:sz w:val="32"/>
          <w:szCs w:val="32"/>
          <w:highlight w:val="none"/>
          <w:lang w:val="en-US" w:eastAsia="zh-CN"/>
        </w:rPr>
        <w:t>、</w:t>
      </w:r>
      <w:r>
        <w:rPr>
          <w:rFonts w:hint="eastAsia" w:ascii="Times New Roman" w:hAnsi="Times New Roman" w:eastAsia="仿宋_GB2312" w:cs="仿宋_GB2312"/>
          <w:strike w:val="0"/>
          <w:dstrike w:val="0"/>
          <w:color w:val="auto"/>
          <w:sz w:val="32"/>
          <w:szCs w:val="32"/>
          <w:highlight w:val="none"/>
          <w:lang w:val="en-US" w:eastAsia="zh-CN"/>
        </w:rPr>
        <w:t>有色金属新材料</w:t>
      </w:r>
      <w:r>
        <w:rPr>
          <w:rFonts w:hint="eastAsia" w:ascii="Times New Roman" w:hAnsi="Times New Roman" w:cs="仿宋_GB2312"/>
          <w:strike w:val="0"/>
          <w:dstrike w:val="0"/>
          <w:color w:val="auto"/>
          <w:sz w:val="32"/>
          <w:szCs w:val="32"/>
          <w:highlight w:val="none"/>
          <w:lang w:val="en-US" w:eastAsia="zh-CN"/>
        </w:rPr>
        <w:t>、新能源电力</w:t>
      </w:r>
      <w:r>
        <w:rPr>
          <w:rFonts w:hint="eastAsia" w:ascii="Times New Roman" w:hAnsi="Times New Roman" w:eastAsia="仿宋_GB2312" w:cs="仿宋_GB2312"/>
          <w:strike w:val="0"/>
          <w:dstrike w:val="0"/>
          <w:color w:val="auto"/>
          <w:sz w:val="32"/>
          <w:szCs w:val="32"/>
          <w:highlight w:val="none"/>
          <w:lang w:val="en-US" w:eastAsia="zh-CN"/>
        </w:rPr>
        <w:t>产业产值</w:t>
      </w:r>
      <w:r>
        <w:rPr>
          <w:rFonts w:hint="eastAsia" w:cs="仿宋_GB2312"/>
          <w:strike w:val="0"/>
          <w:dstrike w:val="0"/>
          <w:color w:val="auto"/>
          <w:sz w:val="32"/>
          <w:szCs w:val="32"/>
          <w:highlight w:val="none"/>
          <w:lang w:val="en-US" w:eastAsia="zh-CN"/>
        </w:rPr>
        <w:t>分别</w:t>
      </w:r>
      <w:r>
        <w:rPr>
          <w:rFonts w:hint="eastAsia" w:ascii="Times New Roman" w:hAnsi="Times New Roman" w:cs="仿宋_GB2312"/>
          <w:strike w:val="0"/>
          <w:dstrike w:val="0"/>
          <w:color w:val="auto"/>
          <w:sz w:val="32"/>
          <w:szCs w:val="32"/>
          <w:highlight w:val="none"/>
          <w:lang w:val="en-US" w:eastAsia="zh-CN"/>
        </w:rPr>
        <w:t>比</w:t>
      </w:r>
      <w:r>
        <w:rPr>
          <w:rFonts w:hint="eastAsia" w:ascii="Times New Roman" w:hAnsi="Times New Roman" w:cs="Times New Roman"/>
          <w:strike w:val="0"/>
          <w:dstrike w:val="0"/>
          <w:color w:val="auto"/>
          <w:sz w:val="32"/>
          <w:szCs w:val="32"/>
          <w:highlight w:val="none"/>
          <w:lang w:val="en-US" w:eastAsia="zh-CN"/>
        </w:rPr>
        <w:t>2020</w:t>
      </w:r>
      <w:r>
        <w:rPr>
          <w:rFonts w:hint="eastAsia" w:ascii="Times New Roman" w:hAnsi="Times New Roman" w:eastAsia="仿宋_GB2312" w:cs="仿宋_GB2312"/>
          <w:strike w:val="0"/>
          <w:dstrike w:val="0"/>
          <w:color w:val="auto"/>
          <w:sz w:val="32"/>
          <w:szCs w:val="32"/>
          <w:highlight w:val="none"/>
          <w:lang w:val="en-US" w:eastAsia="zh-CN"/>
        </w:rPr>
        <w:t>年增长</w:t>
      </w:r>
      <w:r>
        <w:rPr>
          <w:rFonts w:hint="eastAsia" w:cs="Times New Roman"/>
          <w:strike w:val="0"/>
          <w:dstrike w:val="0"/>
          <w:color w:val="auto"/>
          <w:sz w:val="32"/>
          <w:szCs w:val="32"/>
          <w:highlight w:val="none"/>
          <w:lang w:val="en-US" w:eastAsia="zh-CN"/>
        </w:rPr>
        <w:t>84</w:t>
      </w:r>
      <w:r>
        <w:rPr>
          <w:rFonts w:hint="eastAsia" w:ascii="Times New Roman" w:hAnsi="Times New Roman" w:cs="Times New Roman"/>
          <w:strike w:val="0"/>
          <w:dstrike w:val="0"/>
          <w:color w:val="auto"/>
          <w:sz w:val="32"/>
          <w:szCs w:val="32"/>
          <w:highlight w:val="none"/>
          <w:lang w:val="en-US" w:eastAsia="zh-CN"/>
        </w:rPr>
        <w:t>%</w:t>
      </w:r>
      <w:r>
        <w:rPr>
          <w:rFonts w:hint="eastAsia"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58%</w:t>
      </w:r>
      <w:r>
        <w:rPr>
          <w:rFonts w:hint="eastAsia" w:ascii="Times New Roman" w:hAnsi="Times New Roman"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61%</w:t>
      </w:r>
      <w:r>
        <w:rPr>
          <w:rFonts w:hint="eastAsia" w:cs="仿宋_GB2312"/>
          <w:strike w:val="0"/>
          <w:dstrike w:val="0"/>
          <w:color w:val="auto"/>
          <w:sz w:val="32"/>
          <w:szCs w:val="32"/>
          <w:highlight w:val="none"/>
          <w:lang w:val="en-US" w:eastAsia="zh-CN"/>
        </w:rPr>
        <w:t>，产业集群建设成效显著。</w:t>
      </w:r>
      <w:r>
        <w:rPr>
          <w:rFonts w:hint="eastAsia" w:ascii="仿宋_GB2312" w:hAnsi="仿宋_GB2312" w:eastAsia="仿宋_GB2312" w:cs="仿宋_GB2312"/>
          <w:b/>
          <w:bCs/>
          <w:strike w:val="0"/>
          <w:dstrike w:val="0"/>
          <w:color w:val="auto"/>
          <w:sz w:val="32"/>
          <w:szCs w:val="32"/>
          <w:highlight w:val="none"/>
          <w:lang w:val="en-US" w:eastAsia="zh-CN"/>
        </w:rPr>
        <w:t>大数据产业加速集聚</w:t>
      </w:r>
      <w:r>
        <w:rPr>
          <w:rFonts w:hint="eastAsia" w:cs="仿宋_GB2312"/>
          <w:b/>
          <w:bCs/>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四大运营商、腾讯、中联等一批大数据项目落地建设，</w:t>
      </w:r>
      <w:r>
        <w:rPr>
          <w:rFonts w:hint="eastAsia" w:ascii="仿宋_GB2312" w:hAnsi="仿宋_GB2312" w:cs="仿宋_GB2312"/>
          <w:strike w:val="0"/>
          <w:dstrike w:val="0"/>
          <w:color w:val="auto"/>
          <w:sz w:val="32"/>
          <w:szCs w:val="32"/>
          <w:highlight w:val="none"/>
          <w:lang w:val="en-US" w:eastAsia="zh-CN"/>
        </w:rPr>
        <w:t>累计完成投资</w:t>
      </w:r>
      <w:r>
        <w:rPr>
          <w:rFonts w:hint="eastAsia" w:ascii="Times New Roman" w:hAnsi="Times New Roman" w:cs="Times New Roman"/>
          <w:strike w:val="0"/>
          <w:dstrike w:val="0"/>
          <w:color w:val="auto"/>
          <w:sz w:val="32"/>
          <w:szCs w:val="32"/>
          <w:highlight w:val="none"/>
          <w:lang w:val="en-US" w:eastAsia="zh-CN"/>
        </w:rPr>
        <w:t>5</w:t>
      </w:r>
      <w:r>
        <w:rPr>
          <w:rFonts w:hint="eastAsia" w:cs="Times New Roman"/>
          <w:strike w:val="0"/>
          <w:dstrike w:val="0"/>
          <w:color w:val="auto"/>
          <w:sz w:val="32"/>
          <w:szCs w:val="32"/>
          <w:highlight w:val="none"/>
          <w:lang w:val="en-US" w:eastAsia="zh-CN"/>
        </w:rPr>
        <w:t>0.08</w:t>
      </w:r>
      <w:r>
        <w:rPr>
          <w:rFonts w:hint="eastAsia" w:ascii="仿宋_GB2312" w:hAnsi="仿宋_GB2312" w:cs="仿宋_GB2312"/>
          <w:strike w:val="0"/>
          <w:dstrike w:val="0"/>
          <w:color w:val="auto"/>
          <w:sz w:val="32"/>
          <w:szCs w:val="32"/>
          <w:highlight w:val="none"/>
          <w:lang w:val="en-US" w:eastAsia="zh-CN"/>
        </w:rPr>
        <w:t>亿元。</w:t>
      </w:r>
      <w:r>
        <w:rPr>
          <w:rFonts w:hint="eastAsia" w:ascii="仿宋_GB2312" w:hAnsi="仿宋_GB2312" w:eastAsia="仿宋_GB2312" w:cs="仿宋_GB2312"/>
          <w:strike w:val="0"/>
          <w:dstrike w:val="0"/>
          <w:color w:val="auto"/>
          <w:sz w:val="32"/>
          <w:szCs w:val="32"/>
          <w:highlight w:val="none"/>
          <w:lang w:val="en-US" w:eastAsia="zh-CN"/>
        </w:rPr>
        <w:t>移动、联通、电信等大数据项目建成投产，形成</w:t>
      </w:r>
      <w:r>
        <w:rPr>
          <w:rFonts w:hint="eastAsia" w:ascii="Times New Roman" w:hAnsi="Times New Roman" w:cs="Times New Roman"/>
          <w:strike w:val="0"/>
          <w:dstrike w:val="0"/>
          <w:color w:val="auto"/>
          <w:sz w:val="32"/>
          <w:szCs w:val="32"/>
          <w:highlight w:val="none"/>
          <w:lang w:val="en-US" w:eastAsia="zh-CN"/>
        </w:rPr>
        <w:t>8</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08</w:t>
      </w:r>
      <w:r>
        <w:rPr>
          <w:rFonts w:hint="eastAsia" w:ascii="仿宋_GB2312" w:hAnsi="仿宋_GB2312" w:eastAsia="仿宋_GB2312" w:cs="仿宋_GB2312"/>
          <w:strike w:val="0"/>
          <w:dstrike w:val="0"/>
          <w:color w:val="auto"/>
          <w:sz w:val="32"/>
          <w:szCs w:val="32"/>
          <w:highlight w:val="none"/>
          <w:lang w:val="en-US" w:eastAsia="zh-CN"/>
        </w:rPr>
        <w:t>万标准机架的承载能力</w:t>
      </w:r>
      <w:r>
        <w:rPr>
          <w:rFonts w:hint="eastAsia" w:ascii="仿宋_GB2312" w:hAnsi="仿宋_GB2312" w:cs="仿宋_GB2312"/>
          <w:strike w:val="0"/>
          <w:dstrike w:val="0"/>
          <w:color w:val="auto"/>
          <w:sz w:val="32"/>
          <w:szCs w:val="32"/>
          <w:highlight w:val="none"/>
          <w:lang w:val="en-US" w:eastAsia="zh-CN"/>
        </w:rPr>
        <w:t>，算力底座初具规模。</w:t>
      </w:r>
      <w:r>
        <w:rPr>
          <w:rFonts w:hint="eastAsia" w:ascii="仿宋_GB2312" w:hAnsi="仿宋_GB2312" w:eastAsia="仿宋_GB2312" w:cs="仿宋_GB2312"/>
          <w:strike w:val="0"/>
          <w:dstrike w:val="0"/>
          <w:color w:val="auto"/>
          <w:sz w:val="32"/>
          <w:szCs w:val="32"/>
          <w:highlight w:val="none"/>
          <w:lang w:val="en-US" w:eastAsia="zh-CN"/>
        </w:rPr>
        <w:t>全球首个商用智算昇腾超节点在</w:t>
      </w:r>
      <w:r>
        <w:rPr>
          <w:rFonts w:hint="eastAsia" w:ascii="仿宋_GB2312" w:hAnsi="仿宋_GB2312" w:cs="仿宋_GB2312"/>
          <w:strike w:val="0"/>
          <w:dstrike w:val="0"/>
          <w:color w:val="auto"/>
          <w:sz w:val="32"/>
          <w:szCs w:val="32"/>
          <w:highlight w:val="none"/>
          <w:lang w:val="en-US" w:eastAsia="zh-CN"/>
        </w:rPr>
        <w:t>韶关数据中心集群</w:t>
      </w:r>
      <w:r>
        <w:rPr>
          <w:rFonts w:hint="eastAsia" w:ascii="仿宋_GB2312" w:hAnsi="仿宋_GB2312" w:eastAsia="仿宋_GB2312" w:cs="仿宋_GB2312"/>
          <w:strike w:val="0"/>
          <w:dstrike w:val="0"/>
          <w:color w:val="auto"/>
          <w:sz w:val="32"/>
          <w:szCs w:val="32"/>
          <w:highlight w:val="none"/>
          <w:lang w:val="en-US" w:eastAsia="zh-CN"/>
        </w:rPr>
        <w:t>发布并商用上线</w:t>
      </w:r>
      <w:r>
        <w:rPr>
          <w:rFonts w:hint="eastAsia" w:ascii="仿宋_GB2312" w:hAnsi="仿宋_GB2312" w:cs="仿宋_GB2312"/>
          <w:strike w:val="0"/>
          <w:dstrike w:val="0"/>
          <w:color w:val="auto"/>
          <w:sz w:val="32"/>
          <w:szCs w:val="32"/>
          <w:highlight w:val="none"/>
          <w:lang w:val="en-US" w:eastAsia="zh-CN"/>
        </w:rPr>
        <w:t>，标志着新一代智能算力注入粤港澳大湾区国家枢纽节点，是浈江算力主中心人工智能产业发展的一个重要里程碑。</w:t>
      </w:r>
      <w:r>
        <w:rPr>
          <w:rFonts w:hint="eastAsia" w:cs="仿宋_GB2312"/>
          <w:b/>
          <w:bCs/>
          <w:strike w:val="0"/>
          <w:dstrike w:val="0"/>
          <w:color w:val="auto"/>
          <w:sz w:val="32"/>
          <w:szCs w:val="32"/>
          <w:highlight w:val="none"/>
          <w:lang w:val="en-US" w:eastAsia="zh-CN"/>
        </w:rPr>
        <w:t>现代服务业提质增效。</w:t>
      </w:r>
      <w:r>
        <w:rPr>
          <w:rFonts w:hint="eastAsia" w:cs="仿宋_GB2312"/>
          <w:strike w:val="0"/>
          <w:dstrike w:val="0"/>
          <w:color w:val="auto"/>
          <w:sz w:val="32"/>
          <w:szCs w:val="32"/>
          <w:highlight w:val="none"/>
          <w:lang w:val="en-US" w:eastAsia="zh-CN"/>
        </w:rPr>
        <w:t>实现全社会消费品零售总额</w:t>
      </w:r>
      <w:r>
        <w:rPr>
          <w:rFonts w:hint="eastAsia" w:cs="Times New Roman"/>
          <w:strike w:val="0"/>
          <w:dstrike w:val="0"/>
          <w:color w:val="auto"/>
          <w:sz w:val="32"/>
          <w:szCs w:val="32"/>
          <w:highlight w:val="none"/>
          <w:lang w:val="en-US" w:eastAsia="zh-CN"/>
        </w:rPr>
        <w:t>94</w:t>
      </w:r>
      <w:r>
        <w:rPr>
          <w:rFonts w:hint="eastAsia"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04</w:t>
      </w:r>
      <w:r>
        <w:rPr>
          <w:rFonts w:hint="eastAsia" w:cs="仿宋_GB2312"/>
          <w:strike w:val="0"/>
          <w:dstrike w:val="0"/>
          <w:color w:val="auto"/>
          <w:sz w:val="32"/>
          <w:szCs w:val="32"/>
          <w:highlight w:val="none"/>
          <w:lang w:val="en-US" w:eastAsia="zh-CN"/>
        </w:rPr>
        <w:t>亿元，总量连续五年稳居全市第一。“古韵韶城·风采浈江”特色旅游品牌影响力大幅提升，</w:t>
      </w:r>
      <w:r>
        <w:rPr>
          <w:rFonts w:hint="eastAsia" w:cs="Times New Roman"/>
          <w:strike w:val="0"/>
          <w:dstrike w:val="0"/>
          <w:color w:val="auto"/>
          <w:sz w:val="32"/>
          <w:szCs w:val="32"/>
          <w:highlight w:val="none"/>
          <w:lang w:val="en-US" w:eastAsia="zh-CN"/>
        </w:rPr>
        <w:t>2025</w:t>
      </w:r>
      <w:r>
        <w:rPr>
          <w:rFonts w:hint="eastAsia" w:cs="仿宋_GB2312"/>
          <w:strike w:val="0"/>
          <w:dstrike w:val="0"/>
          <w:color w:val="auto"/>
          <w:sz w:val="32"/>
          <w:szCs w:val="32"/>
          <w:highlight w:val="none"/>
          <w:lang w:val="en-US" w:eastAsia="zh-CN"/>
        </w:rPr>
        <w:t>年接待游客突破</w:t>
      </w:r>
      <w:r>
        <w:rPr>
          <w:rFonts w:hint="eastAsia" w:cs="Times New Roman"/>
          <w:strike w:val="0"/>
          <w:dstrike w:val="0"/>
          <w:color w:val="auto"/>
          <w:sz w:val="32"/>
          <w:szCs w:val="32"/>
          <w:highlight w:val="none"/>
          <w:lang w:val="en-US" w:eastAsia="zh-CN"/>
        </w:rPr>
        <w:t>300</w:t>
      </w:r>
      <w:r>
        <w:rPr>
          <w:rFonts w:hint="eastAsia" w:cs="仿宋_GB2312"/>
          <w:strike w:val="0"/>
          <w:dstrike w:val="0"/>
          <w:color w:val="auto"/>
          <w:sz w:val="32"/>
          <w:szCs w:val="32"/>
          <w:highlight w:val="none"/>
          <w:lang w:val="en-US" w:eastAsia="zh-CN"/>
        </w:rPr>
        <w:t>万人次，旅游总收入35.8亿元，较</w:t>
      </w:r>
      <w:r>
        <w:rPr>
          <w:rFonts w:hint="eastAsia" w:cs="Times New Roman"/>
          <w:strike w:val="0"/>
          <w:dstrike w:val="0"/>
          <w:color w:val="auto"/>
          <w:sz w:val="32"/>
          <w:szCs w:val="32"/>
          <w:highlight w:val="none"/>
          <w:lang w:val="en-US" w:eastAsia="zh-CN"/>
        </w:rPr>
        <w:t>2020</w:t>
      </w:r>
      <w:r>
        <w:rPr>
          <w:rFonts w:hint="eastAsia" w:cs="仿宋_GB2312"/>
          <w:strike w:val="0"/>
          <w:dstrike w:val="0"/>
          <w:color w:val="auto"/>
          <w:sz w:val="32"/>
          <w:szCs w:val="32"/>
          <w:highlight w:val="none"/>
          <w:lang w:val="en-US" w:eastAsia="zh-CN"/>
        </w:rPr>
        <w:t>年实现翻一番。</w:t>
      </w:r>
      <w:r>
        <w:rPr>
          <w:rFonts w:hint="eastAsia" w:cs="仿宋_GB2312"/>
          <w:b/>
          <w:bCs/>
          <w:strike w:val="0"/>
          <w:dstrike w:val="0"/>
          <w:color w:val="auto"/>
          <w:sz w:val="32"/>
          <w:szCs w:val="32"/>
          <w:highlight w:val="none"/>
          <w:lang w:val="en-US" w:eastAsia="zh-CN"/>
        </w:rPr>
        <w:t>科技创新稳步推进。</w:t>
      </w:r>
      <w:r>
        <w:rPr>
          <w:rFonts w:hint="eastAsia" w:cs="仿宋_GB2312"/>
          <w:strike w:val="0"/>
          <w:dstrike w:val="0"/>
          <w:color w:val="auto"/>
          <w:sz w:val="32"/>
          <w:szCs w:val="32"/>
          <w:highlight w:val="none"/>
          <w:lang w:val="en-US" w:eastAsia="zh-CN"/>
        </w:rPr>
        <w:t>先进制造业、高技术制造业增加值年均增速分别达到17.1</w:t>
      </w:r>
      <w:r>
        <w:rPr>
          <w:rFonts w:hint="eastAsia" w:cs="Times New Roman"/>
          <w:strike w:val="0"/>
          <w:dstrike w:val="0"/>
          <w:color w:val="auto"/>
          <w:sz w:val="32"/>
          <w:szCs w:val="32"/>
          <w:highlight w:val="none"/>
          <w:lang w:val="en-US" w:eastAsia="zh-CN"/>
        </w:rPr>
        <w:t>%</w:t>
      </w:r>
      <w:r>
        <w:rPr>
          <w:rFonts w:hint="eastAsia"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24</w:t>
      </w:r>
      <w:r>
        <w:rPr>
          <w:rFonts w:hint="eastAsia"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7%</w:t>
      </w:r>
      <w:r>
        <w:rPr>
          <w:rFonts w:hint="eastAsia" w:cs="仿宋_GB2312"/>
          <w:strike w:val="0"/>
          <w:dstrike w:val="0"/>
          <w:color w:val="auto"/>
          <w:sz w:val="32"/>
          <w:szCs w:val="32"/>
          <w:highlight w:val="none"/>
          <w:lang w:val="en-US" w:eastAsia="zh-CN"/>
        </w:rPr>
        <w:t>，工业新质生产力发展势能不断提升。国家级专精特新“小巨人”企业</w:t>
      </w:r>
      <w:r>
        <w:rPr>
          <w:rFonts w:hint="eastAsia" w:cs="Times New Roman"/>
          <w:strike w:val="0"/>
          <w:dstrike w:val="0"/>
          <w:color w:val="auto"/>
          <w:sz w:val="32"/>
          <w:szCs w:val="32"/>
          <w:highlight w:val="none"/>
          <w:lang w:val="en-US" w:eastAsia="zh-CN"/>
        </w:rPr>
        <w:t>2</w:t>
      </w:r>
      <w:r>
        <w:rPr>
          <w:rFonts w:hint="eastAsia" w:cs="仿宋_GB2312"/>
          <w:strike w:val="0"/>
          <w:dstrike w:val="0"/>
          <w:color w:val="auto"/>
          <w:sz w:val="32"/>
          <w:szCs w:val="32"/>
          <w:highlight w:val="none"/>
          <w:lang w:val="en-US" w:eastAsia="zh-CN"/>
        </w:rPr>
        <w:t>家，省级专精特新企业</w:t>
      </w:r>
      <w:r>
        <w:rPr>
          <w:rFonts w:hint="eastAsia" w:cs="Times New Roman"/>
          <w:strike w:val="0"/>
          <w:dstrike w:val="0"/>
          <w:color w:val="auto"/>
          <w:sz w:val="32"/>
          <w:szCs w:val="32"/>
          <w:highlight w:val="none"/>
          <w:lang w:val="en-US" w:eastAsia="zh-CN"/>
        </w:rPr>
        <w:t>19</w:t>
      </w:r>
      <w:r>
        <w:rPr>
          <w:rFonts w:hint="eastAsia" w:cs="仿宋_GB2312"/>
          <w:strike w:val="0"/>
          <w:dstrike w:val="0"/>
          <w:color w:val="auto"/>
          <w:sz w:val="32"/>
          <w:szCs w:val="32"/>
          <w:highlight w:val="none"/>
          <w:lang w:val="en-US" w:eastAsia="zh-CN"/>
        </w:rPr>
        <w:t>家，国家高新技术企业</w:t>
      </w:r>
      <w:r>
        <w:rPr>
          <w:rFonts w:hint="eastAsia" w:cs="Times New Roman"/>
          <w:strike w:val="0"/>
          <w:dstrike w:val="0"/>
          <w:color w:val="auto"/>
          <w:sz w:val="32"/>
          <w:szCs w:val="32"/>
          <w:highlight w:val="none"/>
          <w:lang w:val="en-US" w:eastAsia="zh-CN"/>
        </w:rPr>
        <w:t>41</w:t>
      </w:r>
      <w:r>
        <w:rPr>
          <w:rFonts w:hint="eastAsia" w:cs="仿宋_GB2312"/>
          <w:strike w:val="0"/>
          <w:dstrike w:val="0"/>
          <w:color w:val="auto"/>
          <w:sz w:val="32"/>
          <w:szCs w:val="32"/>
          <w:highlight w:val="none"/>
          <w:lang w:val="en-US" w:eastAsia="zh-CN"/>
        </w:rPr>
        <w:t>家，省级工程技术研究中心</w:t>
      </w:r>
      <w:r>
        <w:rPr>
          <w:rFonts w:hint="eastAsia" w:cs="Times New Roman"/>
          <w:strike w:val="0"/>
          <w:dstrike w:val="0"/>
          <w:color w:val="auto"/>
          <w:sz w:val="32"/>
          <w:szCs w:val="32"/>
          <w:highlight w:val="none"/>
          <w:lang w:val="en-US" w:eastAsia="zh-CN"/>
        </w:rPr>
        <w:t>24</w:t>
      </w:r>
      <w:r>
        <w:rPr>
          <w:rFonts w:hint="eastAsia" w:cs="仿宋_GB2312"/>
          <w:strike w:val="0"/>
          <w:dstrike w:val="0"/>
          <w:color w:val="auto"/>
          <w:sz w:val="32"/>
          <w:szCs w:val="32"/>
          <w:highlight w:val="none"/>
          <w:lang w:val="en-US" w:eastAsia="zh-CN"/>
        </w:rPr>
        <w:t>家、市级工程技术研究中心</w:t>
      </w:r>
      <w:r>
        <w:rPr>
          <w:rFonts w:hint="eastAsia" w:cs="Times New Roman"/>
          <w:strike w:val="0"/>
          <w:dstrike w:val="0"/>
          <w:color w:val="auto"/>
          <w:sz w:val="32"/>
          <w:szCs w:val="32"/>
          <w:highlight w:val="none"/>
          <w:lang w:val="en-US" w:eastAsia="zh-CN"/>
        </w:rPr>
        <w:t>42</w:t>
      </w:r>
      <w:r>
        <w:rPr>
          <w:rFonts w:hint="eastAsia" w:cs="仿宋_GB2312"/>
          <w:strike w:val="0"/>
          <w:dstrike w:val="0"/>
          <w:color w:val="auto"/>
          <w:sz w:val="32"/>
          <w:szCs w:val="32"/>
          <w:highlight w:val="none"/>
          <w:lang w:val="en-US" w:eastAsia="zh-CN"/>
        </w:rPr>
        <w:t>家，省级重点实验室</w:t>
      </w:r>
      <w:r>
        <w:rPr>
          <w:rFonts w:hint="eastAsia" w:cs="Times New Roman"/>
          <w:strike w:val="0"/>
          <w:dstrike w:val="0"/>
          <w:color w:val="auto"/>
          <w:sz w:val="32"/>
          <w:szCs w:val="32"/>
          <w:highlight w:val="none"/>
          <w:lang w:val="en-US" w:eastAsia="zh-CN"/>
        </w:rPr>
        <w:t>1</w:t>
      </w:r>
      <w:r>
        <w:rPr>
          <w:rFonts w:hint="eastAsia" w:cs="仿宋_GB2312"/>
          <w:strike w:val="0"/>
          <w:dstrike w:val="0"/>
          <w:color w:val="auto"/>
          <w:sz w:val="32"/>
          <w:szCs w:val="32"/>
          <w:highlight w:val="none"/>
          <w:lang w:val="en-US" w:eastAsia="zh-CN"/>
        </w:rPr>
        <w:t>家，创新主体和平台不断涌现。</w:t>
      </w:r>
    </w:p>
    <w:p w14:paraId="768A8C9A">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eastAsia="zh-CN"/>
        </w:rPr>
      </w:pPr>
      <w:r>
        <w:rPr>
          <w:rFonts w:hint="eastAsia" w:ascii="楷体_GB2312" w:hAnsi="楷体_GB2312" w:eastAsia="楷体_GB2312" w:cs="楷体_GB2312"/>
          <w:color w:val="auto"/>
          <w:sz w:val="28"/>
          <w:szCs w:val="22"/>
          <w:highlight w:val="none"/>
        </w:rPr>
        <w:t>图</w:t>
      </w:r>
      <w:r>
        <w:rPr>
          <w:rFonts w:hint="eastAsia" w:ascii="Times New Roman" w:hAnsi="Times New Roman" w:eastAsia="楷体_GB2312" w:cs="Times New Roman"/>
          <w:color w:val="auto"/>
          <w:sz w:val="28"/>
          <w:szCs w:val="22"/>
          <w:highlight w:val="none"/>
          <w:lang w:val="en-US" w:eastAsia="zh-CN"/>
        </w:rPr>
        <w:t>5</w:t>
      </w:r>
      <w:r>
        <w:rPr>
          <w:rFonts w:hint="eastAsia" w:ascii="楷体_GB2312" w:hAnsi="楷体_GB2312" w:eastAsia="楷体_GB2312" w:cs="楷体_GB2312"/>
          <w:color w:val="auto"/>
          <w:sz w:val="28"/>
          <w:szCs w:val="22"/>
          <w:highlight w:val="none"/>
        </w:rPr>
        <w:t xml:space="preserve">  </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2025</w:t>
      </w:r>
      <w:r>
        <w:rPr>
          <w:rFonts w:hint="eastAsia" w:ascii="楷体_GB2312" w:hAnsi="楷体_GB2312" w:eastAsia="楷体_GB2312" w:cs="楷体_GB2312"/>
          <w:color w:val="auto"/>
          <w:sz w:val="28"/>
          <w:szCs w:val="22"/>
          <w:highlight w:val="none"/>
        </w:rPr>
        <w:t>年</w:t>
      </w:r>
      <w:r>
        <w:rPr>
          <w:rFonts w:hint="eastAsia" w:ascii="楷体_GB2312" w:hAnsi="楷体_GB2312" w:eastAsia="楷体_GB2312" w:cs="楷体_GB2312"/>
          <w:color w:val="auto"/>
          <w:sz w:val="28"/>
          <w:szCs w:val="22"/>
          <w:highlight w:val="none"/>
          <w:lang w:val="en-US" w:eastAsia="zh-CN"/>
        </w:rPr>
        <w:t>浈江区</w:t>
      </w:r>
      <w:r>
        <w:rPr>
          <w:rFonts w:hint="eastAsia" w:ascii="楷体_GB2312" w:hAnsi="楷体_GB2312" w:eastAsia="楷体_GB2312" w:cs="楷体_GB2312"/>
          <w:color w:val="auto"/>
          <w:sz w:val="28"/>
          <w:szCs w:val="22"/>
          <w:highlight w:val="none"/>
        </w:rPr>
        <w:t>规上工业增加值</w:t>
      </w:r>
      <w:r>
        <w:rPr>
          <w:rFonts w:hint="eastAsia" w:ascii="楷体_GB2312" w:hAnsi="楷体_GB2312" w:eastAsia="楷体_GB2312" w:cs="楷体_GB2312"/>
          <w:color w:val="auto"/>
          <w:sz w:val="28"/>
          <w:szCs w:val="22"/>
          <w:highlight w:val="none"/>
          <w:lang w:eastAsia="zh-CN"/>
        </w:rPr>
        <w:t>及增速</w:t>
      </w:r>
    </w:p>
    <w:p w14:paraId="0D8097A8">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firstLine="0" w:firstLineChars="0"/>
        <w:textAlignment w:val="baseline"/>
        <w:rPr>
          <w:color w:val="auto"/>
          <w:highlight w:val="none"/>
        </w:rPr>
      </w:pPr>
      <w:r>
        <w:rPr>
          <w:color w:val="auto"/>
          <w:highlight w:val="none"/>
        </w:rPr>
        <w:drawing>
          <wp:inline distT="0" distB="0" distL="114300" distR="114300">
            <wp:extent cx="5579745" cy="2447925"/>
            <wp:effectExtent l="4445" t="5080" r="16510" b="4445"/>
            <wp:docPr id="2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2CA6EF">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firstLine="0" w:firstLineChars="0"/>
        <w:textAlignment w:val="baseline"/>
        <w:rPr>
          <w:rFonts w:hint="eastAsia"/>
          <w:color w:val="auto"/>
          <w:highlight w:val="none"/>
          <w:lang w:val="en-US" w:eastAsia="zh-CN"/>
        </w:rPr>
      </w:pPr>
    </w:p>
    <w:p w14:paraId="33F7EF1F">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eastAsia="zh-CN"/>
        </w:rPr>
      </w:pPr>
      <w:r>
        <w:rPr>
          <w:rFonts w:hint="eastAsia" w:ascii="楷体_GB2312" w:hAnsi="楷体_GB2312" w:eastAsia="楷体_GB2312" w:cs="楷体_GB2312"/>
          <w:color w:val="auto"/>
          <w:sz w:val="28"/>
          <w:szCs w:val="22"/>
          <w:highlight w:val="none"/>
        </w:rPr>
        <w:t>图</w:t>
      </w:r>
      <w:r>
        <w:rPr>
          <w:rFonts w:hint="eastAsia" w:ascii="Times New Roman" w:hAnsi="Times New Roman" w:eastAsia="楷体_GB2312" w:cs="Times New Roman"/>
          <w:color w:val="auto"/>
          <w:sz w:val="28"/>
          <w:szCs w:val="22"/>
          <w:highlight w:val="none"/>
          <w:lang w:val="en-US" w:eastAsia="zh-CN"/>
        </w:rPr>
        <w:t>6</w:t>
      </w:r>
      <w:r>
        <w:rPr>
          <w:rFonts w:hint="eastAsia" w:ascii="楷体_GB2312" w:hAnsi="楷体_GB2312" w:eastAsia="楷体_GB2312" w:cs="楷体_GB2312"/>
          <w:color w:val="auto"/>
          <w:sz w:val="28"/>
          <w:szCs w:val="22"/>
          <w:highlight w:val="none"/>
        </w:rPr>
        <w:t xml:space="preserve">  </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5</w:t>
      </w:r>
      <w:r>
        <w:rPr>
          <w:rFonts w:hint="eastAsia" w:ascii="楷体_GB2312" w:hAnsi="楷体_GB2312" w:eastAsia="楷体_GB2312" w:cs="楷体_GB2312"/>
          <w:color w:val="auto"/>
          <w:sz w:val="28"/>
          <w:szCs w:val="22"/>
          <w:highlight w:val="none"/>
        </w:rPr>
        <w:t>年</w:t>
      </w:r>
      <w:r>
        <w:rPr>
          <w:rFonts w:hint="eastAsia" w:ascii="楷体_GB2312" w:hAnsi="楷体_GB2312" w:eastAsia="楷体_GB2312" w:cs="楷体_GB2312"/>
          <w:color w:val="auto"/>
          <w:sz w:val="28"/>
          <w:szCs w:val="22"/>
          <w:highlight w:val="none"/>
          <w:lang w:val="en-US" w:eastAsia="zh-CN"/>
        </w:rPr>
        <w:t>浈江区</w:t>
      </w:r>
      <w:r>
        <w:rPr>
          <w:rFonts w:hint="eastAsia" w:ascii="楷体_GB2312" w:hAnsi="楷体_GB2312" w:eastAsia="楷体_GB2312" w:cs="楷体_GB2312"/>
          <w:color w:val="auto"/>
          <w:sz w:val="28"/>
          <w:szCs w:val="22"/>
          <w:highlight w:val="none"/>
        </w:rPr>
        <w:t>先进制造业增加值</w:t>
      </w:r>
      <w:r>
        <w:rPr>
          <w:rFonts w:hint="eastAsia" w:ascii="楷体_GB2312" w:hAnsi="楷体_GB2312" w:eastAsia="楷体_GB2312" w:cs="楷体_GB2312"/>
          <w:color w:val="auto"/>
          <w:sz w:val="28"/>
          <w:szCs w:val="22"/>
          <w:highlight w:val="none"/>
          <w:lang w:val="en-US" w:eastAsia="zh-CN"/>
        </w:rPr>
        <w:t>及增速</w:t>
      </w:r>
    </w:p>
    <w:p w14:paraId="73399EA1">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textAlignment w:val="baseline"/>
        <w:rPr>
          <w:rFonts w:hint="eastAsia" w:cs="仿宋_GB2312"/>
          <w:strike w:val="0"/>
          <w:dstrike w:val="0"/>
          <w:color w:val="auto"/>
          <w:sz w:val="32"/>
          <w:szCs w:val="32"/>
          <w:highlight w:val="none"/>
          <w:lang w:val="en-US" w:eastAsia="zh-CN"/>
        </w:rPr>
      </w:pPr>
      <w:r>
        <w:rPr>
          <w:color w:val="auto"/>
          <w:highlight w:val="none"/>
        </w:rPr>
        <w:drawing>
          <wp:inline distT="0" distB="0" distL="114300" distR="114300">
            <wp:extent cx="5579745" cy="2447925"/>
            <wp:effectExtent l="4445" t="5080" r="16510" b="4445"/>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D5D2B4">
      <w:pPr>
        <w:pStyle w:val="5"/>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6019B0D6">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三、招商引资和项目投资提质增量</w:t>
      </w:r>
    </w:p>
    <w:p w14:paraId="1A2CD43C">
      <w:pPr>
        <w:numPr>
          <w:ilvl w:val="0"/>
          <w:numId w:val="0"/>
        </w:numPr>
        <w:shd w:val="clear"/>
        <w:kinsoku/>
        <w:bidi w:val="0"/>
        <w:ind w:firstLine="643"/>
        <w:rPr>
          <w:rFonts w:hint="eastAsia" w:ascii="仿宋_GB2312" w:hAnsi="仿宋_GB2312" w:eastAsia="仿宋_GB2312" w:cs="仿宋_GB2312"/>
          <w:b/>
          <w:bCs/>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重点项目建设质效齐升</w:t>
      </w:r>
      <w:r>
        <w:rPr>
          <w:rFonts w:hint="eastAsia" w:cs="仿宋_GB2312"/>
          <w:b/>
          <w:bCs/>
          <w:strike w:val="0"/>
          <w:dstrike w:val="0"/>
          <w:color w:val="auto"/>
          <w:sz w:val="32"/>
          <w:szCs w:val="32"/>
          <w:highlight w:val="none"/>
          <w:lang w:val="en-US" w:eastAsia="zh-CN"/>
        </w:rPr>
        <w:t>。</w:t>
      </w:r>
      <w:r>
        <w:rPr>
          <w:rFonts w:hint="eastAsia" w:cs="仿宋_GB2312"/>
          <w:b w:val="0"/>
          <w:bCs w:val="0"/>
          <w:strike w:val="0"/>
          <w:dstrike w:val="0"/>
          <w:color w:val="auto"/>
          <w:sz w:val="32"/>
          <w:szCs w:val="32"/>
          <w:highlight w:val="none"/>
          <w:lang w:val="en-US" w:eastAsia="zh-CN"/>
        </w:rPr>
        <w:t>“十四五”期间，</w:t>
      </w:r>
      <w:r>
        <w:rPr>
          <w:rFonts w:hint="eastAsia" w:ascii="仿宋_GB2312" w:hAnsi="仿宋_GB2312" w:eastAsia="仿宋_GB2312" w:cs="仿宋_GB2312"/>
          <w:strike w:val="0"/>
          <w:dstrike w:val="0"/>
          <w:color w:val="auto"/>
          <w:sz w:val="32"/>
          <w:szCs w:val="32"/>
          <w:highlight w:val="none"/>
          <w:lang w:val="en-US" w:eastAsia="zh-CN"/>
        </w:rPr>
        <w:t>累计完成固定资产投资</w:t>
      </w:r>
      <w:r>
        <w:rPr>
          <w:rFonts w:hint="eastAsia" w:ascii="Times New Roman" w:hAnsi="Times New Roman" w:cs="Times New Roman"/>
          <w:strike w:val="0"/>
          <w:dstrike w:val="0"/>
          <w:color w:val="auto"/>
          <w:sz w:val="32"/>
          <w:szCs w:val="32"/>
          <w:highlight w:val="none"/>
          <w:lang w:val="en-US" w:eastAsia="zh-CN"/>
        </w:rPr>
        <w:t>316</w:t>
      </w:r>
      <w:r>
        <w:rPr>
          <w:rFonts w:hint="eastAsia" w:ascii="仿宋_GB2312" w:hAnsi="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43</w:t>
      </w:r>
      <w:r>
        <w:rPr>
          <w:rFonts w:hint="eastAsia" w:ascii="仿宋_GB2312" w:hAnsi="仿宋_GB2312" w:eastAsia="仿宋_GB2312" w:cs="仿宋_GB2312"/>
          <w:strike w:val="0"/>
          <w:dstrike w:val="0"/>
          <w:color w:val="auto"/>
          <w:sz w:val="32"/>
          <w:szCs w:val="32"/>
          <w:highlight w:val="none"/>
          <w:lang w:val="en-US" w:eastAsia="zh-CN"/>
        </w:rPr>
        <w:t>亿元，</w:t>
      </w:r>
      <w:r>
        <w:rPr>
          <w:rFonts w:hint="eastAsia" w:ascii="仿宋_GB2312" w:hAnsi="仿宋_GB2312" w:cs="仿宋_GB2312"/>
          <w:strike w:val="0"/>
          <w:dstrike w:val="0"/>
          <w:color w:val="auto"/>
          <w:sz w:val="32"/>
          <w:szCs w:val="32"/>
          <w:highlight w:val="none"/>
          <w:lang w:val="en-US" w:eastAsia="zh-CN"/>
        </w:rPr>
        <w:t>其中基础设施投资完成</w:t>
      </w:r>
      <w:r>
        <w:rPr>
          <w:rFonts w:hint="eastAsia" w:ascii="Times New Roman" w:hAnsi="Times New Roman" w:cs="Times New Roman"/>
          <w:strike w:val="0"/>
          <w:dstrike w:val="0"/>
          <w:color w:val="auto"/>
          <w:sz w:val="32"/>
          <w:szCs w:val="32"/>
          <w:highlight w:val="none"/>
          <w:lang w:val="en-US" w:eastAsia="zh-CN"/>
        </w:rPr>
        <w:t>143</w:t>
      </w:r>
      <w:r>
        <w:rPr>
          <w:rFonts w:hint="eastAsia" w:ascii="仿宋_GB2312" w:hAnsi="仿宋_GB2312" w:cs="仿宋_GB2312"/>
          <w:strike w:val="0"/>
          <w:dstrike w:val="0"/>
          <w:color w:val="auto"/>
          <w:sz w:val="32"/>
          <w:szCs w:val="32"/>
          <w:highlight w:val="none"/>
          <w:lang w:val="en-US" w:eastAsia="zh-CN"/>
        </w:rPr>
        <w:t>.</w:t>
      </w:r>
      <w:r>
        <w:rPr>
          <w:rFonts w:hint="default" w:ascii="Times New Roman" w:hAnsi="Times New Roman" w:cs="Times New Roman"/>
          <w:strike w:val="0"/>
          <w:dstrike w:val="0"/>
          <w:color w:val="auto"/>
          <w:sz w:val="32"/>
          <w:szCs w:val="32"/>
          <w:highlight w:val="none"/>
          <w:lang w:val="en-US" w:eastAsia="zh-CN"/>
        </w:rPr>
        <w:t>21</w:t>
      </w:r>
      <w:r>
        <w:rPr>
          <w:rFonts w:hint="eastAsia" w:ascii="仿宋_GB2312" w:hAnsi="仿宋_GB2312" w:cs="仿宋_GB2312"/>
          <w:strike w:val="0"/>
          <w:dstrike w:val="0"/>
          <w:color w:val="auto"/>
          <w:sz w:val="32"/>
          <w:szCs w:val="32"/>
          <w:highlight w:val="none"/>
          <w:lang w:val="en-US" w:eastAsia="zh-CN"/>
        </w:rPr>
        <w:t>亿元、年均增长</w:t>
      </w:r>
      <w:r>
        <w:rPr>
          <w:rFonts w:hint="eastAsia" w:ascii="Times New Roman" w:hAnsi="Times New Roman" w:cs="Times New Roman"/>
          <w:strike w:val="0"/>
          <w:dstrike w:val="0"/>
          <w:color w:val="auto"/>
          <w:sz w:val="32"/>
          <w:szCs w:val="32"/>
          <w:highlight w:val="none"/>
          <w:lang w:val="en-US" w:eastAsia="zh-CN"/>
        </w:rPr>
        <w:t>5</w:t>
      </w:r>
      <w:r>
        <w:rPr>
          <w:rFonts w:hint="eastAsia" w:ascii="仿宋_GB2312" w:hAnsi="仿宋_GB2312" w:cs="仿宋_GB2312"/>
          <w:strike w:val="0"/>
          <w:dstrike w:val="0"/>
          <w:color w:val="auto"/>
          <w:sz w:val="32"/>
          <w:szCs w:val="32"/>
          <w:highlight w:val="none"/>
          <w:lang w:val="en-US" w:eastAsia="zh-CN"/>
        </w:rPr>
        <w:t>.</w:t>
      </w:r>
      <w:r>
        <w:rPr>
          <w:rFonts w:hint="default" w:ascii="Times New Roman" w:hAnsi="Times New Roman" w:cs="Times New Roman"/>
          <w:strike w:val="0"/>
          <w:dstrike w:val="0"/>
          <w:color w:val="auto"/>
          <w:sz w:val="32"/>
          <w:szCs w:val="32"/>
          <w:highlight w:val="none"/>
          <w:lang w:val="en-US" w:eastAsia="zh-CN"/>
        </w:rPr>
        <w:t>36</w:t>
      </w:r>
      <w:r>
        <w:rPr>
          <w:rFonts w:hint="eastAsia" w:ascii="Times New Roman" w:hAnsi="Times New Roman" w:cs="Times New Roman"/>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仿宋_GB2312" w:hAnsi="仿宋_GB2312" w:cs="仿宋_GB2312"/>
          <w:strike w:val="0"/>
          <w:dstrike w:val="0"/>
          <w:color w:val="auto"/>
          <w:sz w:val="32"/>
          <w:szCs w:val="32"/>
          <w:highlight w:val="none"/>
          <w:lang w:val="en-US" w:eastAsia="zh-CN"/>
        </w:rPr>
        <w:t>区域发展条件明显提升，</w:t>
      </w:r>
      <w:r>
        <w:rPr>
          <w:rFonts w:hint="eastAsia" w:ascii="仿宋_GB2312" w:hAnsi="仿宋_GB2312" w:eastAsia="仿宋_GB2312" w:cs="仿宋_GB2312"/>
          <w:strike w:val="0"/>
          <w:dstrike w:val="0"/>
          <w:color w:val="auto"/>
          <w:sz w:val="32"/>
          <w:szCs w:val="32"/>
          <w:highlight w:val="none"/>
          <w:lang w:val="en-US" w:eastAsia="zh-CN"/>
        </w:rPr>
        <w:t>有力支撑经济社会</w:t>
      </w:r>
      <w:r>
        <w:rPr>
          <w:rFonts w:hint="eastAsia" w:ascii="仿宋_GB2312" w:hAnsi="仿宋_GB2312" w:cs="仿宋_GB2312"/>
          <w:strike w:val="0"/>
          <w:dstrike w:val="0"/>
          <w:color w:val="auto"/>
          <w:sz w:val="32"/>
          <w:szCs w:val="32"/>
          <w:highlight w:val="none"/>
          <w:lang w:val="en-US" w:eastAsia="zh-CN"/>
        </w:rPr>
        <w:t>加快</w:t>
      </w:r>
      <w:r>
        <w:rPr>
          <w:rFonts w:hint="eastAsia" w:ascii="仿宋_GB2312" w:hAnsi="仿宋_GB2312" w:eastAsia="仿宋_GB2312" w:cs="仿宋_GB2312"/>
          <w:strike w:val="0"/>
          <w:dstrike w:val="0"/>
          <w:color w:val="auto"/>
          <w:sz w:val="32"/>
          <w:szCs w:val="32"/>
          <w:highlight w:val="none"/>
          <w:lang w:val="en-US" w:eastAsia="zh-CN"/>
        </w:rPr>
        <w:t>发展。</w:t>
      </w:r>
      <w:r>
        <w:rPr>
          <w:rFonts w:hint="eastAsia" w:cs="仿宋_GB2312"/>
          <w:b w:val="0"/>
          <w:bCs w:val="0"/>
          <w:strike w:val="0"/>
          <w:dstrike w:val="0"/>
          <w:color w:val="auto"/>
          <w:sz w:val="32"/>
          <w:szCs w:val="32"/>
          <w:highlight w:val="none"/>
          <w:lang w:val="en-US" w:eastAsia="zh-CN"/>
        </w:rPr>
        <w:t>五年来，实施重点建设项目251</w:t>
      </w:r>
      <w:r>
        <w:rPr>
          <w:rFonts w:hint="eastAsia" w:cs="仿宋_GB2312"/>
          <w:b w:val="0"/>
          <w:bCs w:val="0"/>
          <w:strike w:val="0"/>
          <w:dstrike w:val="0"/>
          <w:color w:val="auto"/>
          <w:sz w:val="32"/>
          <w:szCs w:val="32"/>
          <w:highlight w:val="none"/>
          <w:lang w:val="en-US" w:eastAsia="zh-CN"/>
        </w:rPr>
        <w:t>个，其中省、市重点项目</w:t>
      </w:r>
      <w:r>
        <w:rPr>
          <w:rFonts w:hint="eastAsia" w:cs="Times New Roman"/>
          <w:b w:val="0"/>
          <w:bCs w:val="0"/>
          <w:strike w:val="0"/>
          <w:dstrike w:val="0"/>
          <w:color w:val="auto"/>
          <w:sz w:val="32"/>
          <w:szCs w:val="32"/>
          <w:highlight w:val="none"/>
          <w:lang w:val="en-US" w:eastAsia="zh-CN"/>
        </w:rPr>
        <w:t>73</w:t>
      </w:r>
      <w:r>
        <w:rPr>
          <w:rFonts w:hint="eastAsia" w:cs="仿宋_GB2312"/>
          <w:b w:val="0"/>
          <w:bCs w:val="0"/>
          <w:strike w:val="0"/>
          <w:dstrike w:val="0"/>
          <w:color w:val="auto"/>
          <w:sz w:val="32"/>
          <w:szCs w:val="32"/>
          <w:highlight w:val="none"/>
          <w:lang w:val="en-US" w:eastAsia="zh-CN"/>
        </w:rPr>
        <w:t>个，占项目总数的</w:t>
      </w:r>
      <w:r>
        <w:rPr>
          <w:rFonts w:hint="eastAsia" w:cs="Times New Roman"/>
          <w:b w:val="0"/>
          <w:bCs w:val="0"/>
          <w:strike w:val="0"/>
          <w:dstrike w:val="0"/>
          <w:color w:val="auto"/>
          <w:sz w:val="32"/>
          <w:szCs w:val="32"/>
          <w:highlight w:val="none"/>
          <w:lang w:val="en-US" w:eastAsia="zh-CN"/>
        </w:rPr>
        <w:t>29%</w:t>
      </w:r>
      <w:r>
        <w:rPr>
          <w:rFonts w:hint="eastAsia" w:cs="仿宋_GB2312"/>
          <w:b w:val="0"/>
          <w:bCs w:val="0"/>
          <w:strike w:val="0"/>
          <w:dstrike w:val="0"/>
          <w:color w:val="auto"/>
          <w:sz w:val="32"/>
          <w:szCs w:val="32"/>
          <w:highlight w:val="none"/>
          <w:lang w:val="en-US" w:eastAsia="zh-CN"/>
        </w:rPr>
        <w:t>；省、市重点项目完成投资</w:t>
      </w:r>
      <w:r>
        <w:rPr>
          <w:rFonts w:hint="eastAsia" w:cs="Times New Roman"/>
          <w:b w:val="0"/>
          <w:bCs w:val="0"/>
          <w:strike w:val="0"/>
          <w:dstrike w:val="0"/>
          <w:color w:val="auto"/>
          <w:sz w:val="32"/>
          <w:szCs w:val="32"/>
          <w:highlight w:val="none"/>
          <w:lang w:val="en-US" w:eastAsia="zh-CN"/>
        </w:rPr>
        <w:t>109</w:t>
      </w:r>
      <w:r>
        <w:rPr>
          <w:rFonts w:hint="eastAsia" w:cs="仿宋_GB2312"/>
          <w:b w:val="0"/>
          <w:bCs w:val="0"/>
          <w:strike w:val="0"/>
          <w:dstrike w:val="0"/>
          <w:color w:val="auto"/>
          <w:sz w:val="32"/>
          <w:szCs w:val="32"/>
          <w:highlight w:val="none"/>
          <w:lang w:val="en-US" w:eastAsia="zh-CN"/>
        </w:rPr>
        <w:t>亿元，占项目计划</w:t>
      </w:r>
      <w:r>
        <w:rPr>
          <w:rFonts w:hint="eastAsia" w:cs="仿宋_GB2312"/>
          <w:b w:val="0"/>
          <w:bCs w:val="0"/>
          <w:strike w:val="0"/>
          <w:dstrike w:val="0"/>
          <w:color w:val="auto"/>
          <w:sz w:val="32"/>
          <w:szCs w:val="32"/>
          <w:highlight w:val="none"/>
          <w:lang w:val="en-US" w:eastAsia="zh-CN"/>
        </w:rPr>
        <w:t>投资的</w:t>
      </w:r>
      <w:r>
        <w:rPr>
          <w:rFonts w:hint="eastAsia" w:cs="Times New Roman"/>
          <w:b w:val="0"/>
          <w:bCs w:val="0"/>
          <w:strike w:val="0"/>
          <w:dstrike w:val="0"/>
          <w:color w:val="auto"/>
          <w:sz w:val="32"/>
          <w:szCs w:val="32"/>
          <w:highlight w:val="none"/>
          <w:lang w:val="en-US" w:eastAsia="zh-CN"/>
        </w:rPr>
        <w:t>96%，</w:t>
      </w:r>
      <w:r>
        <w:rPr>
          <w:rFonts w:hint="eastAsia" w:cs="仿宋_GB2312"/>
          <w:b w:val="0"/>
          <w:bCs w:val="0"/>
          <w:strike w:val="0"/>
          <w:dstrike w:val="0"/>
          <w:color w:val="auto"/>
          <w:sz w:val="32"/>
          <w:szCs w:val="32"/>
          <w:highlight w:val="none"/>
          <w:lang w:val="en-US" w:eastAsia="zh-CN"/>
        </w:rPr>
        <w:t>重点项目的带动能力显著提升、投资结构不断优化。</w:t>
      </w:r>
      <w:r>
        <w:rPr>
          <w:rFonts w:hint="eastAsia" w:cs="仿宋_GB2312"/>
          <w:b/>
          <w:bCs/>
          <w:strike w:val="0"/>
          <w:dstrike w:val="0"/>
          <w:color w:val="auto"/>
          <w:sz w:val="32"/>
          <w:szCs w:val="32"/>
          <w:highlight w:val="none"/>
          <w:lang w:val="en-US" w:eastAsia="zh-CN"/>
        </w:rPr>
        <w:t>产业平台提能升级。</w:t>
      </w:r>
      <w:r>
        <w:rPr>
          <w:rFonts w:hint="eastAsia" w:cs="仿宋_GB2312"/>
          <w:strike w:val="0"/>
          <w:dstrike w:val="0"/>
          <w:color w:val="auto"/>
          <w:sz w:val="32"/>
          <w:szCs w:val="32"/>
          <w:highlight w:val="none"/>
          <w:lang w:val="en-US" w:eastAsia="zh-CN"/>
        </w:rPr>
        <w:t>韶关浈江产业园区启动建设，成功申报省级产业园。深化寮浈对口帮扶，推动寮浈共建标准厂房（一、二期）项目建成，寮浈数智特色综合体项目启动实施。</w:t>
      </w:r>
      <w:bookmarkStart w:id="1304" w:name="_GoBack"/>
      <w:bookmarkEnd w:id="1304"/>
      <w:r>
        <w:rPr>
          <w:rFonts w:hint="eastAsia" w:cs="仿宋_GB2312"/>
          <w:strike w:val="0"/>
          <w:dstrike w:val="0"/>
          <w:color w:val="auto"/>
          <w:sz w:val="32"/>
          <w:szCs w:val="32"/>
          <w:highlight w:val="none"/>
          <w:lang w:val="en-US" w:eastAsia="zh-CN"/>
        </w:rPr>
        <w:t>落实华南装备园（三期）用地保障，达到企业入驻条件。“厂区变园区、产区变城区”改革深入实施，中金岭南（韶关）功能材料产业园提速打造。全区产业平台建设已初具规模，为承接产业有序转移提供多元载体。</w:t>
      </w:r>
      <w:r>
        <w:rPr>
          <w:rFonts w:hint="eastAsia" w:ascii="仿宋_GB2312" w:hAnsi="仿宋_GB2312" w:eastAsia="仿宋_GB2312" w:cs="仿宋_GB2312"/>
          <w:b/>
          <w:bCs/>
          <w:strike w:val="0"/>
          <w:dstrike w:val="0"/>
          <w:color w:val="auto"/>
          <w:sz w:val="32"/>
          <w:szCs w:val="32"/>
          <w:highlight w:val="none"/>
          <w:lang w:val="en-US" w:eastAsia="zh-CN"/>
        </w:rPr>
        <w:t>招商引资成效显著。</w:t>
      </w:r>
      <w:r>
        <w:rPr>
          <w:rFonts w:hint="eastAsia" w:ascii="仿宋_GB2312" w:hAnsi="仿宋_GB2312" w:eastAsia="仿宋_GB2312" w:cs="仿宋_GB2312"/>
          <w:strike w:val="0"/>
          <w:dstrike w:val="0"/>
          <w:color w:val="auto"/>
          <w:sz w:val="32"/>
          <w:szCs w:val="32"/>
          <w:highlight w:val="none"/>
          <w:lang w:val="en-US" w:eastAsia="zh-CN"/>
        </w:rPr>
        <w:t>全区完成招商引资新签约项目</w:t>
      </w:r>
      <w:r>
        <w:rPr>
          <w:rFonts w:hint="eastAsia" w:ascii="Times New Roman" w:hAnsi="Times New Roman" w:cs="Times New Roman"/>
          <w:strike w:val="0"/>
          <w:dstrike w:val="0"/>
          <w:color w:val="auto"/>
          <w:sz w:val="32"/>
          <w:szCs w:val="32"/>
          <w:highlight w:val="none"/>
          <w:lang w:val="en-US" w:eastAsia="zh-CN"/>
        </w:rPr>
        <w:t>169</w:t>
      </w:r>
      <w:r>
        <w:rPr>
          <w:rFonts w:hint="eastAsia" w:ascii="仿宋_GB2312" w:hAnsi="仿宋_GB2312" w:eastAsia="仿宋_GB2312" w:cs="仿宋_GB2312"/>
          <w:strike w:val="0"/>
          <w:dstrike w:val="0"/>
          <w:color w:val="auto"/>
          <w:sz w:val="32"/>
          <w:szCs w:val="32"/>
          <w:highlight w:val="none"/>
          <w:lang w:val="en-US" w:eastAsia="zh-CN"/>
        </w:rPr>
        <w:t>个，合同投资额达</w:t>
      </w:r>
      <w:r>
        <w:rPr>
          <w:rFonts w:hint="eastAsia" w:ascii="Times New Roman" w:hAnsi="Times New Roman" w:cs="Times New Roman"/>
          <w:strike w:val="0"/>
          <w:dstrike w:val="0"/>
          <w:color w:val="auto"/>
          <w:sz w:val="32"/>
          <w:szCs w:val="32"/>
          <w:highlight w:val="none"/>
          <w:lang w:val="en-US" w:eastAsia="zh-CN"/>
        </w:rPr>
        <w:t>222</w:t>
      </w:r>
      <w:r>
        <w:rPr>
          <w:rFonts w:hint="eastAsia" w:ascii="仿宋_GB2312" w:hAnsi="仿宋_GB2312" w:eastAsia="仿宋_GB2312" w:cs="仿宋_GB2312"/>
          <w:strike w:val="0"/>
          <w:dstrike w:val="0"/>
          <w:color w:val="auto"/>
          <w:sz w:val="32"/>
          <w:szCs w:val="32"/>
          <w:highlight w:val="none"/>
          <w:lang w:val="en-US" w:eastAsia="zh-CN"/>
        </w:rPr>
        <w:t>亿元，其中超亿元项目</w:t>
      </w:r>
      <w:r>
        <w:rPr>
          <w:rFonts w:hint="eastAsia" w:ascii="Times New Roman" w:hAnsi="Times New Roman" w:cs="Times New Roman"/>
          <w:strike w:val="0"/>
          <w:dstrike w:val="0"/>
          <w:color w:val="auto"/>
          <w:sz w:val="32"/>
          <w:szCs w:val="32"/>
          <w:highlight w:val="none"/>
          <w:lang w:val="en-US" w:eastAsia="zh-CN"/>
        </w:rPr>
        <w:t>50</w:t>
      </w:r>
      <w:r>
        <w:rPr>
          <w:rFonts w:hint="eastAsia" w:ascii="仿宋_GB2312" w:hAnsi="仿宋_GB2312" w:eastAsia="仿宋_GB2312" w:cs="仿宋_GB2312"/>
          <w:strike w:val="0"/>
          <w:dstrike w:val="0"/>
          <w:color w:val="auto"/>
          <w:sz w:val="32"/>
          <w:szCs w:val="32"/>
          <w:highlight w:val="none"/>
          <w:lang w:val="en-US" w:eastAsia="zh-CN"/>
        </w:rPr>
        <w:t>个</w:t>
      </w:r>
      <w:r>
        <w:rPr>
          <w:rFonts w:hint="eastAsia" w:ascii="仿宋_GB2312" w:hAnsi="仿宋_GB2312" w:cs="仿宋_GB2312"/>
          <w:strike w:val="0"/>
          <w:dstrike w:val="0"/>
          <w:color w:val="auto"/>
          <w:sz w:val="32"/>
          <w:szCs w:val="32"/>
          <w:highlight w:val="none"/>
          <w:lang w:val="en-US" w:eastAsia="zh-CN"/>
        </w:rPr>
        <w:t>，完成投资</w:t>
      </w:r>
      <w:r>
        <w:rPr>
          <w:rFonts w:hint="eastAsia" w:ascii="Times New Roman" w:hAnsi="Times New Roman" w:cs="Times New Roman"/>
          <w:strike w:val="0"/>
          <w:dstrike w:val="0"/>
          <w:color w:val="auto"/>
          <w:sz w:val="32"/>
          <w:szCs w:val="32"/>
          <w:highlight w:val="none"/>
          <w:lang w:val="en-US" w:eastAsia="zh-CN"/>
        </w:rPr>
        <w:t>103</w:t>
      </w:r>
      <w:r>
        <w:rPr>
          <w:rFonts w:hint="eastAsia" w:ascii="仿宋_GB2312" w:hAnsi="仿宋_GB2312" w:cs="仿宋_GB2312"/>
          <w:strike w:val="0"/>
          <w:dstrike w:val="0"/>
          <w:color w:val="auto"/>
          <w:sz w:val="32"/>
          <w:szCs w:val="32"/>
          <w:highlight w:val="none"/>
          <w:lang w:val="en-US" w:eastAsia="zh-CN"/>
        </w:rPr>
        <w:t>亿元，</w:t>
      </w:r>
      <w:r>
        <w:rPr>
          <w:rFonts w:hint="eastAsia" w:ascii="Times New Roman" w:hAnsi="Times New Roman" w:cs="Times New Roman"/>
          <w:strike w:val="0"/>
          <w:dstrike w:val="0"/>
          <w:color w:val="auto"/>
          <w:sz w:val="32"/>
          <w:szCs w:val="32"/>
          <w:highlight w:val="none"/>
          <w:lang w:val="en-US" w:eastAsia="zh-CN"/>
        </w:rPr>
        <w:t>97</w:t>
      </w:r>
      <w:r>
        <w:rPr>
          <w:rFonts w:hint="eastAsia" w:ascii="仿宋_GB2312" w:hAnsi="仿宋_GB2312" w:cs="仿宋_GB2312"/>
          <w:strike w:val="0"/>
          <w:dstrike w:val="0"/>
          <w:color w:val="auto"/>
          <w:sz w:val="32"/>
          <w:szCs w:val="32"/>
          <w:highlight w:val="none"/>
          <w:lang w:val="en-US" w:eastAsia="zh-CN"/>
        </w:rPr>
        <w:t>个项目建成投产，“大招商、招大商”工作成效显著</w:t>
      </w:r>
      <w:r>
        <w:rPr>
          <w:rFonts w:hint="eastAsia" w:ascii="仿宋_GB2312" w:hAnsi="仿宋_GB2312" w:eastAsia="仿宋_GB2312" w:cs="仿宋_GB2312"/>
          <w:strike w:val="0"/>
          <w:dstrike w:val="0"/>
          <w:color w:val="auto"/>
          <w:sz w:val="32"/>
          <w:szCs w:val="32"/>
          <w:highlight w:val="none"/>
          <w:lang w:val="en-US" w:eastAsia="zh-CN"/>
        </w:rPr>
        <w:t>。成功举办第十届全国砂石骨料行业科技大会、高质量发展招商大会、商贸物流招商推介会等大型招商活动</w:t>
      </w:r>
      <w:r>
        <w:rPr>
          <w:rFonts w:hint="eastAsia" w:ascii="Times New Roman" w:hAnsi="Times New Roman" w:cs="Times New Roman"/>
          <w:strike w:val="0"/>
          <w:dstrike w:val="0"/>
          <w:color w:val="auto"/>
          <w:sz w:val="32"/>
          <w:szCs w:val="32"/>
          <w:highlight w:val="none"/>
          <w:lang w:val="en-US" w:eastAsia="zh-CN"/>
        </w:rPr>
        <w:t>40</w:t>
      </w:r>
      <w:r>
        <w:rPr>
          <w:rFonts w:hint="eastAsia" w:ascii="仿宋_GB2312" w:hAnsi="仿宋_GB2312" w:eastAsia="仿宋_GB2312" w:cs="仿宋_GB2312"/>
          <w:strike w:val="0"/>
          <w:dstrike w:val="0"/>
          <w:color w:val="auto"/>
          <w:sz w:val="32"/>
          <w:szCs w:val="32"/>
          <w:highlight w:val="none"/>
          <w:lang w:val="en-US" w:eastAsia="zh-CN"/>
        </w:rPr>
        <w:t>余场，引进了一批</w:t>
      </w:r>
      <w:r>
        <w:rPr>
          <w:rFonts w:hint="eastAsia" w:ascii="仿宋_GB2312" w:hAnsi="仿宋_GB2312" w:cs="仿宋_GB2312"/>
          <w:strike w:val="0"/>
          <w:dstrike w:val="0"/>
          <w:color w:val="auto"/>
          <w:sz w:val="32"/>
          <w:szCs w:val="32"/>
          <w:highlight w:val="none"/>
          <w:lang w:val="en-US" w:eastAsia="zh-CN"/>
        </w:rPr>
        <w:t>带动能力强、区域影响力大的</w:t>
      </w:r>
      <w:r>
        <w:rPr>
          <w:rFonts w:hint="eastAsia" w:ascii="仿宋_GB2312" w:hAnsi="仿宋_GB2312" w:eastAsia="仿宋_GB2312" w:cs="仿宋_GB2312"/>
          <w:strike w:val="0"/>
          <w:dstrike w:val="0"/>
          <w:color w:val="auto"/>
          <w:sz w:val="32"/>
          <w:szCs w:val="32"/>
          <w:highlight w:val="none"/>
          <w:lang w:val="en-US" w:eastAsia="zh-CN"/>
        </w:rPr>
        <w:t>优质项目。</w:t>
      </w:r>
    </w:p>
    <w:p w14:paraId="07A20C5F">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四、全面深化改革加快推进</w:t>
      </w:r>
    </w:p>
    <w:p w14:paraId="0EB1182B">
      <w:pPr>
        <w:shd w:val="clear"/>
        <w:kinsoku/>
        <w:bidi w:val="0"/>
        <w:rPr>
          <w:rFonts w:hint="eastAsia" w:ascii="仿宋_GB2312" w:hAnsi="仿宋_GB2312" w:eastAsia="仿宋_GB2312" w:cs="仿宋_GB2312"/>
          <w:strike w:val="0"/>
          <w:dstrike w:val="0"/>
          <w:color w:val="auto"/>
          <w:sz w:val="32"/>
          <w:szCs w:val="32"/>
          <w:highlight w:val="none"/>
        </w:rPr>
      </w:pPr>
      <w:r>
        <w:rPr>
          <w:rFonts w:hint="eastAsia" w:ascii="仿宋_GB2312" w:hAnsi="仿宋_GB2312" w:eastAsia="仿宋_GB2312" w:cs="仿宋_GB2312"/>
          <w:b/>
          <w:bCs/>
          <w:strike w:val="0"/>
          <w:dstrike w:val="0"/>
          <w:color w:val="auto"/>
          <w:sz w:val="32"/>
          <w:szCs w:val="32"/>
          <w:highlight w:val="none"/>
        </w:rPr>
        <w:t>改革攻坚持续深化。</w:t>
      </w:r>
      <w:r>
        <w:rPr>
          <w:rFonts w:hint="eastAsia" w:ascii="仿宋_GB2312" w:hAnsi="仿宋_GB2312" w:eastAsia="仿宋_GB2312" w:cs="仿宋_GB2312"/>
          <w:strike w:val="0"/>
          <w:dstrike w:val="0"/>
          <w:color w:val="auto"/>
          <w:sz w:val="32"/>
          <w:szCs w:val="32"/>
          <w:highlight w:val="none"/>
        </w:rPr>
        <w:t>经济、行政、社会管理等重点领域改革取得突破，累计获批国家、省、市改革试点</w:t>
      </w:r>
      <w:r>
        <w:rPr>
          <w:rFonts w:hint="eastAsia" w:ascii="Times New Roman" w:hAnsi="Times New Roman" w:cs="Times New Roman"/>
          <w:strike w:val="0"/>
          <w:dstrike w:val="0"/>
          <w:color w:val="auto"/>
          <w:sz w:val="32"/>
          <w:szCs w:val="32"/>
          <w:highlight w:val="none"/>
          <w:lang w:eastAsia="zh-CN"/>
        </w:rPr>
        <w:t>27</w:t>
      </w:r>
      <w:r>
        <w:rPr>
          <w:rFonts w:hint="eastAsia" w:ascii="仿宋_GB2312" w:hAnsi="仿宋_GB2312" w:eastAsia="仿宋_GB2312" w:cs="仿宋_GB2312"/>
          <w:strike w:val="0"/>
          <w:dstrike w:val="0"/>
          <w:color w:val="auto"/>
          <w:sz w:val="32"/>
          <w:szCs w:val="32"/>
          <w:highlight w:val="none"/>
        </w:rPr>
        <w:t>项，实施区级改革事项</w:t>
      </w:r>
      <w:r>
        <w:rPr>
          <w:rFonts w:hint="eastAsia" w:ascii="Times New Roman" w:hAnsi="Times New Roman" w:cs="Times New Roman"/>
          <w:strike w:val="0"/>
          <w:dstrike w:val="0"/>
          <w:color w:val="auto"/>
          <w:sz w:val="32"/>
          <w:szCs w:val="32"/>
          <w:highlight w:val="none"/>
          <w:lang w:eastAsia="zh-CN"/>
        </w:rPr>
        <w:t>55</w:t>
      </w:r>
      <w:r>
        <w:rPr>
          <w:rFonts w:hint="eastAsia" w:ascii="仿宋_GB2312" w:hAnsi="仿宋_GB2312" w:eastAsia="仿宋_GB2312" w:cs="仿宋_GB2312"/>
          <w:strike w:val="0"/>
          <w:dstrike w:val="0"/>
          <w:color w:val="auto"/>
          <w:sz w:val="32"/>
          <w:szCs w:val="32"/>
          <w:highlight w:val="none"/>
        </w:rPr>
        <w:t>项</w:t>
      </w:r>
      <w:r>
        <w:rPr>
          <w:rFonts w:hint="eastAsia" w:cs="仿宋_GB2312"/>
          <w:strike w:val="0"/>
          <w:dstrike w:val="0"/>
          <w:color w:val="auto"/>
          <w:sz w:val="32"/>
          <w:szCs w:val="32"/>
          <w:highlight w:val="none"/>
          <w:lang w:eastAsia="zh-CN"/>
        </w:rPr>
        <w:t>。</w:t>
      </w:r>
      <w:r>
        <w:rPr>
          <w:rFonts w:hint="eastAsia" w:ascii="仿宋_GB2312" w:hAnsi="仿宋_GB2312" w:eastAsia="仿宋_GB2312" w:cs="仿宋_GB2312"/>
          <w:b/>
          <w:bCs/>
          <w:strike w:val="0"/>
          <w:dstrike w:val="0"/>
          <w:color w:val="auto"/>
          <w:sz w:val="32"/>
          <w:szCs w:val="32"/>
          <w:highlight w:val="none"/>
        </w:rPr>
        <w:t>农村改革稳步推进。</w:t>
      </w:r>
      <w:r>
        <w:rPr>
          <w:rFonts w:hint="eastAsia" w:ascii="仿宋_GB2312" w:hAnsi="仿宋_GB2312" w:eastAsia="仿宋_GB2312" w:cs="仿宋_GB2312"/>
          <w:strike w:val="0"/>
          <w:dstrike w:val="0"/>
          <w:color w:val="auto"/>
          <w:sz w:val="32"/>
          <w:szCs w:val="32"/>
          <w:highlight w:val="none"/>
        </w:rPr>
        <w:t>成功入选全市唯一的国家农村综合性改革试点试验区，四大类</w:t>
      </w:r>
      <w:r>
        <w:rPr>
          <w:rFonts w:hint="eastAsia" w:ascii="Times New Roman" w:hAnsi="Times New Roman" w:cs="Times New Roman"/>
          <w:strike w:val="0"/>
          <w:dstrike w:val="0"/>
          <w:color w:val="auto"/>
          <w:sz w:val="32"/>
          <w:szCs w:val="32"/>
          <w:highlight w:val="none"/>
          <w:lang w:eastAsia="zh-CN"/>
        </w:rPr>
        <w:t>21</w:t>
      </w:r>
      <w:r>
        <w:rPr>
          <w:rFonts w:hint="eastAsia" w:ascii="仿宋_GB2312" w:hAnsi="仿宋_GB2312" w:eastAsia="仿宋_GB2312" w:cs="仿宋_GB2312"/>
          <w:strike w:val="0"/>
          <w:dstrike w:val="0"/>
          <w:color w:val="auto"/>
          <w:sz w:val="32"/>
          <w:szCs w:val="32"/>
          <w:highlight w:val="none"/>
        </w:rPr>
        <w:t>个试点项目建设取得阶段性成效</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cs="仿宋_GB2312"/>
          <w:strike w:val="0"/>
          <w:dstrike w:val="0"/>
          <w:color w:val="auto"/>
          <w:sz w:val="32"/>
          <w:szCs w:val="32"/>
          <w:highlight w:val="none"/>
          <w:lang w:val="en-US" w:eastAsia="zh-CN"/>
        </w:rPr>
        <w:t>农村发展动能持续释放</w:t>
      </w:r>
      <w:r>
        <w:rPr>
          <w:rFonts w:hint="eastAsia" w:ascii="仿宋_GB2312" w:hAnsi="仿宋_GB2312" w:eastAsia="仿宋_GB2312" w:cs="仿宋_GB2312"/>
          <w:strike w:val="0"/>
          <w:dstrike w:val="0"/>
          <w:color w:val="auto"/>
          <w:sz w:val="32"/>
          <w:szCs w:val="32"/>
          <w:highlight w:val="none"/>
        </w:rPr>
        <w:t>。农村集体“三资”管理更加规范，</w:t>
      </w:r>
      <w:r>
        <w:rPr>
          <w:rFonts w:hint="eastAsia" w:cs="Times New Roman"/>
          <w:strike w:val="0"/>
          <w:dstrike w:val="0"/>
          <w:color w:val="auto"/>
          <w:sz w:val="32"/>
          <w:szCs w:val="32"/>
          <w:highlight w:val="none"/>
          <w:lang w:val="en-US" w:eastAsia="zh-CN"/>
        </w:rPr>
        <w:t>240</w:t>
      </w:r>
      <w:r>
        <w:rPr>
          <w:rFonts w:hint="eastAsia" w:ascii="仿宋_GB2312" w:hAnsi="仿宋_GB2312" w:eastAsia="仿宋_GB2312" w:cs="仿宋_GB2312"/>
          <w:strike w:val="0"/>
          <w:dstrike w:val="0"/>
          <w:color w:val="auto"/>
          <w:sz w:val="32"/>
          <w:szCs w:val="32"/>
          <w:highlight w:val="none"/>
        </w:rPr>
        <w:t>个二级核算村小组纳入“组账村监镇管”体系</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eastAsia="仿宋_GB2312" w:cs="仿宋_GB2312"/>
          <w:b/>
          <w:bCs/>
          <w:strike w:val="0"/>
          <w:dstrike w:val="0"/>
          <w:color w:val="auto"/>
          <w:sz w:val="32"/>
          <w:szCs w:val="32"/>
          <w:highlight w:val="none"/>
        </w:rPr>
        <w:t>国资国企改革步伐加快。</w:t>
      </w:r>
      <w:r>
        <w:rPr>
          <w:rFonts w:hint="eastAsia" w:ascii="仿宋_GB2312" w:hAnsi="仿宋_GB2312" w:cs="仿宋_GB2312"/>
          <w:b w:val="0"/>
          <w:bCs w:val="0"/>
          <w:strike w:val="0"/>
          <w:dstrike w:val="0"/>
          <w:color w:val="auto"/>
          <w:sz w:val="32"/>
          <w:szCs w:val="32"/>
          <w:highlight w:val="none"/>
          <w:lang w:val="en-US" w:eastAsia="zh-CN"/>
        </w:rPr>
        <w:t>完成</w:t>
      </w:r>
      <w:r>
        <w:rPr>
          <w:rFonts w:hint="eastAsia" w:ascii="仿宋_GB2312" w:hAnsi="仿宋_GB2312" w:eastAsia="仿宋_GB2312" w:cs="仿宋_GB2312"/>
          <w:b w:val="0"/>
          <w:bCs w:val="0"/>
          <w:strike w:val="0"/>
          <w:dstrike w:val="0"/>
          <w:color w:val="auto"/>
          <w:sz w:val="32"/>
          <w:szCs w:val="32"/>
          <w:highlight w:val="none"/>
        </w:rPr>
        <w:t>鸿</w:t>
      </w:r>
      <w:r>
        <w:rPr>
          <w:rFonts w:hint="eastAsia" w:ascii="仿宋_GB2312" w:hAnsi="仿宋_GB2312" w:eastAsia="仿宋_GB2312" w:cs="仿宋_GB2312"/>
          <w:strike w:val="0"/>
          <w:dstrike w:val="0"/>
          <w:color w:val="auto"/>
          <w:sz w:val="32"/>
          <w:szCs w:val="32"/>
          <w:highlight w:val="none"/>
        </w:rPr>
        <w:t>通、北江建</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cs="仿宋_GB2312"/>
          <w:strike w:val="0"/>
          <w:dstrike w:val="0"/>
          <w:color w:val="auto"/>
          <w:sz w:val="32"/>
          <w:szCs w:val="32"/>
          <w:highlight w:val="none"/>
          <w:lang w:val="en-US" w:eastAsia="zh-CN"/>
        </w:rPr>
        <w:t>洞天陵园、花坪林场等国企改革，企业经营活力明显提升</w:t>
      </w:r>
      <w:r>
        <w:rPr>
          <w:rFonts w:hint="eastAsia"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rPr>
        <w:t>国企营收突破</w:t>
      </w:r>
      <w:r>
        <w:rPr>
          <w:rFonts w:hint="eastAsia" w:cs="Times New Roman"/>
          <w:strike w:val="0"/>
          <w:dstrike w:val="0"/>
          <w:color w:val="auto"/>
          <w:sz w:val="32"/>
          <w:szCs w:val="32"/>
          <w:highlight w:val="none"/>
          <w:lang w:val="en-US" w:eastAsia="zh-CN"/>
        </w:rPr>
        <w:t>1.63</w:t>
      </w:r>
      <w:r>
        <w:rPr>
          <w:rFonts w:hint="eastAsia" w:ascii="仿宋_GB2312" w:hAnsi="仿宋_GB2312" w:eastAsia="仿宋_GB2312" w:cs="仿宋_GB2312"/>
          <w:strike w:val="0"/>
          <w:dstrike w:val="0"/>
          <w:color w:val="auto"/>
          <w:sz w:val="32"/>
          <w:szCs w:val="32"/>
          <w:highlight w:val="none"/>
        </w:rPr>
        <w:t>亿元</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rPr>
        <w:t>全面开展国有资产清查，</w:t>
      </w:r>
      <w:r>
        <w:rPr>
          <w:rFonts w:hint="eastAsia" w:ascii="仿宋_GB2312" w:hAnsi="仿宋_GB2312" w:eastAsia="仿宋_GB2312" w:cs="仿宋_GB2312"/>
          <w:b w:val="0"/>
          <w:bCs w:val="0"/>
          <w:strike w:val="0"/>
          <w:dstrike w:val="0"/>
          <w:color w:val="auto"/>
          <w:sz w:val="32"/>
          <w:szCs w:val="32"/>
          <w:highlight w:val="none"/>
        </w:rPr>
        <w:t>通过整合</w:t>
      </w:r>
      <w:r>
        <w:rPr>
          <w:rFonts w:hint="eastAsia" w:ascii="Times New Roman" w:hAnsi="Times New Roman" w:cs="Times New Roman"/>
          <w:b w:val="0"/>
          <w:bCs w:val="0"/>
          <w:strike w:val="0"/>
          <w:dstrike w:val="0"/>
          <w:color w:val="auto"/>
          <w:sz w:val="32"/>
          <w:szCs w:val="32"/>
          <w:highlight w:val="none"/>
          <w:lang w:eastAsia="zh-CN"/>
        </w:rPr>
        <w:t>20</w:t>
      </w:r>
      <w:r>
        <w:rPr>
          <w:rFonts w:hint="eastAsia" w:ascii="仿宋_GB2312" w:hAnsi="仿宋_GB2312" w:eastAsia="仿宋_GB2312" w:cs="仿宋_GB2312"/>
          <w:b w:val="0"/>
          <w:bCs w:val="0"/>
          <w:strike w:val="0"/>
          <w:dstrike w:val="0"/>
          <w:color w:val="auto"/>
          <w:sz w:val="32"/>
          <w:szCs w:val="32"/>
          <w:highlight w:val="none"/>
        </w:rPr>
        <w:t>亿元国有资源资产注入</w:t>
      </w:r>
      <w:r>
        <w:rPr>
          <w:rFonts w:hint="eastAsia" w:ascii="Times New Roman" w:hAnsi="Times New Roman" w:cs="Times New Roman"/>
          <w:b w:val="0"/>
          <w:bCs w:val="0"/>
          <w:strike w:val="0"/>
          <w:dstrike w:val="0"/>
          <w:color w:val="auto"/>
          <w:sz w:val="32"/>
          <w:szCs w:val="32"/>
          <w:highlight w:val="none"/>
          <w:lang w:eastAsia="zh-CN"/>
        </w:rPr>
        <w:t>1</w:t>
      </w:r>
      <w:r>
        <w:rPr>
          <w:rFonts w:hint="eastAsia" w:ascii="仿宋_GB2312" w:hAnsi="仿宋_GB2312" w:eastAsia="仿宋_GB2312" w:cs="仿宋_GB2312"/>
          <w:b w:val="0"/>
          <w:bCs w:val="0"/>
          <w:strike w:val="0"/>
          <w:dstrike w:val="0"/>
          <w:color w:val="auto"/>
          <w:sz w:val="32"/>
          <w:szCs w:val="32"/>
          <w:highlight w:val="none"/>
        </w:rPr>
        <w:t>家区属国企，国企AA级信用评级</w:t>
      </w:r>
      <w:r>
        <w:rPr>
          <w:rFonts w:hint="eastAsia" w:ascii="仿宋_GB2312" w:hAnsi="仿宋_GB2312" w:cs="仿宋_GB2312"/>
          <w:b w:val="0"/>
          <w:bCs w:val="0"/>
          <w:strike w:val="0"/>
          <w:dstrike w:val="0"/>
          <w:color w:val="auto"/>
          <w:sz w:val="32"/>
          <w:szCs w:val="32"/>
          <w:highlight w:val="none"/>
          <w:lang w:eastAsia="zh-CN"/>
        </w:rPr>
        <w:t>步伐提速</w:t>
      </w:r>
      <w:r>
        <w:rPr>
          <w:rFonts w:hint="eastAsia" w:ascii="仿宋_GB2312" w:hAnsi="仿宋_GB2312" w:eastAsia="仿宋_GB2312" w:cs="仿宋_GB2312"/>
          <w:b w:val="0"/>
          <w:bCs w:val="0"/>
          <w:strike w:val="0"/>
          <w:dstrike w:val="0"/>
          <w:color w:val="auto"/>
          <w:sz w:val="32"/>
          <w:szCs w:val="32"/>
          <w:highlight w:val="none"/>
        </w:rPr>
        <w:t>。</w:t>
      </w:r>
      <w:r>
        <w:rPr>
          <w:rFonts w:hint="eastAsia" w:ascii="仿宋_GB2312" w:hAnsi="仿宋_GB2312" w:eastAsia="仿宋_GB2312" w:cs="仿宋_GB2312"/>
          <w:b/>
          <w:bCs/>
          <w:strike w:val="0"/>
          <w:dstrike w:val="0"/>
          <w:color w:val="auto"/>
          <w:sz w:val="32"/>
          <w:szCs w:val="32"/>
          <w:highlight w:val="none"/>
        </w:rPr>
        <w:t>营商环境持续优化。</w:t>
      </w:r>
      <w:r>
        <w:rPr>
          <w:rFonts w:hint="eastAsia" w:cs="仿宋_GB2312"/>
          <w:strike w:val="0"/>
          <w:dstrike w:val="0"/>
          <w:color w:val="auto"/>
          <w:sz w:val="32"/>
          <w:szCs w:val="32"/>
          <w:highlight w:val="none"/>
          <w:lang w:val="en-US" w:eastAsia="zh-CN"/>
        </w:rPr>
        <w:t>实施</w:t>
      </w:r>
      <w:r>
        <w:rPr>
          <w:rFonts w:hint="eastAsia" w:ascii="仿宋_GB2312" w:hAnsi="仿宋_GB2312" w:eastAsia="仿宋_GB2312" w:cs="仿宋_GB2312"/>
          <w:strike w:val="0"/>
          <w:dstrike w:val="0"/>
          <w:color w:val="auto"/>
          <w:sz w:val="32"/>
          <w:szCs w:val="32"/>
          <w:highlight w:val="none"/>
        </w:rPr>
        <w:t>“六办”举措</w:t>
      </w:r>
      <w:r>
        <w:rPr>
          <w:rFonts w:hint="eastAsia"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rPr>
        <w:t>企业开办最快</w:t>
      </w:r>
      <w:r>
        <w:rPr>
          <w:rFonts w:hint="eastAsia" w:ascii="Times New Roman" w:hAnsi="Times New Roman" w:cs="Times New Roman"/>
          <w:strike w:val="0"/>
          <w:dstrike w:val="0"/>
          <w:color w:val="auto"/>
          <w:sz w:val="32"/>
          <w:szCs w:val="32"/>
          <w:highlight w:val="none"/>
          <w:lang w:eastAsia="zh-CN"/>
        </w:rPr>
        <w:t>3</w:t>
      </w:r>
      <w:r>
        <w:rPr>
          <w:rFonts w:hint="eastAsia" w:ascii="仿宋_GB2312" w:hAnsi="仿宋_GB2312" w:eastAsia="仿宋_GB2312" w:cs="仿宋_GB2312"/>
          <w:strike w:val="0"/>
          <w:dstrike w:val="0"/>
          <w:color w:val="auto"/>
          <w:sz w:val="32"/>
          <w:szCs w:val="32"/>
          <w:highlight w:val="none"/>
        </w:rPr>
        <w:t>小时办结，工程建设项目导办代办覆盖超</w:t>
      </w:r>
      <w:r>
        <w:rPr>
          <w:rFonts w:hint="eastAsia" w:ascii="Times New Roman" w:hAnsi="Times New Roman" w:cs="Times New Roman"/>
          <w:strike w:val="0"/>
          <w:dstrike w:val="0"/>
          <w:color w:val="auto"/>
          <w:sz w:val="32"/>
          <w:szCs w:val="32"/>
          <w:highlight w:val="none"/>
          <w:lang w:eastAsia="zh-CN"/>
        </w:rPr>
        <w:t>80</w:t>
      </w:r>
      <w:r>
        <w:rPr>
          <w:rFonts w:hint="eastAsia" w:ascii="仿宋_GB2312" w:hAnsi="仿宋_GB2312" w:eastAsia="仿宋_GB2312" w:cs="仿宋_GB2312"/>
          <w:strike w:val="0"/>
          <w:dstrike w:val="0"/>
          <w:color w:val="auto"/>
          <w:sz w:val="32"/>
          <w:szCs w:val="32"/>
          <w:highlight w:val="none"/>
        </w:rPr>
        <w:t>个事项。区级政务服务事项</w:t>
      </w:r>
      <w:r>
        <w:rPr>
          <w:rFonts w:hint="eastAsia" w:ascii="Times New Roman" w:hAnsi="Times New Roman" w:cs="Times New Roman"/>
          <w:strike w:val="0"/>
          <w:dstrike w:val="0"/>
          <w:color w:val="auto"/>
          <w:sz w:val="32"/>
          <w:szCs w:val="32"/>
          <w:highlight w:val="none"/>
          <w:lang w:eastAsia="zh-CN"/>
        </w:rPr>
        <w:t>1400</w:t>
      </w:r>
      <w:r>
        <w:rPr>
          <w:rFonts w:hint="eastAsia" w:ascii="仿宋_GB2312" w:hAnsi="仿宋_GB2312" w:eastAsia="仿宋_GB2312" w:cs="仿宋_GB2312"/>
          <w:strike w:val="0"/>
          <w:dstrike w:val="0"/>
          <w:color w:val="auto"/>
          <w:sz w:val="32"/>
          <w:szCs w:val="32"/>
          <w:highlight w:val="none"/>
        </w:rPr>
        <w:t>多项，进驻率达</w:t>
      </w:r>
      <w:r>
        <w:rPr>
          <w:rFonts w:hint="eastAsia" w:ascii="Times New Roman" w:hAnsi="Times New Roman" w:cs="Times New Roman"/>
          <w:strike w:val="0"/>
          <w:dstrike w:val="0"/>
          <w:color w:val="auto"/>
          <w:sz w:val="32"/>
          <w:szCs w:val="32"/>
          <w:highlight w:val="none"/>
          <w:lang w:eastAsia="zh-CN"/>
        </w:rPr>
        <w:t>96</w:t>
      </w:r>
      <w:r>
        <w:rPr>
          <w:rFonts w:hint="eastAsia" w:ascii="仿宋_GB2312" w:hAnsi="仿宋_GB2312" w:eastAsia="仿宋_GB2312" w:cs="仿宋_GB2312"/>
          <w:strike w:val="0"/>
          <w:dstrike w:val="0"/>
          <w:color w:val="auto"/>
          <w:sz w:val="32"/>
          <w:szCs w:val="32"/>
          <w:highlight w:val="none"/>
        </w:rPr>
        <w:t>.</w:t>
      </w:r>
      <w:r>
        <w:rPr>
          <w:rFonts w:hint="eastAsia" w:ascii="Times New Roman" w:hAnsi="Times New Roman" w:cs="Times New Roman"/>
          <w:strike w:val="0"/>
          <w:dstrike w:val="0"/>
          <w:color w:val="auto"/>
          <w:sz w:val="32"/>
          <w:szCs w:val="32"/>
          <w:highlight w:val="none"/>
          <w:lang w:eastAsia="zh-CN"/>
        </w:rPr>
        <w:t>6%</w:t>
      </w:r>
      <w:r>
        <w:rPr>
          <w:rFonts w:hint="eastAsia" w:ascii="仿宋_GB2312" w:hAnsi="仿宋_GB2312" w:eastAsia="仿宋_GB2312" w:cs="仿宋_GB2312"/>
          <w:strike w:val="0"/>
          <w:dstrike w:val="0"/>
          <w:color w:val="auto"/>
          <w:sz w:val="32"/>
          <w:szCs w:val="32"/>
          <w:highlight w:val="none"/>
        </w:rPr>
        <w:t>，高频事项全程网办率</w:t>
      </w:r>
      <w:r>
        <w:rPr>
          <w:rFonts w:hint="eastAsia" w:ascii="Times New Roman" w:hAnsi="Times New Roman" w:cs="Times New Roman"/>
          <w:strike w:val="0"/>
          <w:dstrike w:val="0"/>
          <w:color w:val="auto"/>
          <w:sz w:val="32"/>
          <w:szCs w:val="32"/>
          <w:highlight w:val="none"/>
          <w:lang w:eastAsia="zh-CN"/>
        </w:rPr>
        <w:t>100%</w:t>
      </w:r>
      <w:r>
        <w:rPr>
          <w:rFonts w:hint="eastAsia" w:ascii="仿宋_GB2312" w:hAnsi="仿宋_GB2312" w:eastAsia="仿宋_GB2312" w:cs="仿宋_GB2312"/>
          <w:strike w:val="0"/>
          <w:dstrike w:val="0"/>
          <w:color w:val="auto"/>
          <w:sz w:val="32"/>
          <w:szCs w:val="32"/>
          <w:highlight w:val="none"/>
        </w:rPr>
        <w:t>，“粤智助”一体机镇村全覆盖。社会信用体系不断健全，“双随机、一公开”监管常态化开展，市场活力持续增强，市场主体总量连续</w:t>
      </w:r>
      <w:r>
        <w:rPr>
          <w:rFonts w:hint="eastAsia" w:ascii="仿宋_GB2312" w:hAnsi="仿宋_GB2312" w:cs="仿宋_GB2312"/>
          <w:strike w:val="0"/>
          <w:dstrike w:val="0"/>
          <w:color w:val="auto"/>
          <w:sz w:val="32"/>
          <w:szCs w:val="32"/>
          <w:highlight w:val="none"/>
          <w:lang w:val="en-US" w:eastAsia="zh-CN"/>
        </w:rPr>
        <w:t>五</w:t>
      </w:r>
      <w:r>
        <w:rPr>
          <w:rFonts w:hint="eastAsia" w:ascii="仿宋_GB2312" w:hAnsi="仿宋_GB2312" w:eastAsia="仿宋_GB2312" w:cs="仿宋_GB2312"/>
          <w:strike w:val="0"/>
          <w:dstrike w:val="0"/>
          <w:color w:val="auto"/>
          <w:sz w:val="32"/>
          <w:szCs w:val="32"/>
          <w:highlight w:val="none"/>
        </w:rPr>
        <w:t>年全市第一。</w:t>
      </w:r>
      <w:r>
        <w:rPr>
          <w:rFonts w:hint="eastAsia" w:ascii="仿宋_GB2312" w:hAnsi="仿宋_GB2312" w:eastAsia="仿宋_GB2312" w:cs="仿宋_GB2312"/>
          <w:b/>
          <w:bCs/>
          <w:strike w:val="0"/>
          <w:dstrike w:val="0"/>
          <w:color w:val="auto"/>
          <w:sz w:val="32"/>
          <w:szCs w:val="32"/>
          <w:highlight w:val="none"/>
        </w:rPr>
        <w:t>资源资产价值化路径得到拓宽。</w:t>
      </w:r>
      <w:r>
        <w:rPr>
          <w:rFonts w:hint="eastAsia" w:ascii="仿宋_GB2312" w:hAnsi="仿宋_GB2312" w:eastAsia="仿宋_GB2312" w:cs="仿宋_GB2312"/>
          <w:strike w:val="0"/>
          <w:dstrike w:val="0"/>
          <w:color w:val="auto"/>
          <w:sz w:val="32"/>
          <w:szCs w:val="32"/>
          <w:highlight w:val="none"/>
        </w:rPr>
        <w:t>出台资源资产价值化“</w:t>
      </w:r>
      <w:r>
        <w:rPr>
          <w:rFonts w:hint="eastAsia" w:ascii="Times New Roman" w:hAnsi="Times New Roman" w:cs="Times New Roman"/>
          <w:strike w:val="0"/>
          <w:dstrike w:val="0"/>
          <w:color w:val="auto"/>
          <w:sz w:val="32"/>
          <w:szCs w:val="32"/>
          <w:highlight w:val="none"/>
          <w:lang w:eastAsia="zh-CN"/>
        </w:rPr>
        <w:t>1</w:t>
      </w:r>
      <w:r>
        <w:rPr>
          <w:rFonts w:hint="eastAsia" w:ascii="仿宋_GB2312" w:hAnsi="仿宋_GB2312" w:eastAsia="仿宋_GB2312" w:cs="仿宋_GB2312"/>
          <w:strike w:val="0"/>
          <w:dstrike w:val="0"/>
          <w:color w:val="auto"/>
          <w:sz w:val="32"/>
          <w:szCs w:val="32"/>
          <w:highlight w:val="none"/>
        </w:rPr>
        <w:t>+</w:t>
      </w:r>
      <w:r>
        <w:rPr>
          <w:rFonts w:hint="eastAsia" w:ascii="Times New Roman" w:hAnsi="Times New Roman" w:cs="Times New Roman"/>
          <w:strike w:val="0"/>
          <w:dstrike w:val="0"/>
          <w:color w:val="auto"/>
          <w:sz w:val="32"/>
          <w:szCs w:val="32"/>
          <w:highlight w:val="none"/>
          <w:lang w:eastAsia="zh-CN"/>
        </w:rPr>
        <w:t>6</w:t>
      </w:r>
      <w:r>
        <w:rPr>
          <w:rFonts w:hint="eastAsia" w:ascii="仿宋_GB2312" w:hAnsi="仿宋_GB2312" w:eastAsia="仿宋_GB2312" w:cs="仿宋_GB2312"/>
          <w:strike w:val="0"/>
          <w:dstrike w:val="0"/>
          <w:color w:val="auto"/>
          <w:sz w:val="32"/>
          <w:szCs w:val="32"/>
          <w:highlight w:val="none"/>
        </w:rPr>
        <w:t>”系列方案，初步建立价值发现、产权界定、价值评估、价值实现、价值保护等五大机制，盘活煤矸石资源、涉矿石料</w:t>
      </w:r>
      <w:r>
        <w:rPr>
          <w:rFonts w:hint="eastAsia" w:ascii="仿宋_GB2312" w:hAnsi="仿宋_GB2312" w:cs="仿宋_GB2312"/>
          <w:strike w:val="0"/>
          <w:dstrike w:val="0"/>
          <w:color w:val="auto"/>
          <w:sz w:val="32"/>
          <w:szCs w:val="32"/>
          <w:highlight w:val="none"/>
          <w:lang w:val="en-US" w:eastAsia="zh-CN"/>
        </w:rPr>
        <w:t>资源</w:t>
      </w:r>
      <w:r>
        <w:rPr>
          <w:rFonts w:hint="eastAsia" w:ascii="仿宋_GB2312" w:hAnsi="仿宋_GB2312" w:eastAsia="仿宋_GB2312" w:cs="仿宋_GB2312"/>
          <w:strike w:val="0"/>
          <w:dstrike w:val="0"/>
          <w:color w:val="auto"/>
          <w:sz w:val="32"/>
          <w:szCs w:val="32"/>
          <w:highlight w:val="none"/>
        </w:rPr>
        <w:t>，持续增加非税收入，形成“财政+社会”多元投入机制。</w:t>
      </w:r>
    </w:p>
    <w:p w14:paraId="5CCD0349">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五、“百千万工程”建设初见成效</w:t>
      </w:r>
    </w:p>
    <w:p w14:paraId="5A6B66D5">
      <w:pPr>
        <w:keepNext w:val="0"/>
        <w:keepLines w:val="0"/>
        <w:pageBreakBefore w:val="0"/>
        <w:kinsoku/>
        <w:wordWrap/>
        <w:overflowPunct/>
        <w:topLinePunct w:val="0"/>
        <w:autoSpaceDE/>
        <w:autoSpaceDN/>
        <w:bidi w:val="0"/>
        <w:spacing w:line="580" w:lineRule="exact"/>
        <w:ind w:firstLine="643" w:firstLineChars="200"/>
        <w:rPr>
          <w:rFonts w:hint="eastAsia" w:ascii="Times New Roman" w:hAnsi="Times New Roman" w:eastAsia="仿宋_GB2312" w:cs="仿宋_GB2312"/>
          <w:color w:val="auto"/>
          <w:highlight w:val="none"/>
        </w:rPr>
      </w:pPr>
      <w:r>
        <w:rPr>
          <w:rFonts w:hint="eastAsia" w:ascii="仿宋_GB2312" w:hAnsi="仿宋_GB2312" w:eastAsia="仿宋_GB2312" w:cs="仿宋_GB2312"/>
          <w:b/>
          <w:bCs/>
          <w:strike w:val="0"/>
          <w:dstrike w:val="0"/>
          <w:color w:val="auto"/>
          <w:sz w:val="32"/>
          <w:szCs w:val="32"/>
          <w:highlight w:val="none"/>
        </w:rPr>
        <w:t>新型城镇化建设稳步推进。</w:t>
      </w:r>
      <w:r>
        <w:rPr>
          <w:rFonts w:hint="eastAsia" w:ascii="仿宋_GB2312" w:hAnsi="仿宋_GB2312" w:eastAsia="仿宋_GB2312" w:cs="仿宋_GB2312"/>
          <w:b w:val="0"/>
          <w:bCs w:val="0"/>
          <w:strike w:val="0"/>
          <w:dstrike w:val="0"/>
          <w:color w:val="auto"/>
          <w:sz w:val="32"/>
          <w:szCs w:val="32"/>
          <w:highlight w:val="none"/>
        </w:rPr>
        <w:t>农业转移人口市民化加快，实现农业转移人口落户城镇</w:t>
      </w:r>
      <w:r>
        <w:rPr>
          <w:rFonts w:hint="eastAsia" w:ascii="Times New Roman" w:hAnsi="Times New Roman" w:eastAsia="仿宋_GB2312" w:cs="Times New Roman"/>
          <w:b w:val="0"/>
          <w:bCs w:val="0"/>
          <w:strike w:val="0"/>
          <w:dstrike w:val="0"/>
          <w:color w:val="auto"/>
          <w:sz w:val="32"/>
          <w:szCs w:val="32"/>
          <w:highlight w:val="none"/>
          <w:lang w:val="en-US" w:eastAsia="zh-CN"/>
        </w:rPr>
        <w:t>3289</w:t>
      </w:r>
      <w:r>
        <w:rPr>
          <w:rFonts w:hint="eastAsia" w:ascii="仿宋_GB2312" w:hAnsi="仿宋_GB2312" w:eastAsia="仿宋_GB2312" w:cs="仿宋_GB2312"/>
          <w:b w:val="0"/>
          <w:bCs w:val="0"/>
          <w:strike w:val="0"/>
          <w:dstrike w:val="0"/>
          <w:color w:val="auto"/>
          <w:sz w:val="32"/>
          <w:szCs w:val="32"/>
          <w:highlight w:val="none"/>
        </w:rPr>
        <w:t>人，常住人口城镇化率</w:t>
      </w:r>
      <w:r>
        <w:rPr>
          <w:rFonts w:hint="eastAsia" w:ascii="仿宋_GB2312" w:hAnsi="仿宋_GB2312" w:eastAsia="仿宋_GB2312" w:cs="仿宋_GB2312"/>
          <w:b w:val="0"/>
          <w:bCs w:val="0"/>
          <w:strike w:val="0"/>
          <w:dstrike w:val="0"/>
          <w:color w:val="auto"/>
          <w:sz w:val="32"/>
          <w:szCs w:val="32"/>
          <w:highlight w:val="none"/>
          <w:lang w:val="en-US" w:eastAsia="zh-CN"/>
        </w:rPr>
        <w:t>连续五年</w:t>
      </w:r>
      <w:r>
        <w:rPr>
          <w:rFonts w:hint="eastAsia" w:ascii="仿宋_GB2312" w:hAnsi="仿宋_GB2312" w:eastAsia="仿宋_GB2312" w:cs="仿宋_GB2312"/>
          <w:b w:val="0"/>
          <w:bCs w:val="0"/>
          <w:strike w:val="0"/>
          <w:dstrike w:val="0"/>
          <w:color w:val="auto"/>
          <w:sz w:val="32"/>
          <w:szCs w:val="32"/>
          <w:highlight w:val="none"/>
          <w:lang w:eastAsia="zh-CN"/>
        </w:rPr>
        <w:t>排名全市</w:t>
      </w:r>
      <w:r>
        <w:rPr>
          <w:rFonts w:hint="eastAsia" w:ascii="仿宋_GB2312" w:hAnsi="仿宋_GB2312" w:eastAsia="仿宋_GB2312" w:cs="仿宋_GB2312"/>
          <w:b w:val="0"/>
          <w:bCs w:val="0"/>
          <w:strike w:val="0"/>
          <w:dstrike w:val="0"/>
          <w:color w:val="auto"/>
          <w:sz w:val="32"/>
          <w:szCs w:val="32"/>
          <w:highlight w:val="none"/>
        </w:rPr>
        <w:t>第一</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bCs/>
          <w:strike w:val="0"/>
          <w:dstrike w:val="0"/>
          <w:color w:val="auto"/>
          <w:sz w:val="32"/>
          <w:szCs w:val="32"/>
          <w:highlight w:val="none"/>
        </w:rPr>
        <w:t>城市建设提档升级成效显著。</w:t>
      </w:r>
      <w:r>
        <w:rPr>
          <w:rFonts w:hint="eastAsia" w:ascii="仿宋_GB2312" w:hAnsi="仿宋_GB2312" w:eastAsia="仿宋_GB2312" w:cs="仿宋_GB2312"/>
          <w:b w:val="0"/>
          <w:bCs w:val="0"/>
          <w:strike w:val="0"/>
          <w:dstrike w:val="0"/>
          <w:color w:val="auto"/>
          <w:sz w:val="32"/>
          <w:szCs w:val="32"/>
          <w:highlight w:val="none"/>
        </w:rPr>
        <w:t>完成老旧小区改造</w:t>
      </w:r>
      <w:r>
        <w:rPr>
          <w:rFonts w:hint="eastAsia" w:ascii="Times New Roman" w:hAnsi="Times New Roman" w:eastAsia="仿宋_GB2312" w:cs="Times New Roman"/>
          <w:b w:val="0"/>
          <w:bCs w:val="0"/>
          <w:strike w:val="0"/>
          <w:dstrike w:val="0"/>
          <w:color w:val="auto"/>
          <w:sz w:val="32"/>
          <w:szCs w:val="32"/>
          <w:highlight w:val="none"/>
          <w:lang w:eastAsia="zh-CN"/>
        </w:rPr>
        <w:t>125</w:t>
      </w:r>
      <w:r>
        <w:rPr>
          <w:rFonts w:hint="eastAsia" w:ascii="仿宋_GB2312" w:hAnsi="仿宋_GB2312" w:eastAsia="仿宋_GB2312" w:cs="仿宋_GB2312"/>
          <w:b w:val="0"/>
          <w:bCs w:val="0"/>
          <w:strike w:val="0"/>
          <w:dstrike w:val="0"/>
          <w:color w:val="auto"/>
          <w:sz w:val="32"/>
          <w:szCs w:val="32"/>
          <w:highlight w:val="none"/>
        </w:rPr>
        <w:t>个</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lang w:val="en-US" w:eastAsia="zh-CN"/>
        </w:rPr>
        <w:t>改造面积约</w:t>
      </w:r>
      <w:r>
        <w:rPr>
          <w:rFonts w:hint="eastAsia" w:ascii="Times New Roman" w:hAnsi="Times New Roman" w:eastAsia="仿宋_GB2312" w:cs="Times New Roman"/>
          <w:b w:val="0"/>
          <w:bCs w:val="0"/>
          <w:strike w:val="0"/>
          <w:dstrike w:val="0"/>
          <w:color w:val="auto"/>
          <w:sz w:val="32"/>
          <w:szCs w:val="32"/>
          <w:highlight w:val="none"/>
          <w:lang w:val="en-US" w:eastAsia="zh-CN"/>
        </w:rPr>
        <w:t>60</w:t>
      </w:r>
      <w:r>
        <w:rPr>
          <w:rFonts w:hint="eastAsia" w:ascii="仿宋_GB2312" w:hAnsi="仿宋_GB2312" w:eastAsia="仿宋_GB2312" w:cs="仿宋_GB2312"/>
          <w:b w:val="0"/>
          <w:bCs w:val="0"/>
          <w:strike w:val="0"/>
          <w:dstrike w:val="0"/>
          <w:color w:val="auto"/>
          <w:sz w:val="32"/>
          <w:szCs w:val="32"/>
          <w:highlight w:val="none"/>
          <w:lang w:val="en-US" w:eastAsia="zh-CN"/>
        </w:rPr>
        <w:t>万平方米，</w:t>
      </w:r>
      <w:r>
        <w:rPr>
          <w:rFonts w:hint="eastAsia" w:ascii="仿宋_GB2312" w:hAnsi="仿宋_GB2312" w:eastAsia="仿宋_GB2312" w:cs="仿宋_GB2312"/>
          <w:b w:val="0"/>
          <w:bCs w:val="0"/>
          <w:strike w:val="0"/>
          <w:dstrike w:val="0"/>
          <w:color w:val="auto"/>
          <w:sz w:val="32"/>
          <w:szCs w:val="32"/>
          <w:highlight w:val="none"/>
        </w:rPr>
        <w:t>惠及居民</w:t>
      </w:r>
      <w:r>
        <w:rPr>
          <w:rFonts w:hint="eastAsia" w:ascii="Times New Roman" w:hAnsi="Times New Roman" w:eastAsia="仿宋_GB2312" w:cs="Times New Roman"/>
          <w:b w:val="0"/>
          <w:bCs w:val="0"/>
          <w:strike w:val="0"/>
          <w:dstrike w:val="0"/>
          <w:color w:val="auto"/>
          <w:sz w:val="32"/>
          <w:szCs w:val="32"/>
          <w:highlight w:val="none"/>
          <w:lang w:eastAsia="zh-CN"/>
        </w:rPr>
        <w:t>6</w:t>
      </w:r>
      <w:r>
        <w:rPr>
          <w:rFonts w:hint="eastAsia" w:ascii="Times New Roman" w:hAnsi="Times New Roman" w:eastAsia="仿宋_GB2312" w:cs="Times New Roman"/>
          <w:b w:val="0"/>
          <w:bCs w:val="0"/>
          <w:strike w:val="0"/>
          <w:dstrike w:val="0"/>
          <w:color w:val="auto"/>
          <w:sz w:val="32"/>
          <w:szCs w:val="32"/>
          <w:highlight w:val="none"/>
          <w:lang w:val="en-US" w:eastAsia="zh-CN"/>
        </w:rPr>
        <w:t>558</w:t>
      </w:r>
      <w:r>
        <w:rPr>
          <w:rFonts w:hint="eastAsia" w:ascii="仿宋_GB2312" w:hAnsi="仿宋_GB2312" w:eastAsia="仿宋_GB2312" w:cs="仿宋_GB2312"/>
          <w:b w:val="0"/>
          <w:bCs w:val="0"/>
          <w:strike w:val="0"/>
          <w:dstrike w:val="0"/>
          <w:color w:val="auto"/>
          <w:sz w:val="32"/>
          <w:szCs w:val="32"/>
          <w:highlight w:val="none"/>
        </w:rPr>
        <w:t>户</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rPr>
        <w:t>实施升平路、兴隆街等历史街区、老旧街区改造</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rPr>
        <w:t>城区污水处理率提升至</w:t>
      </w:r>
      <w:r>
        <w:rPr>
          <w:rFonts w:hint="eastAsia" w:ascii="Times New Roman" w:hAnsi="Times New Roman" w:eastAsia="仿宋_GB2312" w:cs="Times New Roman"/>
          <w:b w:val="0"/>
          <w:bCs w:val="0"/>
          <w:strike w:val="0"/>
          <w:dstrike w:val="0"/>
          <w:color w:val="auto"/>
          <w:sz w:val="32"/>
          <w:szCs w:val="32"/>
          <w:highlight w:val="none"/>
          <w:lang w:eastAsia="zh-CN"/>
        </w:rPr>
        <w:t>100%</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bCs/>
          <w:strike w:val="0"/>
          <w:dstrike w:val="0"/>
          <w:color w:val="auto"/>
          <w:sz w:val="32"/>
          <w:szCs w:val="32"/>
          <w:highlight w:val="none"/>
          <w:lang w:eastAsia="zh-CN"/>
        </w:rPr>
        <w:t>城市精细化管理水平进一步提升。</w:t>
      </w:r>
      <w:r>
        <w:rPr>
          <w:rFonts w:hint="eastAsia" w:ascii="仿宋_GB2312" w:hAnsi="仿宋_GB2312" w:eastAsia="仿宋_GB2312" w:cs="仿宋_GB2312"/>
          <w:b w:val="0"/>
          <w:bCs w:val="0"/>
          <w:strike w:val="0"/>
          <w:dstrike w:val="0"/>
          <w:color w:val="auto"/>
          <w:sz w:val="32"/>
          <w:szCs w:val="32"/>
          <w:highlight w:val="none"/>
          <w:lang w:eastAsia="zh-CN"/>
        </w:rPr>
        <w:t>依法拆除违建面积</w:t>
      </w:r>
      <w:r>
        <w:rPr>
          <w:rFonts w:hint="eastAsia" w:ascii="Times New Roman" w:hAnsi="Times New Roman" w:eastAsia="仿宋_GB2312" w:cs="Times New Roman"/>
          <w:b w:val="0"/>
          <w:bCs w:val="0"/>
          <w:strike w:val="0"/>
          <w:dstrike w:val="0"/>
          <w:color w:val="auto"/>
          <w:sz w:val="32"/>
          <w:szCs w:val="32"/>
          <w:highlight w:val="none"/>
          <w:lang w:eastAsia="zh-CN"/>
        </w:rPr>
        <w:t>4</w:t>
      </w:r>
      <w:r>
        <w:rPr>
          <w:rFonts w:hint="eastAsia" w:ascii="Times New Roman" w:hAnsi="Times New Roman" w:eastAsia="仿宋_GB2312" w:cs="Times New Roman"/>
          <w:b w:val="0"/>
          <w:bCs w:val="0"/>
          <w:strike w:val="0"/>
          <w:dstrike w:val="0"/>
          <w:color w:val="auto"/>
          <w:sz w:val="32"/>
          <w:szCs w:val="32"/>
          <w:highlight w:val="none"/>
          <w:lang w:val="en-US" w:eastAsia="zh-CN"/>
        </w:rPr>
        <w:t>1</w:t>
      </w:r>
      <w:r>
        <w:rPr>
          <w:rFonts w:hint="eastAsia" w:ascii="仿宋_GB2312" w:hAnsi="仿宋_GB2312" w:eastAsia="仿宋_GB2312" w:cs="仿宋_GB2312"/>
          <w:b w:val="0"/>
          <w:bCs w:val="0"/>
          <w:strike w:val="0"/>
          <w:dstrike w:val="0"/>
          <w:color w:val="auto"/>
          <w:sz w:val="32"/>
          <w:szCs w:val="32"/>
          <w:highlight w:val="none"/>
          <w:lang w:val="en-US" w:eastAsia="zh-CN"/>
        </w:rPr>
        <w:t>.</w:t>
      </w:r>
      <w:r>
        <w:rPr>
          <w:rFonts w:hint="eastAsia" w:ascii="Times New Roman" w:hAnsi="Times New Roman" w:eastAsia="仿宋_GB2312" w:cs="Times New Roman"/>
          <w:b w:val="0"/>
          <w:bCs w:val="0"/>
          <w:strike w:val="0"/>
          <w:dstrike w:val="0"/>
          <w:color w:val="auto"/>
          <w:sz w:val="32"/>
          <w:szCs w:val="32"/>
          <w:highlight w:val="none"/>
          <w:lang w:val="en-US" w:eastAsia="zh-CN"/>
        </w:rPr>
        <w:t>97</w:t>
      </w:r>
      <w:r>
        <w:rPr>
          <w:rFonts w:hint="eastAsia" w:ascii="仿宋_GB2312" w:hAnsi="仿宋_GB2312" w:eastAsia="仿宋_GB2312" w:cs="仿宋_GB2312"/>
          <w:b w:val="0"/>
          <w:bCs w:val="0"/>
          <w:strike w:val="0"/>
          <w:dstrike w:val="0"/>
          <w:color w:val="auto"/>
          <w:sz w:val="32"/>
          <w:szCs w:val="32"/>
          <w:highlight w:val="none"/>
          <w:lang w:eastAsia="zh-CN"/>
        </w:rPr>
        <w:t>万平方米，整治“六乱”行为</w:t>
      </w:r>
      <w:r>
        <w:rPr>
          <w:rFonts w:hint="eastAsia" w:ascii="Times New Roman" w:hAnsi="Times New Roman" w:eastAsia="仿宋_GB2312" w:cs="Times New Roman"/>
          <w:b w:val="0"/>
          <w:bCs w:val="0"/>
          <w:strike w:val="0"/>
          <w:dstrike w:val="0"/>
          <w:color w:val="auto"/>
          <w:sz w:val="32"/>
          <w:szCs w:val="32"/>
          <w:highlight w:val="none"/>
          <w:lang w:val="en-US" w:eastAsia="zh-CN"/>
        </w:rPr>
        <w:t>6</w:t>
      </w:r>
      <w:r>
        <w:rPr>
          <w:rFonts w:hint="eastAsia" w:ascii="仿宋_GB2312" w:hAnsi="仿宋_GB2312" w:eastAsia="仿宋_GB2312" w:cs="仿宋_GB2312"/>
          <w:b w:val="0"/>
          <w:bCs w:val="0"/>
          <w:strike w:val="0"/>
          <w:dstrike w:val="0"/>
          <w:color w:val="auto"/>
          <w:sz w:val="32"/>
          <w:szCs w:val="32"/>
          <w:highlight w:val="none"/>
          <w:lang w:val="en-US" w:eastAsia="zh-CN"/>
        </w:rPr>
        <w:t>.</w:t>
      </w:r>
      <w:r>
        <w:rPr>
          <w:rFonts w:hint="eastAsia" w:ascii="Times New Roman" w:hAnsi="Times New Roman" w:eastAsia="仿宋_GB2312" w:cs="Times New Roman"/>
          <w:b w:val="0"/>
          <w:bCs w:val="0"/>
          <w:strike w:val="0"/>
          <w:dstrike w:val="0"/>
          <w:color w:val="auto"/>
          <w:sz w:val="32"/>
          <w:szCs w:val="32"/>
          <w:highlight w:val="none"/>
          <w:lang w:val="en-US" w:eastAsia="zh-CN"/>
        </w:rPr>
        <w:t>16</w:t>
      </w:r>
      <w:r>
        <w:rPr>
          <w:rFonts w:hint="eastAsia" w:ascii="仿宋_GB2312" w:hAnsi="仿宋_GB2312" w:eastAsia="仿宋_GB2312" w:cs="仿宋_GB2312"/>
          <w:b w:val="0"/>
          <w:bCs w:val="0"/>
          <w:strike w:val="0"/>
          <w:dstrike w:val="0"/>
          <w:color w:val="auto"/>
          <w:sz w:val="32"/>
          <w:szCs w:val="32"/>
          <w:highlight w:val="none"/>
          <w:lang w:eastAsia="zh-CN"/>
        </w:rPr>
        <w:t>万宗，打造了升平路历史文化街区、浈江大道北、环园路等一批城市“靓丽廊道”。</w:t>
      </w:r>
      <w:r>
        <w:rPr>
          <w:rFonts w:hint="eastAsia" w:ascii="仿宋_GB2312" w:hAnsi="仿宋_GB2312" w:eastAsia="仿宋_GB2312" w:cs="仿宋_GB2312"/>
          <w:b/>
          <w:bCs/>
          <w:strike w:val="0"/>
          <w:dstrike w:val="0"/>
          <w:color w:val="auto"/>
          <w:sz w:val="32"/>
          <w:szCs w:val="32"/>
          <w:highlight w:val="none"/>
          <w:lang w:val="en-US" w:eastAsia="zh-CN"/>
        </w:rPr>
        <w:t>现代农业</w:t>
      </w:r>
      <w:r>
        <w:rPr>
          <w:rFonts w:hint="eastAsia" w:ascii="仿宋_GB2312" w:hAnsi="仿宋_GB2312" w:eastAsia="仿宋_GB2312" w:cs="仿宋_GB2312"/>
          <w:b/>
          <w:bCs/>
          <w:strike w:val="0"/>
          <w:dstrike w:val="0"/>
          <w:color w:val="auto"/>
          <w:sz w:val="32"/>
          <w:szCs w:val="32"/>
          <w:highlight w:val="none"/>
          <w:lang w:eastAsia="zh-CN"/>
        </w:rPr>
        <w:t>产业加快发展。</w:t>
      </w:r>
      <w:r>
        <w:rPr>
          <w:rFonts w:hint="eastAsia" w:ascii="仿宋_GB2312" w:hAnsi="仿宋_GB2312" w:eastAsia="仿宋_GB2312" w:cs="仿宋_GB2312"/>
          <w:b w:val="0"/>
          <w:bCs w:val="0"/>
          <w:strike w:val="0"/>
          <w:dstrike w:val="0"/>
          <w:color w:val="auto"/>
          <w:sz w:val="32"/>
          <w:szCs w:val="32"/>
          <w:highlight w:val="none"/>
          <w:lang w:eastAsia="zh-CN"/>
        </w:rPr>
        <w:t>坚决守住粮食安全底线和耕地保护红线，</w:t>
      </w:r>
      <w:r>
        <w:rPr>
          <w:rFonts w:hint="eastAsia" w:ascii="仿宋_GB2312" w:hAnsi="仿宋_GB2312" w:eastAsia="仿宋_GB2312" w:cs="仿宋_GB2312"/>
          <w:b w:val="0"/>
          <w:bCs w:val="0"/>
          <w:strike w:val="0"/>
          <w:dstrike w:val="0"/>
          <w:color w:val="auto"/>
          <w:sz w:val="32"/>
          <w:szCs w:val="32"/>
          <w:highlight w:val="none"/>
          <w:lang w:val="en-US" w:eastAsia="zh-CN"/>
        </w:rPr>
        <w:t>累计</w:t>
      </w:r>
      <w:r>
        <w:rPr>
          <w:rFonts w:hint="eastAsia" w:ascii="仿宋_GB2312" w:hAnsi="仿宋_GB2312" w:eastAsia="仿宋_GB2312" w:cs="仿宋_GB2312"/>
          <w:b w:val="0"/>
          <w:bCs w:val="0"/>
          <w:strike w:val="0"/>
          <w:dstrike w:val="0"/>
          <w:color w:val="auto"/>
          <w:sz w:val="32"/>
          <w:szCs w:val="32"/>
          <w:highlight w:val="none"/>
          <w:lang w:eastAsia="zh-CN"/>
        </w:rPr>
        <w:t>粮食总产量</w:t>
      </w:r>
      <w:r>
        <w:rPr>
          <w:rFonts w:hint="eastAsia" w:ascii="Times New Roman" w:hAnsi="Times New Roman" w:eastAsia="仿宋_GB2312" w:cs="Times New Roman"/>
          <w:b w:val="0"/>
          <w:bCs w:val="0"/>
          <w:strike w:val="0"/>
          <w:dstrike w:val="0"/>
          <w:color w:val="auto"/>
          <w:sz w:val="32"/>
          <w:szCs w:val="32"/>
          <w:highlight w:val="none"/>
          <w:lang w:val="en-US" w:eastAsia="zh-CN"/>
        </w:rPr>
        <w:t>9.95</w:t>
      </w:r>
      <w:r>
        <w:rPr>
          <w:rFonts w:hint="eastAsia" w:ascii="仿宋_GB2312" w:hAnsi="仿宋_GB2312" w:eastAsia="仿宋_GB2312" w:cs="仿宋_GB2312"/>
          <w:b w:val="0"/>
          <w:bCs w:val="0"/>
          <w:strike w:val="0"/>
          <w:dstrike w:val="0"/>
          <w:color w:val="auto"/>
          <w:sz w:val="32"/>
          <w:szCs w:val="32"/>
          <w:highlight w:val="none"/>
          <w:lang w:eastAsia="zh-CN"/>
        </w:rPr>
        <w:t>万吨，</w:t>
      </w:r>
      <w:r>
        <w:rPr>
          <w:rFonts w:hint="eastAsia" w:ascii="Times New Roman" w:hAnsi="Times New Roman" w:eastAsia="仿宋_GB2312" w:cs="Times New Roman"/>
          <w:b w:val="0"/>
          <w:bCs w:val="0"/>
          <w:color w:val="auto"/>
          <w:sz w:val="32"/>
          <w:szCs w:val="32"/>
          <w:highlight w:val="none"/>
          <w:lang w:val="en-US" w:eastAsia="zh-CN"/>
        </w:rPr>
        <w:t>完成“小田并大田”改造，累计建成高标准农田1.33万亩，改造高标准农田0.58万亩</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lang w:eastAsia="zh-CN"/>
        </w:rPr>
        <w:t>油茶、生猪、稻蔬、花卉、食用菌、鱼龟等主导产业规模持续壮大，农林牧渔业总产值提升至</w:t>
      </w:r>
      <w:r>
        <w:rPr>
          <w:rFonts w:hint="eastAsia" w:ascii="Times New Roman" w:hAnsi="Times New Roman" w:eastAsia="仿宋_GB2312" w:cs="Times New Roman"/>
          <w:b w:val="0"/>
          <w:bCs w:val="0"/>
          <w:strike w:val="0"/>
          <w:dstrike w:val="0"/>
          <w:color w:val="auto"/>
          <w:sz w:val="32"/>
          <w:szCs w:val="32"/>
          <w:highlight w:val="none"/>
          <w:lang w:eastAsia="zh-CN"/>
        </w:rPr>
        <w:t>15</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Times New Roman" w:hAnsi="Times New Roman" w:eastAsia="仿宋_GB2312" w:cs="Times New Roman"/>
          <w:b w:val="0"/>
          <w:bCs w:val="0"/>
          <w:strike w:val="0"/>
          <w:dstrike w:val="0"/>
          <w:color w:val="auto"/>
          <w:sz w:val="32"/>
          <w:szCs w:val="32"/>
          <w:highlight w:val="none"/>
          <w:lang w:eastAsia="zh-CN"/>
        </w:rPr>
        <w:t>11</w:t>
      </w:r>
      <w:r>
        <w:rPr>
          <w:rFonts w:hint="eastAsia" w:ascii="仿宋_GB2312" w:hAnsi="仿宋_GB2312" w:eastAsia="仿宋_GB2312" w:cs="仿宋_GB2312"/>
          <w:b w:val="0"/>
          <w:bCs w:val="0"/>
          <w:strike w:val="0"/>
          <w:dstrike w:val="0"/>
          <w:color w:val="auto"/>
          <w:sz w:val="32"/>
          <w:szCs w:val="32"/>
          <w:highlight w:val="none"/>
          <w:lang w:eastAsia="zh-CN"/>
        </w:rPr>
        <w:t>亿元。获评“全国名特优新农产品名录”</w:t>
      </w:r>
      <w:r>
        <w:rPr>
          <w:rFonts w:hint="eastAsia" w:ascii="Times New Roman" w:hAnsi="Times New Roman" w:eastAsia="仿宋_GB2312" w:cs="Times New Roman"/>
          <w:b w:val="0"/>
          <w:bCs w:val="0"/>
          <w:strike w:val="0"/>
          <w:dstrike w:val="0"/>
          <w:color w:val="auto"/>
          <w:sz w:val="32"/>
          <w:szCs w:val="32"/>
          <w:highlight w:val="none"/>
          <w:lang w:eastAsia="zh-CN"/>
        </w:rPr>
        <w:t>3</w:t>
      </w:r>
      <w:r>
        <w:rPr>
          <w:rFonts w:hint="eastAsia" w:ascii="仿宋_GB2312" w:hAnsi="仿宋_GB2312" w:eastAsia="仿宋_GB2312" w:cs="仿宋_GB2312"/>
          <w:b w:val="0"/>
          <w:bCs w:val="0"/>
          <w:strike w:val="0"/>
          <w:dstrike w:val="0"/>
          <w:color w:val="auto"/>
          <w:sz w:val="32"/>
          <w:szCs w:val="32"/>
          <w:highlight w:val="none"/>
          <w:lang w:eastAsia="zh-CN"/>
        </w:rPr>
        <w:t>项、“粤字号”农业品牌产品</w:t>
      </w:r>
      <w:r>
        <w:rPr>
          <w:rFonts w:hint="eastAsia" w:ascii="Times New Roman" w:hAnsi="Times New Roman" w:eastAsia="仿宋_GB2312" w:cs="Times New Roman"/>
          <w:b w:val="0"/>
          <w:bCs w:val="0"/>
          <w:strike w:val="0"/>
          <w:dstrike w:val="0"/>
          <w:color w:val="auto"/>
          <w:sz w:val="32"/>
          <w:szCs w:val="32"/>
          <w:highlight w:val="none"/>
          <w:lang w:eastAsia="zh-CN"/>
        </w:rPr>
        <w:t>4</w:t>
      </w:r>
      <w:r>
        <w:rPr>
          <w:rFonts w:hint="eastAsia" w:ascii="仿宋_GB2312" w:hAnsi="仿宋_GB2312" w:eastAsia="仿宋_GB2312" w:cs="仿宋_GB2312"/>
          <w:b w:val="0"/>
          <w:bCs w:val="0"/>
          <w:strike w:val="0"/>
          <w:dstrike w:val="0"/>
          <w:color w:val="auto"/>
          <w:sz w:val="32"/>
          <w:szCs w:val="32"/>
          <w:highlight w:val="none"/>
          <w:lang w:eastAsia="zh-CN"/>
        </w:rPr>
        <w:t>项、粤港澳大湾区“菜篮子”基地</w:t>
      </w:r>
      <w:r>
        <w:rPr>
          <w:rFonts w:hint="eastAsia" w:ascii="Times New Roman" w:hAnsi="Times New Roman" w:eastAsia="仿宋_GB2312" w:cs="Times New Roman"/>
          <w:b w:val="0"/>
          <w:bCs w:val="0"/>
          <w:strike w:val="0"/>
          <w:dstrike w:val="0"/>
          <w:color w:val="auto"/>
          <w:sz w:val="32"/>
          <w:szCs w:val="32"/>
          <w:highlight w:val="none"/>
          <w:lang w:eastAsia="zh-CN"/>
        </w:rPr>
        <w:t>6</w:t>
      </w:r>
      <w:r>
        <w:rPr>
          <w:rFonts w:hint="eastAsia" w:ascii="仿宋_GB2312" w:hAnsi="仿宋_GB2312" w:eastAsia="仿宋_GB2312" w:cs="仿宋_GB2312"/>
          <w:b w:val="0"/>
          <w:bCs w:val="0"/>
          <w:strike w:val="0"/>
          <w:dstrike w:val="0"/>
          <w:color w:val="auto"/>
          <w:sz w:val="32"/>
          <w:szCs w:val="32"/>
          <w:highlight w:val="none"/>
          <w:lang w:eastAsia="zh-CN"/>
        </w:rPr>
        <w:t>个，培育国家级、省级“一镇一业”“一村一品”示范镇村</w:t>
      </w:r>
      <w:r>
        <w:rPr>
          <w:rFonts w:hint="eastAsia" w:ascii="Times New Roman" w:hAnsi="Times New Roman" w:eastAsia="仿宋_GB2312" w:cs="Times New Roman"/>
          <w:b w:val="0"/>
          <w:bCs w:val="0"/>
          <w:strike w:val="0"/>
          <w:dstrike w:val="0"/>
          <w:color w:val="auto"/>
          <w:sz w:val="32"/>
          <w:szCs w:val="32"/>
          <w:highlight w:val="none"/>
          <w:lang w:eastAsia="zh-CN"/>
        </w:rPr>
        <w:t>2</w:t>
      </w:r>
      <w:r>
        <w:rPr>
          <w:rFonts w:hint="eastAsia" w:ascii="仿宋_GB2312" w:hAnsi="仿宋_GB2312" w:eastAsia="仿宋_GB2312" w:cs="仿宋_GB2312"/>
          <w:b w:val="0"/>
          <w:bCs w:val="0"/>
          <w:strike w:val="0"/>
          <w:dstrike w:val="0"/>
          <w:color w:val="auto"/>
          <w:sz w:val="32"/>
          <w:szCs w:val="32"/>
          <w:highlight w:val="none"/>
          <w:lang w:eastAsia="zh-CN"/>
        </w:rPr>
        <w:t>个、省级农业龙头企业</w:t>
      </w:r>
      <w:r>
        <w:rPr>
          <w:rFonts w:hint="eastAsia" w:ascii="Times New Roman" w:hAnsi="Times New Roman" w:eastAsia="仿宋_GB2312" w:cs="Times New Roman"/>
          <w:b w:val="0"/>
          <w:bCs w:val="0"/>
          <w:strike w:val="0"/>
          <w:dstrike w:val="0"/>
          <w:color w:val="auto"/>
          <w:sz w:val="32"/>
          <w:szCs w:val="32"/>
          <w:highlight w:val="none"/>
          <w:lang w:val="en-US" w:eastAsia="zh-CN"/>
        </w:rPr>
        <w:t>4</w:t>
      </w:r>
      <w:r>
        <w:rPr>
          <w:rFonts w:hint="eastAsia" w:ascii="仿宋_GB2312" w:hAnsi="仿宋_GB2312" w:eastAsia="仿宋_GB2312" w:cs="仿宋_GB2312"/>
          <w:b w:val="0"/>
          <w:bCs w:val="0"/>
          <w:strike w:val="0"/>
          <w:dstrike w:val="0"/>
          <w:color w:val="auto"/>
          <w:sz w:val="32"/>
          <w:szCs w:val="32"/>
          <w:highlight w:val="none"/>
          <w:lang w:eastAsia="zh-CN"/>
        </w:rPr>
        <w:t>家。</w:t>
      </w:r>
      <w:r>
        <w:rPr>
          <w:rFonts w:hint="eastAsia" w:ascii="仿宋_GB2312" w:hAnsi="仿宋_GB2312" w:eastAsia="仿宋_GB2312" w:cs="仿宋_GB2312"/>
          <w:b/>
          <w:bCs/>
          <w:strike w:val="0"/>
          <w:dstrike w:val="0"/>
          <w:color w:val="auto"/>
          <w:sz w:val="32"/>
          <w:szCs w:val="32"/>
          <w:highlight w:val="none"/>
        </w:rPr>
        <w:t>典型镇村培育成果突出。</w:t>
      </w:r>
      <w:r>
        <w:rPr>
          <w:rFonts w:hint="eastAsia" w:ascii="仿宋_GB2312" w:hAnsi="仿宋_GB2312" w:eastAsia="仿宋_GB2312" w:cs="仿宋_GB2312"/>
          <w:b w:val="0"/>
          <w:bCs w:val="0"/>
          <w:strike w:val="0"/>
          <w:dstrike w:val="0"/>
          <w:color w:val="auto"/>
          <w:sz w:val="32"/>
          <w:szCs w:val="32"/>
          <w:highlight w:val="none"/>
        </w:rPr>
        <w:t>犁市镇圩镇风貌实现“蝶变”，创新圩镇运营模式，“犁好·犁市”治理理念深入人心</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rPr>
        <w:t>犁市社区入选“全国红色美丽村庄试点”，犁市镇获评省级“百千万工程”专业镇</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rPr>
        <w:t>扎实推进典型村培育工作</w:t>
      </w:r>
      <w:r>
        <w:rPr>
          <w:rFonts w:hint="eastAsia" w:ascii="仿宋_GB2312" w:hAnsi="仿宋_GB2312" w:eastAsia="仿宋_GB2312" w:cs="仿宋_GB2312"/>
          <w:b w:val="0"/>
          <w:bCs w:val="0"/>
          <w:strike w:val="0"/>
          <w:dstrike w:val="0"/>
          <w:color w:val="auto"/>
          <w:sz w:val="32"/>
          <w:szCs w:val="32"/>
          <w:highlight w:val="none"/>
          <w:lang w:eastAsia="zh-CN"/>
        </w:rPr>
        <w:t>，全域实施人居环境整治，建成特色精品村</w:t>
      </w:r>
      <w:r>
        <w:rPr>
          <w:rFonts w:hint="eastAsia" w:ascii="Times New Roman" w:hAnsi="Times New Roman" w:eastAsia="仿宋_GB2312" w:cs="Times New Roman"/>
          <w:b w:val="0"/>
          <w:bCs w:val="0"/>
          <w:strike w:val="0"/>
          <w:dstrike w:val="0"/>
          <w:color w:val="auto"/>
          <w:sz w:val="32"/>
          <w:szCs w:val="32"/>
          <w:highlight w:val="none"/>
          <w:lang w:eastAsia="zh-CN"/>
        </w:rPr>
        <w:t>5</w:t>
      </w:r>
      <w:r>
        <w:rPr>
          <w:rFonts w:hint="eastAsia" w:ascii="仿宋_GB2312" w:hAnsi="仿宋_GB2312" w:eastAsia="仿宋_GB2312" w:cs="仿宋_GB2312"/>
          <w:b w:val="0"/>
          <w:bCs w:val="0"/>
          <w:strike w:val="0"/>
          <w:dstrike w:val="0"/>
          <w:color w:val="auto"/>
          <w:sz w:val="32"/>
          <w:szCs w:val="32"/>
          <w:highlight w:val="none"/>
          <w:lang w:eastAsia="zh-CN"/>
        </w:rPr>
        <w:t>个、美丽宜居村</w:t>
      </w:r>
      <w:r>
        <w:rPr>
          <w:rFonts w:hint="eastAsia" w:ascii="Times New Roman" w:hAnsi="Times New Roman" w:eastAsia="仿宋_GB2312" w:cs="Times New Roman"/>
          <w:b w:val="0"/>
          <w:bCs w:val="0"/>
          <w:strike w:val="0"/>
          <w:dstrike w:val="0"/>
          <w:color w:val="auto"/>
          <w:sz w:val="32"/>
          <w:szCs w:val="32"/>
          <w:highlight w:val="none"/>
          <w:lang w:val="en-US" w:eastAsia="zh-CN"/>
        </w:rPr>
        <w:t>39</w:t>
      </w:r>
      <w:r>
        <w:rPr>
          <w:rFonts w:hint="eastAsia" w:ascii="仿宋_GB2312" w:hAnsi="仿宋_GB2312" w:eastAsia="仿宋_GB2312" w:cs="仿宋_GB2312"/>
          <w:b w:val="0"/>
          <w:bCs w:val="0"/>
          <w:strike w:val="0"/>
          <w:dstrike w:val="0"/>
          <w:color w:val="auto"/>
          <w:sz w:val="32"/>
          <w:szCs w:val="32"/>
          <w:highlight w:val="none"/>
          <w:lang w:eastAsia="zh-CN"/>
        </w:rPr>
        <w:t>个、干净整洁村</w:t>
      </w:r>
      <w:r>
        <w:rPr>
          <w:rFonts w:hint="eastAsia" w:ascii="Times New Roman" w:hAnsi="Times New Roman" w:eastAsia="仿宋_GB2312" w:cs="Times New Roman"/>
          <w:b w:val="0"/>
          <w:bCs w:val="0"/>
          <w:strike w:val="0"/>
          <w:dstrike w:val="0"/>
          <w:color w:val="auto"/>
          <w:sz w:val="32"/>
          <w:szCs w:val="32"/>
          <w:highlight w:val="none"/>
          <w:lang w:eastAsia="zh-CN"/>
        </w:rPr>
        <w:t>48</w:t>
      </w:r>
      <w:r>
        <w:rPr>
          <w:rFonts w:hint="eastAsia" w:ascii="仿宋_GB2312" w:hAnsi="仿宋_GB2312" w:eastAsia="仿宋_GB2312" w:cs="仿宋_GB2312"/>
          <w:b w:val="0"/>
          <w:bCs w:val="0"/>
          <w:strike w:val="0"/>
          <w:dstrike w:val="0"/>
          <w:color w:val="auto"/>
          <w:sz w:val="32"/>
          <w:szCs w:val="32"/>
          <w:highlight w:val="none"/>
          <w:lang w:eastAsia="zh-CN"/>
        </w:rPr>
        <w:t>个，</w:t>
      </w:r>
      <w:r>
        <w:rPr>
          <w:rFonts w:hint="eastAsia" w:ascii="Times New Roman" w:hAnsi="Times New Roman" w:eastAsia="仿宋_GB2312" w:cs="Times New Roman"/>
          <w:b w:val="0"/>
          <w:bCs w:val="0"/>
          <w:strike w:val="0"/>
          <w:dstrike w:val="0"/>
          <w:color w:val="auto"/>
          <w:sz w:val="32"/>
          <w:szCs w:val="32"/>
          <w:highlight w:val="none"/>
          <w:lang w:eastAsia="zh-CN"/>
        </w:rPr>
        <w:t>15</w:t>
      </w:r>
      <w:r>
        <w:rPr>
          <w:rFonts w:hint="eastAsia" w:ascii="仿宋_GB2312" w:hAnsi="仿宋_GB2312" w:eastAsia="仿宋_GB2312" w:cs="仿宋_GB2312"/>
          <w:b w:val="0"/>
          <w:bCs w:val="0"/>
          <w:strike w:val="0"/>
          <w:dstrike w:val="0"/>
          <w:color w:val="auto"/>
          <w:sz w:val="32"/>
          <w:szCs w:val="32"/>
          <w:highlight w:val="none"/>
          <w:lang w:eastAsia="zh-CN"/>
        </w:rPr>
        <w:t>个村荣获省级“卫生村”“乡村治理示范村”称号，实现农村卫生厕所、垃圾处理、污水治理率均达</w:t>
      </w:r>
      <w:r>
        <w:rPr>
          <w:rFonts w:hint="eastAsia" w:ascii="Times New Roman" w:hAnsi="Times New Roman" w:eastAsia="仿宋_GB2312" w:cs="Times New Roman"/>
          <w:b w:val="0"/>
          <w:bCs w:val="0"/>
          <w:strike w:val="0"/>
          <w:dstrike w:val="0"/>
          <w:color w:val="auto"/>
          <w:sz w:val="32"/>
          <w:szCs w:val="32"/>
          <w:highlight w:val="none"/>
          <w:lang w:eastAsia="zh-CN"/>
        </w:rPr>
        <w:t>100%</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bCs/>
          <w:strike w:val="0"/>
          <w:dstrike w:val="0"/>
          <w:color w:val="auto"/>
          <w:sz w:val="32"/>
          <w:szCs w:val="32"/>
          <w:highlight w:val="none"/>
          <w:lang w:eastAsia="zh-CN"/>
        </w:rPr>
        <w:t>镇村</w:t>
      </w:r>
      <w:r>
        <w:rPr>
          <w:rFonts w:hint="eastAsia" w:ascii="仿宋_GB2312" w:hAnsi="仿宋_GB2312" w:eastAsia="仿宋_GB2312" w:cs="仿宋_GB2312"/>
          <w:b/>
          <w:bCs/>
          <w:strike w:val="0"/>
          <w:dstrike w:val="0"/>
          <w:color w:val="auto"/>
          <w:sz w:val="32"/>
          <w:szCs w:val="32"/>
          <w:highlight w:val="none"/>
          <w:lang w:val="en-US" w:eastAsia="zh-CN"/>
        </w:rPr>
        <w:t>运营持续激发动能</w:t>
      </w:r>
      <w:r>
        <w:rPr>
          <w:rFonts w:hint="eastAsia" w:ascii="仿宋_GB2312" w:hAnsi="仿宋_GB2312" w:eastAsia="仿宋_GB2312" w:cs="仿宋_GB2312"/>
          <w:b/>
          <w:bCs/>
          <w:strike w:val="0"/>
          <w:dstrike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lang w:eastAsia="zh-CN"/>
        </w:rPr>
        <w:t>有效发挥</w:t>
      </w:r>
      <w:r>
        <w:rPr>
          <w:rFonts w:hint="eastAsia" w:ascii="仿宋_GB2312" w:hAnsi="仿宋_GB2312" w:eastAsia="仿宋_GB2312" w:cs="仿宋_GB2312"/>
          <w:b w:val="0"/>
          <w:bCs/>
          <w:color w:val="auto"/>
          <w:sz w:val="32"/>
          <w:szCs w:val="32"/>
          <w:highlight w:val="none"/>
          <w:lang w:eastAsia="zh-CN"/>
        </w:rPr>
        <w:t>寮浈对口帮扶协作、央企助力、驻镇帮镇扶村工作队、“双百行动”等帮扶作用，培育壮大乡村富民产业，</w:t>
      </w:r>
      <w:r>
        <w:rPr>
          <w:rFonts w:hint="eastAsia" w:ascii="仿宋_GB2312" w:hAnsi="仿宋_GB2312" w:eastAsia="仿宋_GB2312" w:cs="仿宋_GB2312"/>
          <w:bCs/>
          <w:color w:val="auto"/>
          <w:sz w:val="32"/>
          <w:szCs w:val="32"/>
          <w:highlight w:val="none"/>
          <w:lang w:eastAsia="zh-CN"/>
        </w:rPr>
        <w:t>发展</w:t>
      </w:r>
      <w:r>
        <w:rPr>
          <w:rFonts w:hint="eastAsia" w:ascii="仿宋_GB2312" w:hAnsi="仿宋_GB2312" w:eastAsia="仿宋_GB2312" w:cs="仿宋_GB2312"/>
          <w:bCs/>
          <w:color w:val="auto"/>
          <w:sz w:val="32"/>
          <w:szCs w:val="32"/>
          <w:highlight w:val="none"/>
        </w:rPr>
        <w:t>“强镇富村公司+村集体+农户”模式</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fldChar w:fldCharType="begin"/>
      </w:r>
      <w:r>
        <w:rPr>
          <w:rFonts w:hint="eastAsia" w:ascii="仿宋_GB2312" w:hAnsi="仿宋_GB2312" w:eastAsia="仿宋_GB2312" w:cs="仿宋_GB2312"/>
          <w:b w:val="0"/>
          <w:bCs/>
          <w:color w:val="auto"/>
          <w:sz w:val="32"/>
          <w:szCs w:val="32"/>
          <w:highlight w:val="none"/>
          <w:lang w:val="en-US" w:eastAsia="zh-CN"/>
        </w:rPr>
        <w:instrText xml:space="preserve"> HYPERLINK "http://www.baidu.com/link?url=CtZJSGAMauphqO2PY3AzS68K8dv2tz_dKP5ykYuE-b3tV8Z6bDKfPBSFRwORS1Mz5iiQfDJ-JveBMg4448Q6fORuRl2d0UTI0hzAJ3gZ4DG" \t "https://www.baidu.com/_blank" </w:instrText>
      </w:r>
      <w:r>
        <w:rPr>
          <w:rFonts w:hint="eastAsia" w:ascii="仿宋_GB2312" w:hAnsi="仿宋_GB2312" w:eastAsia="仿宋_GB2312" w:cs="仿宋_GB2312"/>
          <w:b w:val="0"/>
          <w:bCs/>
          <w:color w:val="auto"/>
          <w:sz w:val="32"/>
          <w:szCs w:val="32"/>
          <w:highlight w:val="none"/>
          <w:lang w:val="en-US" w:eastAsia="zh-CN"/>
        </w:rPr>
        <w:fldChar w:fldCharType="separate"/>
      </w:r>
      <w:r>
        <w:rPr>
          <w:rFonts w:hint="eastAsia" w:ascii="仿宋_GB2312" w:hAnsi="仿宋_GB2312" w:eastAsia="仿宋_GB2312" w:cs="仿宋_GB2312"/>
          <w:b w:val="0"/>
          <w:bCs/>
          <w:color w:val="auto"/>
          <w:sz w:val="32"/>
          <w:szCs w:val="32"/>
          <w:highlight w:val="none"/>
          <w:lang w:eastAsia="zh-CN"/>
        </w:rPr>
        <w:t>用“产业兴”带动“村民富”</w:t>
      </w:r>
      <w:r>
        <w:rPr>
          <w:rFonts w:hint="eastAsia" w:ascii="仿宋_GB2312" w:hAnsi="仿宋_GB2312" w:eastAsia="仿宋_GB2312" w:cs="仿宋_GB2312"/>
          <w:b w:val="0"/>
          <w:bCs/>
          <w:color w:val="auto"/>
          <w:sz w:val="32"/>
          <w:szCs w:val="32"/>
          <w:highlight w:val="none"/>
          <w:lang w:val="en-US" w:eastAsia="zh-CN"/>
        </w:rPr>
        <w:fldChar w:fldCharType="end"/>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lang w:eastAsia="zh-CN"/>
        </w:rPr>
        <w:t>建成乡村振兴车间</w:t>
      </w:r>
      <w:r>
        <w:rPr>
          <w:rFonts w:hint="eastAsia" w:ascii="Times New Roman" w:hAnsi="Times New Roman" w:eastAsia="仿宋_GB2312" w:cs="Times New Roman"/>
          <w:b w:val="0"/>
          <w:bCs w:val="0"/>
          <w:strike w:val="0"/>
          <w:dstrike w:val="0"/>
          <w:color w:val="auto"/>
          <w:sz w:val="32"/>
          <w:szCs w:val="32"/>
          <w:highlight w:val="none"/>
          <w:lang w:val="en-US" w:eastAsia="zh-CN"/>
        </w:rPr>
        <w:t>21</w:t>
      </w:r>
      <w:r>
        <w:rPr>
          <w:rFonts w:hint="eastAsia" w:ascii="仿宋_GB2312" w:hAnsi="仿宋_GB2312" w:eastAsia="仿宋_GB2312" w:cs="仿宋_GB2312"/>
          <w:b w:val="0"/>
          <w:bCs w:val="0"/>
          <w:strike w:val="0"/>
          <w:dstrike w:val="0"/>
          <w:color w:val="auto"/>
          <w:sz w:val="32"/>
          <w:szCs w:val="32"/>
          <w:highlight w:val="none"/>
          <w:lang w:eastAsia="zh-CN"/>
        </w:rPr>
        <w:t>个、强镇富村公司</w:t>
      </w:r>
      <w:r>
        <w:rPr>
          <w:rFonts w:hint="eastAsia" w:ascii="Times New Roman" w:hAnsi="Times New Roman" w:eastAsia="仿宋_GB2312" w:cs="Times New Roman"/>
          <w:b w:val="0"/>
          <w:bCs w:val="0"/>
          <w:strike w:val="0"/>
          <w:dstrike w:val="0"/>
          <w:color w:val="auto"/>
          <w:sz w:val="32"/>
          <w:szCs w:val="32"/>
          <w:highlight w:val="none"/>
          <w:lang w:eastAsia="zh-CN"/>
        </w:rPr>
        <w:t>8</w:t>
      </w:r>
      <w:r>
        <w:rPr>
          <w:rFonts w:hint="eastAsia" w:ascii="仿宋_GB2312" w:hAnsi="仿宋_GB2312" w:eastAsia="仿宋_GB2312" w:cs="仿宋_GB2312"/>
          <w:b w:val="0"/>
          <w:bCs w:val="0"/>
          <w:strike w:val="0"/>
          <w:dstrike w:val="0"/>
          <w:color w:val="auto"/>
          <w:sz w:val="32"/>
          <w:szCs w:val="32"/>
          <w:highlight w:val="none"/>
          <w:lang w:eastAsia="zh-CN"/>
        </w:rPr>
        <w:t>家，有效增强村集体经济“造血功能”，实现全区</w:t>
      </w:r>
      <w:r>
        <w:rPr>
          <w:rFonts w:hint="eastAsia" w:ascii="Times New Roman" w:hAnsi="Times New Roman" w:eastAsia="仿宋_GB2312" w:cs="Times New Roman"/>
          <w:b w:val="0"/>
          <w:bCs w:val="0"/>
          <w:strike w:val="0"/>
          <w:dstrike w:val="0"/>
          <w:color w:val="auto"/>
          <w:sz w:val="32"/>
          <w:szCs w:val="32"/>
          <w:highlight w:val="none"/>
          <w:lang w:eastAsia="zh-CN"/>
        </w:rPr>
        <w:t>48</w:t>
      </w:r>
      <w:r>
        <w:rPr>
          <w:rFonts w:hint="eastAsia" w:ascii="仿宋_GB2312" w:hAnsi="仿宋_GB2312" w:eastAsia="仿宋_GB2312" w:cs="仿宋_GB2312"/>
          <w:b w:val="0"/>
          <w:bCs w:val="0"/>
          <w:strike w:val="0"/>
          <w:dstrike w:val="0"/>
          <w:color w:val="auto"/>
          <w:sz w:val="32"/>
          <w:szCs w:val="32"/>
          <w:highlight w:val="none"/>
          <w:lang w:eastAsia="zh-CN"/>
        </w:rPr>
        <w:t>个行政村</w:t>
      </w:r>
      <w:r>
        <w:rPr>
          <w:rFonts w:hint="eastAsia" w:ascii="仿宋_GB2312" w:hAnsi="仿宋_GB2312" w:cs="仿宋_GB2312"/>
          <w:b w:val="0"/>
          <w:bCs w:val="0"/>
          <w:strike w:val="0"/>
          <w:dstrike w:val="0"/>
          <w:color w:val="auto"/>
          <w:sz w:val="32"/>
          <w:szCs w:val="32"/>
          <w:highlight w:val="none"/>
          <w:lang w:eastAsia="zh-CN"/>
        </w:rPr>
        <w:t>年均村</w:t>
      </w:r>
      <w:r>
        <w:rPr>
          <w:rFonts w:hint="eastAsia" w:ascii="仿宋_GB2312" w:hAnsi="仿宋_GB2312" w:eastAsia="仿宋_GB2312" w:cs="仿宋_GB2312"/>
          <w:b w:val="0"/>
          <w:bCs w:val="0"/>
          <w:strike w:val="0"/>
          <w:dstrike w:val="0"/>
          <w:color w:val="auto"/>
          <w:sz w:val="32"/>
          <w:szCs w:val="32"/>
          <w:highlight w:val="none"/>
          <w:lang w:eastAsia="zh-CN"/>
        </w:rPr>
        <w:t>集体经营性收入</w:t>
      </w:r>
      <w:r>
        <w:rPr>
          <w:rFonts w:hint="eastAsia" w:ascii="仿宋_GB2312" w:hAnsi="仿宋_GB2312" w:cs="仿宋_GB2312"/>
          <w:b w:val="0"/>
          <w:bCs w:val="0"/>
          <w:strike w:val="0"/>
          <w:dstrike w:val="0"/>
          <w:color w:val="auto"/>
          <w:sz w:val="32"/>
          <w:szCs w:val="32"/>
          <w:highlight w:val="none"/>
          <w:lang w:eastAsia="zh-CN"/>
        </w:rPr>
        <w:t>达</w:t>
      </w:r>
      <w:r>
        <w:rPr>
          <w:rFonts w:hint="eastAsia" w:ascii="仿宋_GB2312" w:hAnsi="仿宋_GB2312" w:cs="仿宋_GB2312"/>
          <w:b w:val="0"/>
          <w:bCs w:val="0"/>
          <w:strike w:val="0"/>
          <w:dstrike w:val="0"/>
          <w:color w:val="auto"/>
          <w:sz w:val="32"/>
          <w:szCs w:val="32"/>
          <w:highlight w:val="none"/>
          <w:lang w:val="en-US" w:eastAsia="zh-CN"/>
        </w:rPr>
        <w:t>158</w:t>
      </w:r>
      <w:r>
        <w:rPr>
          <w:rFonts w:hint="eastAsia" w:ascii="仿宋_GB2312" w:hAnsi="仿宋_GB2312" w:eastAsia="仿宋_GB2312" w:cs="仿宋_GB2312"/>
          <w:b w:val="0"/>
          <w:bCs w:val="0"/>
          <w:strike w:val="0"/>
          <w:dstrike w:val="0"/>
          <w:color w:val="auto"/>
          <w:sz w:val="32"/>
          <w:szCs w:val="32"/>
          <w:highlight w:val="none"/>
          <w:lang w:eastAsia="zh-CN"/>
        </w:rPr>
        <w:t>万元。</w:t>
      </w:r>
    </w:p>
    <w:p w14:paraId="1B1AAAFA">
      <w:pPr>
        <w:pStyle w:val="10"/>
        <w:shd w:val="clear"/>
        <w:kinsoku/>
        <w:ind w:firstLine="643"/>
        <w:rPr>
          <w:rFonts w:hint="eastAsia" w:ascii="仿宋_GB2312" w:hAnsi="仿宋_GB2312" w:eastAsia="仿宋_GB2312" w:cs="仿宋_GB2312"/>
          <w:b w:val="0"/>
          <w:bCs w:val="0"/>
          <w:strike w:val="0"/>
          <w:dstrike w:val="0"/>
          <w:color w:val="auto"/>
          <w:sz w:val="32"/>
          <w:szCs w:val="32"/>
          <w:highlight w:val="none"/>
          <w:lang w:eastAsia="zh-CN"/>
        </w:rPr>
      </w:pPr>
    </w:p>
    <w:p w14:paraId="1F55DB4D">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rPr>
      </w:pPr>
    </w:p>
    <w:p w14:paraId="71819563">
      <w:pPr>
        <w:keepNext w:val="0"/>
        <w:keepLines w:val="0"/>
        <w:pageBreakBefore w:val="0"/>
        <w:widowControl/>
        <w:kinsoku/>
        <w:wordWrap/>
        <w:overflowPunct/>
        <w:topLinePunct w:val="0"/>
        <w:autoSpaceDE w:val="0"/>
        <w:autoSpaceDN w:val="0"/>
        <w:bidi w:val="0"/>
        <w:adjustRightInd w:val="0"/>
        <w:snapToGrid w:val="0"/>
        <w:spacing w:before="0" w:beforeLines="50" w:line="240" w:lineRule="auto"/>
        <w:ind w:firstLine="0" w:firstLineChars="0"/>
        <w:jc w:val="center"/>
        <w:textAlignment w:val="baseline"/>
        <w:rPr>
          <w:rFonts w:hint="eastAsia" w:ascii="楷体_GB2312" w:hAnsi="楷体_GB2312" w:eastAsia="楷体_GB2312" w:cs="楷体_GB2312"/>
          <w:color w:val="auto"/>
          <w:sz w:val="28"/>
          <w:szCs w:val="22"/>
          <w:highlight w:val="none"/>
          <w:lang w:eastAsia="zh-CN"/>
        </w:rPr>
      </w:pPr>
      <w:r>
        <w:rPr>
          <w:rFonts w:hint="eastAsia" w:ascii="楷体_GB2312" w:hAnsi="楷体_GB2312" w:eastAsia="楷体_GB2312" w:cs="楷体_GB2312"/>
          <w:color w:val="auto"/>
          <w:sz w:val="28"/>
          <w:szCs w:val="22"/>
          <w:highlight w:val="none"/>
        </w:rPr>
        <w:t>图</w:t>
      </w:r>
      <w:r>
        <w:rPr>
          <w:rFonts w:hint="eastAsia" w:ascii="楷体_GB2312" w:hAnsi="楷体_GB2312" w:eastAsia="楷体_GB2312" w:cs="楷体_GB2312"/>
          <w:color w:val="auto"/>
          <w:sz w:val="28"/>
          <w:szCs w:val="22"/>
          <w:highlight w:val="none"/>
          <w:lang w:val="en-US" w:eastAsia="zh-CN"/>
        </w:rPr>
        <w:t>7</w:t>
      </w:r>
      <w:r>
        <w:rPr>
          <w:rFonts w:hint="eastAsia" w:ascii="楷体_GB2312" w:hAnsi="楷体_GB2312" w:eastAsia="楷体_GB2312" w:cs="楷体_GB2312"/>
          <w:color w:val="auto"/>
          <w:sz w:val="28"/>
          <w:szCs w:val="22"/>
          <w:highlight w:val="none"/>
        </w:rPr>
        <w:t xml:space="preserve">  </w:t>
      </w:r>
      <w:r>
        <w:rPr>
          <w:rFonts w:hint="eastAsia" w:ascii="楷体_GB2312" w:hAnsi="楷体_GB2312" w:eastAsia="楷体_GB2312" w:cs="楷体_GB2312"/>
          <w:color w:val="auto"/>
          <w:sz w:val="28"/>
          <w:szCs w:val="22"/>
          <w:highlight w:val="none"/>
          <w:lang w:val="en-US" w:eastAsia="zh-CN"/>
        </w:rPr>
        <w:t>浈江区</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0</w:t>
      </w:r>
      <w:r>
        <w:rPr>
          <w:rFonts w:hint="eastAsia" w:ascii="楷体_GB2312" w:hAnsi="楷体_GB2312" w:eastAsia="楷体_GB2312" w:cs="楷体_GB2312"/>
          <w:color w:val="auto"/>
          <w:sz w:val="28"/>
          <w:szCs w:val="22"/>
          <w:highlight w:val="none"/>
        </w:rPr>
        <w:t>-</w:t>
      </w:r>
      <w:r>
        <w:rPr>
          <w:rFonts w:hint="eastAsia" w:ascii="Times New Roman" w:hAnsi="Times New Roman" w:eastAsia="楷体_GB2312" w:cs="Times New Roman"/>
          <w:color w:val="auto"/>
          <w:sz w:val="28"/>
          <w:szCs w:val="22"/>
          <w:highlight w:val="none"/>
          <w:lang w:eastAsia="zh-CN"/>
        </w:rPr>
        <w:t>202</w:t>
      </w:r>
      <w:r>
        <w:rPr>
          <w:rFonts w:hint="eastAsia" w:ascii="Times New Roman" w:hAnsi="Times New Roman" w:eastAsia="楷体_GB2312" w:cs="Times New Roman"/>
          <w:color w:val="auto"/>
          <w:sz w:val="28"/>
          <w:szCs w:val="22"/>
          <w:highlight w:val="none"/>
          <w:lang w:val="en-US" w:eastAsia="zh-CN"/>
        </w:rPr>
        <w:t>5</w:t>
      </w:r>
      <w:r>
        <w:rPr>
          <w:rFonts w:hint="eastAsia" w:ascii="楷体_GB2312" w:hAnsi="楷体_GB2312" w:eastAsia="楷体_GB2312" w:cs="楷体_GB2312"/>
          <w:color w:val="auto"/>
          <w:sz w:val="28"/>
          <w:szCs w:val="22"/>
          <w:highlight w:val="none"/>
        </w:rPr>
        <w:t>年常住人口城镇化率</w:t>
      </w:r>
      <w:r>
        <w:rPr>
          <w:rFonts w:hint="eastAsia" w:ascii="楷体_GB2312" w:hAnsi="楷体_GB2312" w:eastAsia="楷体_GB2312" w:cs="楷体_GB2312"/>
          <w:color w:val="auto"/>
          <w:sz w:val="28"/>
          <w:szCs w:val="22"/>
          <w:highlight w:val="none"/>
          <w:lang w:eastAsia="zh-CN"/>
        </w:rPr>
        <w:t>（</w:t>
      </w:r>
      <w:r>
        <w:rPr>
          <w:rFonts w:hint="eastAsia" w:ascii="楷体_GB2312" w:hAnsi="楷体_GB2312" w:eastAsia="楷体_GB2312" w:cs="楷体_GB2312"/>
          <w:color w:val="auto"/>
          <w:sz w:val="28"/>
          <w:szCs w:val="22"/>
          <w:highlight w:val="none"/>
        </w:rPr>
        <w:t>单位：</w:t>
      </w:r>
      <w:r>
        <w:rPr>
          <w:rFonts w:hint="eastAsia" w:ascii="Times New Roman" w:hAnsi="Times New Roman" w:eastAsia="楷体_GB2312" w:cs="Times New Roman"/>
          <w:color w:val="auto"/>
          <w:sz w:val="28"/>
          <w:szCs w:val="22"/>
          <w:highlight w:val="none"/>
          <w:lang w:eastAsia="zh-CN"/>
        </w:rPr>
        <w:t>%</w:t>
      </w:r>
      <w:r>
        <w:rPr>
          <w:rFonts w:hint="eastAsia" w:ascii="楷体_GB2312" w:hAnsi="楷体_GB2312" w:eastAsia="楷体_GB2312" w:cs="楷体_GB2312"/>
          <w:color w:val="auto"/>
          <w:sz w:val="28"/>
          <w:szCs w:val="22"/>
          <w:highlight w:val="none"/>
          <w:lang w:eastAsia="zh-CN"/>
        </w:rPr>
        <w:t>）</w:t>
      </w:r>
    </w:p>
    <w:p w14:paraId="063001DE">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textAlignment w:val="baseline"/>
        <w:rPr>
          <w:rFonts w:hint="eastAsia" w:ascii="仿宋_GB2312" w:hAnsi="仿宋_GB2312" w:eastAsia="仿宋_GB2312" w:cs="仿宋_GB2312"/>
          <w:b w:val="0"/>
          <w:bCs w:val="0"/>
          <w:strike w:val="0"/>
          <w:dstrike w:val="0"/>
          <w:color w:val="auto"/>
          <w:sz w:val="32"/>
          <w:szCs w:val="32"/>
          <w:highlight w:val="none"/>
          <w:lang w:eastAsia="zh-CN"/>
        </w:rPr>
      </w:pPr>
      <w:r>
        <w:rPr>
          <w:color w:val="auto"/>
          <w:highlight w:val="none"/>
        </w:rPr>
        <w:drawing>
          <wp:inline distT="0" distB="0" distL="114300" distR="114300">
            <wp:extent cx="5796280" cy="2352675"/>
            <wp:effectExtent l="4445" t="4445" r="15875" b="508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ABA5DE">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p>
    <w:p w14:paraId="5F6A87D7">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p>
    <w:p w14:paraId="709411B5">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六、文化浈江底蕴日益深厚</w:t>
      </w:r>
    </w:p>
    <w:p w14:paraId="312D62AA">
      <w:pPr>
        <w:shd w:val="clear"/>
        <w:kinsoku/>
        <w:bidi w:val="0"/>
        <w:ind w:firstLine="64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精神文明建设取得实效。</w:t>
      </w:r>
      <w:r>
        <w:rPr>
          <w:rFonts w:hint="eastAsia" w:ascii="仿宋_GB2312" w:hAnsi="仿宋_GB2312" w:eastAsia="仿宋_GB2312" w:cs="仿宋_GB2312"/>
          <w:b w:val="0"/>
          <w:bCs w:val="0"/>
          <w:strike w:val="0"/>
          <w:dstrike w:val="0"/>
          <w:color w:val="auto"/>
          <w:sz w:val="32"/>
          <w:szCs w:val="32"/>
          <w:highlight w:val="none"/>
          <w:lang w:val="en-US" w:eastAsia="zh-CN"/>
        </w:rPr>
        <w:t>作为全市创建全国文明城市的主战场和主力军，大力推行区领导督导帮扶基层创文、“网格化”挂点帮扶工作机制</w:t>
      </w:r>
      <w:r>
        <w:rPr>
          <w:rFonts w:hint="eastAsia" w:ascii="仿宋_GB2312" w:hAnsi="仿宋_GB2312" w:cs="仿宋_GB2312"/>
          <w:b w:val="0"/>
          <w:bCs w:val="0"/>
          <w:strike w:val="0"/>
          <w:dstrike w:val="0"/>
          <w:color w:val="auto"/>
          <w:sz w:val="32"/>
          <w:szCs w:val="32"/>
          <w:highlight w:val="none"/>
          <w:lang w:val="en-US" w:eastAsia="zh-CN"/>
        </w:rPr>
        <w:t>，</w:t>
      </w:r>
      <w:r>
        <w:rPr>
          <w:rFonts w:hint="eastAsia" w:ascii="仿宋_GB2312" w:hAnsi="仿宋_GB2312" w:eastAsia="仿宋_GB2312" w:cs="仿宋_GB2312"/>
          <w:b w:val="0"/>
          <w:bCs w:val="0"/>
          <w:strike w:val="0"/>
          <w:dstrike w:val="0"/>
          <w:color w:val="auto"/>
          <w:sz w:val="32"/>
          <w:szCs w:val="32"/>
          <w:highlight w:val="none"/>
          <w:lang w:val="en-US" w:eastAsia="zh-CN"/>
        </w:rPr>
        <w:t>为韶关成功荣获“全国文明城市”称号作出</w:t>
      </w:r>
      <w:r>
        <w:rPr>
          <w:rFonts w:hint="eastAsia" w:ascii="仿宋_GB2312" w:hAnsi="仿宋_GB2312" w:cs="仿宋_GB2312"/>
          <w:b w:val="0"/>
          <w:bCs w:val="0"/>
          <w:strike w:val="0"/>
          <w:dstrike w:val="0"/>
          <w:color w:val="auto"/>
          <w:sz w:val="32"/>
          <w:szCs w:val="32"/>
          <w:highlight w:val="none"/>
          <w:lang w:val="en-US" w:eastAsia="zh-CN"/>
        </w:rPr>
        <w:t>积极</w:t>
      </w:r>
      <w:r>
        <w:rPr>
          <w:rFonts w:hint="eastAsia" w:ascii="仿宋_GB2312" w:hAnsi="仿宋_GB2312" w:eastAsia="仿宋_GB2312" w:cs="仿宋_GB2312"/>
          <w:b w:val="0"/>
          <w:bCs w:val="0"/>
          <w:strike w:val="0"/>
          <w:dstrike w:val="0"/>
          <w:color w:val="auto"/>
          <w:sz w:val="32"/>
          <w:szCs w:val="32"/>
          <w:highlight w:val="none"/>
          <w:lang w:val="en-US" w:eastAsia="zh-CN"/>
        </w:rPr>
        <w:t>贡献</w:t>
      </w:r>
      <w:r>
        <w:rPr>
          <w:rFonts w:hint="eastAsia" w:cs="仿宋_GB2312"/>
          <w:strike w:val="0"/>
          <w:dstrike w:val="0"/>
          <w:color w:val="auto"/>
          <w:sz w:val="32"/>
          <w:szCs w:val="32"/>
          <w:highlight w:val="none"/>
          <w:lang w:val="en-US" w:eastAsia="zh-CN"/>
        </w:rPr>
        <w:t>。</w:t>
      </w:r>
      <w:r>
        <w:rPr>
          <w:rFonts w:hint="eastAsia" w:ascii="仿宋_GB2312" w:hAnsi="仿宋_GB2312" w:eastAsia="仿宋_GB2312" w:cs="仿宋_GB2312"/>
          <w:b/>
          <w:bCs/>
          <w:strike w:val="0"/>
          <w:dstrike w:val="0"/>
          <w:color w:val="auto"/>
          <w:sz w:val="32"/>
          <w:szCs w:val="32"/>
          <w:highlight w:val="none"/>
          <w:lang w:val="en-US" w:eastAsia="zh-CN"/>
        </w:rPr>
        <w:t>文化传承保护</w:t>
      </w:r>
      <w:r>
        <w:rPr>
          <w:rFonts w:hint="eastAsia" w:cs="仿宋_GB2312"/>
          <w:b/>
          <w:bCs/>
          <w:strike w:val="0"/>
          <w:dstrike w:val="0"/>
          <w:color w:val="auto"/>
          <w:sz w:val="32"/>
          <w:szCs w:val="32"/>
          <w:highlight w:val="none"/>
          <w:lang w:val="en-US" w:eastAsia="zh-CN"/>
        </w:rPr>
        <w:t>与活化利用</w:t>
      </w:r>
      <w:r>
        <w:rPr>
          <w:rFonts w:hint="eastAsia" w:ascii="仿宋_GB2312" w:hAnsi="仿宋_GB2312" w:eastAsia="仿宋_GB2312" w:cs="仿宋_GB2312"/>
          <w:b/>
          <w:bCs/>
          <w:strike w:val="0"/>
          <w:dstrike w:val="0"/>
          <w:color w:val="auto"/>
          <w:sz w:val="32"/>
          <w:szCs w:val="32"/>
          <w:highlight w:val="none"/>
          <w:lang w:val="en-US" w:eastAsia="zh-CN"/>
        </w:rPr>
        <w:t>成果丰硕。</w:t>
      </w:r>
      <w:r>
        <w:rPr>
          <w:rFonts w:hint="eastAsia" w:ascii="仿宋_GB2312" w:hAnsi="仿宋_GB2312" w:eastAsia="仿宋_GB2312" w:cs="仿宋_GB2312"/>
          <w:strike w:val="0"/>
          <w:dstrike w:val="0"/>
          <w:color w:val="auto"/>
          <w:sz w:val="32"/>
          <w:szCs w:val="32"/>
          <w:highlight w:val="none"/>
          <w:lang w:val="en-US" w:eastAsia="zh-CN"/>
        </w:rPr>
        <w:t>完成全区</w:t>
      </w:r>
      <w:r>
        <w:rPr>
          <w:rFonts w:hint="eastAsia" w:ascii="Times New Roman" w:hAnsi="Times New Roman" w:cs="Times New Roman"/>
          <w:strike w:val="0"/>
          <w:dstrike w:val="0"/>
          <w:color w:val="auto"/>
          <w:sz w:val="32"/>
          <w:szCs w:val="32"/>
          <w:highlight w:val="none"/>
          <w:lang w:val="en-US" w:eastAsia="zh-CN"/>
        </w:rPr>
        <w:t>199</w:t>
      </w:r>
      <w:r>
        <w:rPr>
          <w:rFonts w:hint="eastAsia" w:ascii="仿宋_GB2312" w:hAnsi="仿宋_GB2312" w:eastAsia="仿宋_GB2312" w:cs="仿宋_GB2312"/>
          <w:strike w:val="0"/>
          <w:dstrike w:val="0"/>
          <w:color w:val="auto"/>
          <w:sz w:val="32"/>
          <w:szCs w:val="32"/>
          <w:highlight w:val="none"/>
          <w:lang w:val="en-US" w:eastAsia="zh-CN"/>
        </w:rPr>
        <w:t>处不可移动文物实地复查和数字化建档，打造“省、市、区”三级名录齐全的浈江非遗名录</w:t>
      </w:r>
      <w:r>
        <w:rPr>
          <w:rFonts w:hint="eastAsia"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“浈江张氏木雕艺术”代表性传承人入选韶关市第七批市级非物质文化遗产项目代表性传承人名录</w:t>
      </w:r>
      <w:r>
        <w:rPr>
          <w:rFonts w:hint="eastAsia"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实现对隆盛酱油酿造技艺等非物质文化遗产的创造性转化</w:t>
      </w:r>
      <w:r>
        <w:rPr>
          <w:rFonts w:hint="eastAsia"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成功打造广富新街</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升平路省级历史文化街区</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华南教育历史研学基地（大村）、省委旧址等红色地标保护利用水平全面提升。</w:t>
      </w:r>
      <w:r>
        <w:rPr>
          <w:rFonts w:hint="eastAsia" w:ascii="仿宋_GB2312" w:hAnsi="仿宋_GB2312" w:eastAsia="仿宋_GB2312" w:cs="仿宋_GB2312"/>
          <w:b/>
          <w:bCs/>
          <w:strike w:val="0"/>
          <w:dstrike w:val="0"/>
          <w:color w:val="auto"/>
          <w:sz w:val="32"/>
          <w:szCs w:val="32"/>
          <w:highlight w:val="none"/>
          <w:lang w:val="en-US" w:eastAsia="zh-CN"/>
        </w:rPr>
        <w:t>公共文化服务提质增效。</w:t>
      </w:r>
      <w:r>
        <w:rPr>
          <w:rFonts w:hint="eastAsia" w:ascii="仿宋_GB2312" w:hAnsi="仿宋_GB2312" w:eastAsia="仿宋_GB2312" w:cs="仿宋_GB2312"/>
          <w:strike w:val="0"/>
          <w:dstrike w:val="0"/>
          <w:color w:val="auto"/>
          <w:sz w:val="32"/>
          <w:szCs w:val="32"/>
          <w:highlight w:val="none"/>
          <w:lang w:val="en-US" w:eastAsia="zh-CN"/>
        </w:rPr>
        <w:t>区图书馆、文化馆、博物馆、工人文化宫等全面建成，区文化馆</w:t>
      </w:r>
      <w:r>
        <w:rPr>
          <w:rFonts w:hint="eastAsia" w:cs="仿宋_GB2312"/>
          <w:strike w:val="0"/>
          <w:dstrike w:val="0"/>
          <w:color w:val="auto"/>
          <w:sz w:val="32"/>
          <w:szCs w:val="32"/>
          <w:highlight w:val="none"/>
          <w:lang w:val="en-US" w:eastAsia="zh-CN"/>
        </w:rPr>
        <w:t>获评</w:t>
      </w:r>
      <w:r>
        <w:rPr>
          <w:rFonts w:hint="eastAsia" w:ascii="仿宋_GB2312" w:hAnsi="仿宋_GB2312" w:eastAsia="仿宋_GB2312" w:cs="仿宋_GB2312"/>
          <w:strike w:val="0"/>
          <w:dstrike w:val="0"/>
          <w:color w:val="auto"/>
          <w:sz w:val="32"/>
          <w:szCs w:val="32"/>
          <w:highlight w:val="none"/>
          <w:lang w:val="en-US" w:eastAsia="zh-CN"/>
        </w:rPr>
        <w:t>“国家一级文化馆”，区图书馆</w:t>
      </w:r>
      <w:r>
        <w:rPr>
          <w:rFonts w:hint="eastAsia" w:cs="仿宋_GB2312"/>
          <w:strike w:val="0"/>
          <w:dstrike w:val="0"/>
          <w:color w:val="auto"/>
          <w:sz w:val="32"/>
          <w:szCs w:val="32"/>
          <w:highlight w:val="none"/>
          <w:lang w:val="en-US" w:eastAsia="zh-CN"/>
        </w:rPr>
        <w:t>获评</w:t>
      </w:r>
      <w:r>
        <w:rPr>
          <w:rFonts w:hint="eastAsia" w:ascii="仿宋_GB2312" w:hAnsi="仿宋_GB2312" w:eastAsia="仿宋_GB2312" w:cs="仿宋_GB2312"/>
          <w:strike w:val="0"/>
          <w:dstrike w:val="0"/>
          <w:color w:val="auto"/>
          <w:sz w:val="32"/>
          <w:szCs w:val="32"/>
          <w:highlight w:val="none"/>
          <w:lang w:val="en-US" w:eastAsia="zh-CN"/>
        </w:rPr>
        <w:t>“国家二级图书馆”，完成</w:t>
      </w:r>
      <w:r>
        <w:rPr>
          <w:rFonts w:hint="eastAsia" w:ascii="Times New Roman" w:hAnsi="Times New Roman" w:cs="Times New Roman"/>
          <w:strike w:val="0"/>
          <w:dstrike w:val="0"/>
          <w:color w:val="auto"/>
          <w:sz w:val="32"/>
          <w:szCs w:val="32"/>
          <w:highlight w:val="none"/>
          <w:lang w:val="en-US" w:eastAsia="zh-CN"/>
        </w:rPr>
        <w:t>77</w:t>
      </w:r>
      <w:r>
        <w:rPr>
          <w:rFonts w:hint="eastAsia" w:ascii="仿宋_GB2312" w:hAnsi="仿宋_GB2312" w:eastAsia="仿宋_GB2312" w:cs="仿宋_GB2312"/>
          <w:strike w:val="0"/>
          <w:dstrike w:val="0"/>
          <w:color w:val="auto"/>
          <w:sz w:val="32"/>
          <w:szCs w:val="32"/>
          <w:highlight w:val="none"/>
          <w:lang w:val="en-US" w:eastAsia="zh-CN"/>
        </w:rPr>
        <w:t>个行政村（社区）综合性文化服务中心提质增效达标工作，获评省乡镇（街道）综合文化站特级站</w:t>
      </w:r>
      <w:r>
        <w:rPr>
          <w:rFonts w:hint="eastAsia" w:ascii="Times New Roman" w:hAnsi="Times New Roman" w:cs="Times New Roman"/>
          <w:strike w:val="0"/>
          <w:dstrike w:val="0"/>
          <w:color w:val="auto"/>
          <w:sz w:val="32"/>
          <w:szCs w:val="32"/>
          <w:highlight w:val="none"/>
          <w:lang w:val="en-US" w:eastAsia="zh-CN"/>
        </w:rPr>
        <w:t>1</w:t>
      </w:r>
      <w:r>
        <w:rPr>
          <w:rFonts w:hint="eastAsia" w:ascii="仿宋_GB2312" w:hAnsi="仿宋_GB2312" w:eastAsia="仿宋_GB2312" w:cs="仿宋_GB2312"/>
          <w:strike w:val="0"/>
          <w:dstrike w:val="0"/>
          <w:color w:val="auto"/>
          <w:sz w:val="32"/>
          <w:szCs w:val="32"/>
          <w:highlight w:val="none"/>
          <w:lang w:val="en-US" w:eastAsia="zh-CN"/>
        </w:rPr>
        <w:t>个、一级站</w:t>
      </w:r>
      <w:r>
        <w:rPr>
          <w:rFonts w:hint="eastAsia" w:ascii="Times New Roman" w:hAnsi="Times New Roman" w:cs="Times New Roman"/>
          <w:strike w:val="0"/>
          <w:dstrike w:val="0"/>
          <w:color w:val="auto"/>
          <w:sz w:val="32"/>
          <w:szCs w:val="32"/>
          <w:highlight w:val="none"/>
          <w:lang w:val="en-US" w:eastAsia="zh-CN"/>
        </w:rPr>
        <w:t>5</w:t>
      </w:r>
      <w:r>
        <w:rPr>
          <w:rFonts w:hint="eastAsia" w:ascii="仿宋_GB2312" w:hAnsi="仿宋_GB2312" w:eastAsia="仿宋_GB2312" w:cs="仿宋_GB2312"/>
          <w:strike w:val="0"/>
          <w:dstrike w:val="0"/>
          <w:color w:val="auto"/>
          <w:sz w:val="32"/>
          <w:szCs w:val="32"/>
          <w:highlight w:val="none"/>
          <w:lang w:val="en-US" w:eastAsia="zh-CN"/>
        </w:rPr>
        <w:t>个，基本形成“城市十分钟文化圈”“乡村十里文化圈”。</w:t>
      </w:r>
      <w:r>
        <w:rPr>
          <w:rFonts w:hint="eastAsia" w:ascii="仿宋_GB2312" w:hAnsi="仿宋_GB2312" w:cs="仿宋_GB2312"/>
          <w:b/>
          <w:bCs/>
          <w:strike w:val="0"/>
          <w:dstrike w:val="0"/>
          <w:color w:val="auto"/>
          <w:sz w:val="32"/>
          <w:szCs w:val="32"/>
          <w:highlight w:val="none"/>
          <w:lang w:val="en-US" w:eastAsia="zh-CN"/>
        </w:rPr>
        <w:t>农</w:t>
      </w:r>
      <w:r>
        <w:rPr>
          <w:rFonts w:hint="eastAsia" w:ascii="仿宋_GB2312" w:hAnsi="仿宋_GB2312" w:eastAsia="仿宋_GB2312" w:cs="仿宋_GB2312"/>
          <w:b/>
          <w:bCs/>
          <w:strike w:val="0"/>
          <w:dstrike w:val="0"/>
          <w:color w:val="auto"/>
          <w:sz w:val="32"/>
          <w:szCs w:val="32"/>
          <w:highlight w:val="none"/>
          <w:lang w:val="en-US" w:eastAsia="zh-CN"/>
        </w:rPr>
        <w:t>文旅融合发展深入推进。</w:t>
      </w:r>
      <w:r>
        <w:rPr>
          <w:rFonts w:hint="eastAsia" w:ascii="仿宋_GB2312" w:hAnsi="仿宋_GB2312" w:eastAsia="仿宋_GB2312" w:cs="仿宋_GB2312"/>
          <w:strike w:val="0"/>
          <w:dstrike w:val="0"/>
          <w:color w:val="auto"/>
          <w:sz w:val="32"/>
          <w:szCs w:val="32"/>
          <w:highlight w:val="none"/>
          <w:lang w:val="en-US" w:eastAsia="zh-CN"/>
        </w:rPr>
        <w:t>成功打造“古韵韶城·风采浈江”文旅品牌，策划推广</w:t>
      </w:r>
      <w:r>
        <w:rPr>
          <w:rFonts w:hint="eastAsia" w:ascii="Times New Roman" w:hAnsi="Times New Roman" w:cs="Times New Roman"/>
          <w:strike w:val="0"/>
          <w:dstrike w:val="0"/>
          <w:color w:val="auto"/>
          <w:sz w:val="32"/>
          <w:szCs w:val="32"/>
          <w:highlight w:val="none"/>
          <w:lang w:val="en-US" w:eastAsia="zh-CN"/>
        </w:rPr>
        <w:t>3</w:t>
      </w:r>
      <w:r>
        <w:rPr>
          <w:rFonts w:hint="eastAsia" w:ascii="仿宋_GB2312" w:hAnsi="仿宋_GB2312" w:eastAsia="仿宋_GB2312" w:cs="仿宋_GB2312"/>
          <w:strike w:val="0"/>
          <w:dstrike w:val="0"/>
          <w:color w:val="auto"/>
          <w:sz w:val="32"/>
          <w:szCs w:val="32"/>
          <w:highlight w:val="none"/>
          <w:lang w:val="en-US" w:eastAsia="zh-CN"/>
        </w:rPr>
        <w:t>条乡村振兴示范带和</w:t>
      </w:r>
      <w:r>
        <w:rPr>
          <w:rFonts w:hint="eastAsia" w:ascii="Times New Roman" w:hAnsi="Times New Roman" w:cs="Times New Roman"/>
          <w:strike w:val="0"/>
          <w:dstrike w:val="0"/>
          <w:color w:val="auto"/>
          <w:sz w:val="32"/>
          <w:szCs w:val="32"/>
          <w:highlight w:val="none"/>
          <w:lang w:val="en-US" w:eastAsia="zh-CN"/>
        </w:rPr>
        <w:t>5</w:t>
      </w:r>
      <w:r>
        <w:rPr>
          <w:rFonts w:hint="eastAsia" w:ascii="仿宋_GB2312" w:hAnsi="仿宋_GB2312" w:eastAsia="仿宋_GB2312" w:cs="仿宋_GB2312"/>
          <w:strike w:val="0"/>
          <w:dstrike w:val="0"/>
          <w:color w:val="auto"/>
          <w:sz w:val="32"/>
          <w:szCs w:val="32"/>
          <w:highlight w:val="none"/>
          <w:lang w:val="en-US" w:eastAsia="zh-CN"/>
        </w:rPr>
        <w:t>条农文旅精品游径，创新打造韶关市首个区域公共手信品牌“新韶九章”，推出黄铜书签等特色文创产品和“朝天子”辣椒酱等农特产品。发挥环丹霞山片区的发展优势，谋划一批农文旅融合发展项目，打造阅丹公路为“广东省十大最美农村路”</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cs="仿宋_GB2312"/>
          <w:b/>
          <w:bCs/>
          <w:strike w:val="0"/>
          <w:dstrike w:val="0"/>
          <w:color w:val="auto"/>
          <w:sz w:val="32"/>
          <w:szCs w:val="32"/>
          <w:highlight w:val="none"/>
          <w:lang w:val="en-US" w:eastAsia="zh-CN"/>
        </w:rPr>
        <w:t>体育惠民水平逐步提升。</w:t>
      </w:r>
      <w:r>
        <w:rPr>
          <w:rFonts w:hint="eastAsia" w:ascii="仿宋_GB2312" w:hAnsi="仿宋_GB2312" w:cs="仿宋_GB2312"/>
          <w:strike w:val="0"/>
          <w:dstrike w:val="0"/>
          <w:color w:val="auto"/>
          <w:sz w:val="32"/>
          <w:szCs w:val="32"/>
          <w:highlight w:val="none"/>
          <w:lang w:val="en-US" w:eastAsia="zh-CN"/>
        </w:rPr>
        <w:t>全民健身公共服务体系持续完善。人均体育场地面积达</w:t>
      </w:r>
      <w:r>
        <w:rPr>
          <w:rFonts w:hint="eastAsia" w:ascii="Times New Roman" w:hAnsi="Times New Roman" w:cs="Times New Roman"/>
          <w:strike w:val="0"/>
          <w:dstrike w:val="0"/>
          <w:color w:val="auto"/>
          <w:sz w:val="32"/>
          <w:szCs w:val="32"/>
          <w:highlight w:val="none"/>
          <w:lang w:val="en-US" w:eastAsia="zh-CN"/>
        </w:rPr>
        <w:t>4</w:t>
      </w:r>
      <w:r>
        <w:rPr>
          <w:rFonts w:hint="eastAsia" w:ascii="仿宋_GB2312" w:hAnsi="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15</w:t>
      </w:r>
      <w:r>
        <w:rPr>
          <w:rFonts w:hint="eastAsia" w:ascii="仿宋_GB2312" w:hAnsi="仿宋_GB2312" w:cs="仿宋_GB2312"/>
          <w:strike w:val="0"/>
          <w:dstrike w:val="0"/>
          <w:color w:val="auto"/>
          <w:sz w:val="32"/>
          <w:szCs w:val="32"/>
          <w:highlight w:val="none"/>
          <w:lang w:val="en-US" w:eastAsia="zh-CN"/>
        </w:rPr>
        <w:t>平方米，位列全市第一。打造“浈BA”等特色赛事IP，协办丹霞山</w:t>
      </w:r>
      <w:r>
        <w:rPr>
          <w:rFonts w:hint="eastAsia" w:ascii="Times New Roman" w:hAnsi="Times New Roman" w:cs="Times New Roman"/>
          <w:strike w:val="0"/>
          <w:dstrike w:val="0"/>
          <w:color w:val="auto"/>
          <w:sz w:val="32"/>
          <w:szCs w:val="32"/>
          <w:highlight w:val="none"/>
          <w:lang w:val="en-US" w:eastAsia="zh-CN"/>
        </w:rPr>
        <w:t>50</w:t>
      </w:r>
      <w:r>
        <w:rPr>
          <w:rFonts w:hint="eastAsia" w:ascii="仿宋_GB2312" w:hAnsi="仿宋_GB2312" w:cs="仿宋_GB2312"/>
          <w:strike w:val="0"/>
          <w:dstrike w:val="0"/>
          <w:color w:val="auto"/>
          <w:sz w:val="32"/>
          <w:szCs w:val="32"/>
          <w:highlight w:val="none"/>
          <w:lang w:val="en-US" w:eastAsia="zh-CN"/>
        </w:rPr>
        <w:t>公里徒步赛、环丹霞山自行车赛、丹霞山马拉松赛、韶关龙舟邀请赛等多项大型市级群体赛事，“天然氧吧”“户外运动天堂”品牌逐步打响。</w:t>
      </w:r>
    </w:p>
    <w:p w14:paraId="2EC8F9FC">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七、民生福祉水平持续提升</w:t>
      </w:r>
    </w:p>
    <w:p w14:paraId="612EAC0F">
      <w:pPr>
        <w:shd w:val="clear"/>
        <w:kinsoku/>
        <w:bidi w:val="0"/>
        <w:rPr>
          <w:rFonts w:hint="eastAsia" w:ascii="仿宋_GB2312" w:hAnsi="仿宋_GB2312" w:eastAsia="仿宋_GB2312" w:cs="仿宋_GB2312"/>
          <w:b w:val="0"/>
          <w:bCs w:val="0"/>
          <w:strike w:val="0"/>
          <w:dstrike w:val="0"/>
          <w:color w:val="auto"/>
          <w:sz w:val="32"/>
          <w:szCs w:val="32"/>
          <w:highlight w:val="none"/>
          <w:lang w:val="en-US" w:eastAsia="zh-CN"/>
        </w:rPr>
      </w:pPr>
      <w:r>
        <w:rPr>
          <w:rFonts w:hint="eastAsia" w:cs="仿宋_GB2312"/>
          <w:b/>
          <w:bCs/>
          <w:strike w:val="0"/>
          <w:dstrike w:val="0"/>
          <w:color w:val="auto"/>
          <w:sz w:val="32"/>
          <w:szCs w:val="32"/>
          <w:highlight w:val="none"/>
          <w:lang w:val="en-US" w:eastAsia="zh-CN"/>
        </w:rPr>
        <w:t>稳</w:t>
      </w:r>
      <w:r>
        <w:rPr>
          <w:rFonts w:hint="eastAsia" w:ascii="仿宋_GB2312" w:hAnsi="仿宋_GB2312" w:eastAsia="仿宋_GB2312" w:cs="仿宋_GB2312"/>
          <w:b/>
          <w:bCs/>
          <w:strike w:val="0"/>
          <w:dstrike w:val="0"/>
          <w:color w:val="auto"/>
          <w:sz w:val="32"/>
          <w:szCs w:val="32"/>
          <w:highlight w:val="none"/>
          <w:lang w:val="en-US" w:eastAsia="zh-CN"/>
        </w:rPr>
        <w:t>就业</w:t>
      </w:r>
      <w:r>
        <w:rPr>
          <w:rFonts w:hint="eastAsia" w:cs="仿宋_GB2312"/>
          <w:b/>
          <w:bCs/>
          <w:strike w:val="0"/>
          <w:dstrike w:val="0"/>
          <w:color w:val="auto"/>
          <w:sz w:val="32"/>
          <w:szCs w:val="32"/>
          <w:highlight w:val="none"/>
          <w:lang w:val="en-US" w:eastAsia="zh-CN"/>
        </w:rPr>
        <w:t>工作卓有成效。</w:t>
      </w:r>
      <w:r>
        <w:rPr>
          <w:rFonts w:hint="eastAsia" w:ascii="仿宋_GB2312" w:hAnsi="仿宋_GB2312" w:eastAsia="仿宋_GB2312" w:cs="仿宋_GB2312"/>
          <w:b w:val="0"/>
          <w:bCs w:val="0"/>
          <w:strike w:val="0"/>
          <w:dstrike w:val="0"/>
          <w:color w:val="auto"/>
          <w:sz w:val="32"/>
          <w:szCs w:val="32"/>
          <w:highlight w:val="none"/>
          <w:lang w:val="en-US" w:eastAsia="zh-CN"/>
        </w:rPr>
        <w:t>实现城镇新增就业</w:t>
      </w:r>
      <w:r>
        <w:rPr>
          <w:rFonts w:hint="eastAsia" w:cs="Times New Roman"/>
          <w:b w:val="0"/>
          <w:bCs w:val="0"/>
          <w:strike w:val="0"/>
          <w:dstrike w:val="0"/>
          <w:color w:val="auto"/>
          <w:sz w:val="32"/>
          <w:szCs w:val="32"/>
          <w:highlight w:val="none"/>
          <w:lang w:val="en-US" w:eastAsia="zh-CN"/>
        </w:rPr>
        <w:t>13072</w:t>
      </w:r>
      <w:r>
        <w:rPr>
          <w:rFonts w:hint="eastAsia" w:ascii="仿宋_GB2312" w:hAnsi="仿宋_GB2312" w:eastAsia="仿宋_GB2312" w:cs="仿宋_GB2312"/>
          <w:b w:val="0"/>
          <w:bCs w:val="0"/>
          <w:strike w:val="0"/>
          <w:dstrike w:val="0"/>
          <w:color w:val="auto"/>
          <w:sz w:val="32"/>
          <w:szCs w:val="32"/>
          <w:highlight w:val="none"/>
          <w:lang w:val="en-US" w:eastAsia="zh-CN"/>
        </w:rPr>
        <w:t>人，城镇失业人员再就业</w:t>
      </w:r>
      <w:r>
        <w:rPr>
          <w:rFonts w:hint="eastAsia" w:ascii="Times New Roman" w:hAnsi="Times New Roman" w:cs="Times New Roman"/>
          <w:b w:val="0"/>
          <w:bCs w:val="0"/>
          <w:strike w:val="0"/>
          <w:dstrike w:val="0"/>
          <w:color w:val="auto"/>
          <w:sz w:val="32"/>
          <w:szCs w:val="32"/>
          <w:highlight w:val="none"/>
          <w:lang w:val="en-US" w:eastAsia="zh-CN"/>
        </w:rPr>
        <w:t>8047</w:t>
      </w:r>
      <w:r>
        <w:rPr>
          <w:rFonts w:hint="eastAsia" w:ascii="仿宋_GB2312" w:hAnsi="仿宋_GB2312" w:eastAsia="仿宋_GB2312" w:cs="仿宋_GB2312"/>
          <w:b w:val="0"/>
          <w:bCs w:val="0"/>
          <w:strike w:val="0"/>
          <w:dstrike w:val="0"/>
          <w:color w:val="auto"/>
          <w:sz w:val="32"/>
          <w:szCs w:val="32"/>
          <w:highlight w:val="none"/>
          <w:lang w:val="en-US" w:eastAsia="zh-CN"/>
        </w:rPr>
        <w:t>人</w:t>
      </w:r>
      <w:r>
        <w:rPr>
          <w:rFonts w:hint="eastAsia" w:cs="仿宋_GB2312"/>
          <w:b w:val="0"/>
          <w:bCs w:val="0"/>
          <w:strike w:val="0"/>
          <w:dstrike w:val="0"/>
          <w:color w:val="auto"/>
          <w:sz w:val="32"/>
          <w:szCs w:val="32"/>
          <w:highlight w:val="none"/>
          <w:lang w:val="en-US" w:eastAsia="zh-CN"/>
        </w:rPr>
        <w:t>。</w:t>
      </w:r>
      <w:r>
        <w:rPr>
          <w:rFonts w:hint="eastAsia" w:ascii="仿宋_GB2312" w:hAnsi="仿宋_GB2312" w:eastAsia="仿宋_GB2312" w:cs="仿宋_GB2312"/>
          <w:b w:val="0"/>
          <w:bCs w:val="0"/>
          <w:strike w:val="0"/>
          <w:dstrike w:val="0"/>
          <w:color w:val="auto"/>
          <w:sz w:val="32"/>
          <w:szCs w:val="32"/>
          <w:highlight w:val="none"/>
          <w:lang w:val="en-US" w:eastAsia="zh-CN"/>
        </w:rPr>
        <w:t>有效构建家门口“</w:t>
      </w:r>
      <w:r>
        <w:rPr>
          <w:rFonts w:hint="eastAsia" w:ascii="Times New Roman" w:hAnsi="Times New Roman" w:cs="Times New Roman"/>
          <w:b w:val="0"/>
          <w:bCs w:val="0"/>
          <w:strike w:val="0"/>
          <w:dstrike w:val="0"/>
          <w:color w:val="auto"/>
          <w:sz w:val="32"/>
          <w:szCs w:val="32"/>
          <w:highlight w:val="none"/>
          <w:lang w:val="en-US" w:eastAsia="zh-CN"/>
        </w:rPr>
        <w:t>15</w:t>
      </w:r>
      <w:r>
        <w:rPr>
          <w:rFonts w:hint="eastAsia" w:ascii="仿宋_GB2312" w:hAnsi="仿宋_GB2312" w:eastAsia="仿宋_GB2312" w:cs="仿宋_GB2312"/>
          <w:b w:val="0"/>
          <w:bCs w:val="0"/>
          <w:strike w:val="0"/>
          <w:dstrike w:val="0"/>
          <w:color w:val="auto"/>
          <w:sz w:val="32"/>
          <w:szCs w:val="32"/>
          <w:highlight w:val="none"/>
          <w:lang w:val="en-US" w:eastAsia="zh-CN"/>
        </w:rPr>
        <w:t>分钟就业服务圈”，成功建设“南粤家政”基层服务示范站并获广东省A级站点称号</w:t>
      </w:r>
      <w:r>
        <w:rPr>
          <w:rFonts w:hint="eastAsia" w:ascii="仿宋_GB2312" w:hAnsi="仿宋_GB2312" w:cs="仿宋_GB2312"/>
          <w:b w:val="0"/>
          <w:bCs w:val="0"/>
          <w:strike w:val="0"/>
          <w:dstrike w:val="0"/>
          <w:color w:val="auto"/>
          <w:sz w:val="32"/>
          <w:szCs w:val="32"/>
          <w:highlight w:val="none"/>
          <w:lang w:val="en-US" w:eastAsia="zh-CN"/>
        </w:rPr>
        <w:t>。</w:t>
      </w:r>
      <w:r>
        <w:rPr>
          <w:rFonts w:hint="eastAsia" w:ascii="仿宋_GB2312" w:hAnsi="仿宋_GB2312" w:eastAsia="仿宋_GB2312" w:cs="仿宋_GB2312"/>
          <w:b/>
          <w:bCs/>
          <w:strike w:val="0"/>
          <w:dstrike w:val="0"/>
          <w:color w:val="auto"/>
          <w:sz w:val="32"/>
          <w:szCs w:val="32"/>
          <w:highlight w:val="none"/>
          <w:lang w:val="en-US" w:eastAsia="zh-CN"/>
        </w:rPr>
        <w:t>教育事业迈上新台阶。</w:t>
      </w:r>
      <w:r>
        <w:rPr>
          <w:rFonts w:hint="eastAsia" w:ascii="仿宋_GB2312" w:hAnsi="仿宋_GB2312" w:eastAsia="仿宋_GB2312" w:cs="仿宋_GB2312"/>
          <w:b w:val="0"/>
          <w:bCs w:val="0"/>
          <w:strike w:val="0"/>
          <w:dstrike w:val="0"/>
          <w:color w:val="auto"/>
          <w:sz w:val="32"/>
          <w:szCs w:val="32"/>
          <w:highlight w:val="none"/>
          <w:lang w:val="en-US" w:eastAsia="zh-CN"/>
        </w:rPr>
        <w:t>新建、改扩建义务教育学校</w:t>
      </w:r>
      <w:r>
        <w:rPr>
          <w:rFonts w:hint="eastAsia" w:ascii="Times New Roman" w:hAnsi="Times New Roman" w:cs="Times New Roman"/>
          <w:b w:val="0"/>
          <w:bCs w:val="0"/>
          <w:strike w:val="0"/>
          <w:dstrike w:val="0"/>
          <w:color w:val="auto"/>
          <w:sz w:val="32"/>
          <w:szCs w:val="32"/>
          <w:highlight w:val="none"/>
          <w:lang w:val="en-US" w:eastAsia="zh-CN"/>
        </w:rPr>
        <w:t>2</w:t>
      </w:r>
      <w:r>
        <w:rPr>
          <w:rFonts w:hint="eastAsia" w:ascii="仿宋_GB2312" w:hAnsi="仿宋_GB2312" w:eastAsia="仿宋_GB2312" w:cs="仿宋_GB2312"/>
          <w:b w:val="0"/>
          <w:bCs w:val="0"/>
          <w:strike w:val="0"/>
          <w:dstrike w:val="0"/>
          <w:color w:val="auto"/>
          <w:sz w:val="32"/>
          <w:szCs w:val="32"/>
          <w:highlight w:val="none"/>
          <w:lang w:val="en-US" w:eastAsia="zh-CN"/>
        </w:rPr>
        <w:t>所、幼儿园</w:t>
      </w:r>
      <w:r>
        <w:rPr>
          <w:rFonts w:hint="eastAsia" w:ascii="Times New Roman" w:hAnsi="Times New Roman" w:cs="Times New Roman"/>
          <w:b w:val="0"/>
          <w:bCs w:val="0"/>
          <w:strike w:val="0"/>
          <w:dstrike w:val="0"/>
          <w:color w:val="auto"/>
          <w:sz w:val="32"/>
          <w:szCs w:val="32"/>
          <w:highlight w:val="none"/>
          <w:lang w:val="en-US" w:eastAsia="zh-CN"/>
        </w:rPr>
        <w:t>8</w:t>
      </w:r>
      <w:r>
        <w:rPr>
          <w:rFonts w:hint="eastAsia" w:ascii="仿宋_GB2312" w:hAnsi="仿宋_GB2312" w:eastAsia="仿宋_GB2312" w:cs="仿宋_GB2312"/>
          <w:b w:val="0"/>
          <w:bCs w:val="0"/>
          <w:strike w:val="0"/>
          <w:dstrike w:val="0"/>
          <w:color w:val="auto"/>
          <w:sz w:val="32"/>
          <w:szCs w:val="32"/>
          <w:highlight w:val="none"/>
          <w:lang w:val="en-US" w:eastAsia="zh-CN"/>
        </w:rPr>
        <w:t>所，九年一贯制学校</w:t>
      </w:r>
      <w:r>
        <w:rPr>
          <w:rFonts w:hint="eastAsia" w:ascii="Times New Roman" w:hAnsi="Times New Roman" w:cs="Times New Roman"/>
          <w:b w:val="0"/>
          <w:bCs w:val="0"/>
          <w:strike w:val="0"/>
          <w:dstrike w:val="0"/>
          <w:color w:val="auto"/>
          <w:sz w:val="32"/>
          <w:szCs w:val="32"/>
          <w:highlight w:val="none"/>
          <w:lang w:val="en-US" w:eastAsia="zh-CN"/>
        </w:rPr>
        <w:t>1</w:t>
      </w:r>
      <w:r>
        <w:rPr>
          <w:rFonts w:hint="eastAsia" w:ascii="仿宋_GB2312" w:hAnsi="仿宋_GB2312" w:eastAsia="仿宋_GB2312" w:cs="仿宋_GB2312"/>
          <w:b w:val="0"/>
          <w:bCs w:val="0"/>
          <w:strike w:val="0"/>
          <w:dstrike w:val="0"/>
          <w:color w:val="auto"/>
          <w:sz w:val="32"/>
          <w:szCs w:val="32"/>
          <w:highlight w:val="none"/>
          <w:lang w:val="en-US" w:eastAsia="zh-CN"/>
        </w:rPr>
        <w:t>所，新增基础教育公办学位</w:t>
      </w:r>
      <w:r>
        <w:rPr>
          <w:rFonts w:hint="eastAsia" w:ascii="Times New Roman" w:hAnsi="Times New Roman" w:cs="Times New Roman"/>
          <w:b w:val="0"/>
          <w:bCs w:val="0"/>
          <w:strike w:val="0"/>
          <w:dstrike w:val="0"/>
          <w:color w:val="auto"/>
          <w:sz w:val="32"/>
          <w:szCs w:val="32"/>
          <w:highlight w:val="none"/>
          <w:lang w:val="en-US" w:eastAsia="zh-CN"/>
        </w:rPr>
        <w:t>4590</w:t>
      </w:r>
      <w:r>
        <w:rPr>
          <w:rFonts w:hint="eastAsia" w:ascii="仿宋_GB2312" w:hAnsi="仿宋_GB2312" w:eastAsia="仿宋_GB2312" w:cs="仿宋_GB2312"/>
          <w:b w:val="0"/>
          <w:bCs w:val="0"/>
          <w:strike w:val="0"/>
          <w:dstrike w:val="0"/>
          <w:color w:val="auto"/>
          <w:sz w:val="32"/>
          <w:szCs w:val="32"/>
          <w:highlight w:val="none"/>
          <w:lang w:val="en-US" w:eastAsia="zh-CN"/>
        </w:rPr>
        <w:t>个，义务教育标准化学校覆盖率达</w:t>
      </w:r>
      <w:r>
        <w:rPr>
          <w:rFonts w:hint="eastAsia" w:ascii="Times New Roman" w:hAnsi="Times New Roman" w:cs="Times New Roman"/>
          <w:b w:val="0"/>
          <w:bCs w:val="0"/>
          <w:strike w:val="0"/>
          <w:dstrike w:val="0"/>
          <w:color w:val="auto"/>
          <w:sz w:val="32"/>
          <w:szCs w:val="32"/>
          <w:highlight w:val="none"/>
          <w:lang w:val="en-US" w:eastAsia="zh-CN"/>
        </w:rPr>
        <w:t>100%</w:t>
      </w:r>
      <w:r>
        <w:rPr>
          <w:rFonts w:hint="eastAsia" w:ascii="仿宋_GB2312" w:hAnsi="仿宋_GB2312" w:eastAsia="仿宋_GB2312" w:cs="仿宋_GB2312"/>
          <w:b w:val="0"/>
          <w:bCs w:val="0"/>
          <w:strike w:val="0"/>
          <w:dstrike w:val="0"/>
          <w:color w:val="auto"/>
          <w:sz w:val="32"/>
          <w:szCs w:val="32"/>
          <w:highlight w:val="none"/>
          <w:lang w:val="en-US" w:eastAsia="zh-CN"/>
        </w:rPr>
        <w:t>。在全市率先完成“县管校聘”和校长职级制改革、率先推行幼儿园与小学科学衔接改革，成功入选广东省基础教育课堂教学改革深化行动实验区等</w:t>
      </w:r>
      <w:r>
        <w:rPr>
          <w:rFonts w:hint="eastAsia" w:ascii="Times New Roman" w:hAnsi="Times New Roman" w:cs="Times New Roman"/>
          <w:b w:val="0"/>
          <w:bCs w:val="0"/>
          <w:strike w:val="0"/>
          <w:dstrike w:val="0"/>
          <w:color w:val="auto"/>
          <w:sz w:val="32"/>
          <w:szCs w:val="32"/>
          <w:highlight w:val="none"/>
          <w:lang w:val="en-US" w:eastAsia="zh-CN"/>
        </w:rPr>
        <w:t>4</w:t>
      </w:r>
      <w:r>
        <w:rPr>
          <w:rFonts w:hint="eastAsia" w:ascii="仿宋_GB2312" w:hAnsi="仿宋_GB2312" w:eastAsia="仿宋_GB2312" w:cs="仿宋_GB2312"/>
          <w:b w:val="0"/>
          <w:bCs w:val="0"/>
          <w:strike w:val="0"/>
          <w:dstrike w:val="0"/>
          <w:color w:val="auto"/>
          <w:sz w:val="32"/>
          <w:szCs w:val="32"/>
          <w:highlight w:val="none"/>
          <w:lang w:val="en-US" w:eastAsia="zh-CN"/>
        </w:rPr>
        <w:t>项省级教改项目，成功申报省级教研基地</w:t>
      </w:r>
      <w:r>
        <w:rPr>
          <w:rFonts w:hint="eastAsia" w:ascii="Times New Roman" w:hAnsi="Times New Roman" w:cs="Times New Roman"/>
          <w:b w:val="0"/>
          <w:bCs w:val="0"/>
          <w:strike w:val="0"/>
          <w:dstrike w:val="0"/>
          <w:color w:val="auto"/>
          <w:sz w:val="32"/>
          <w:szCs w:val="32"/>
          <w:highlight w:val="none"/>
          <w:lang w:val="en-US" w:eastAsia="zh-CN"/>
        </w:rPr>
        <w:t>3</w:t>
      </w:r>
      <w:r>
        <w:rPr>
          <w:rFonts w:hint="eastAsia" w:ascii="仿宋_GB2312" w:hAnsi="仿宋_GB2312" w:eastAsia="仿宋_GB2312" w:cs="仿宋_GB2312"/>
          <w:b w:val="0"/>
          <w:bCs w:val="0"/>
          <w:strike w:val="0"/>
          <w:dstrike w:val="0"/>
          <w:color w:val="auto"/>
          <w:sz w:val="32"/>
          <w:szCs w:val="32"/>
          <w:highlight w:val="none"/>
          <w:lang w:val="en-US" w:eastAsia="zh-CN"/>
        </w:rPr>
        <w:t>个。首批广东省基础教育教研基地项目获评“优秀”等次，成功创建全国规范化家长学校实践活动成效突出实践区，“青少年阅读”案例获评全国优秀案例，获评省首批高质量幼儿园共同体项目</w:t>
      </w:r>
      <w:r>
        <w:rPr>
          <w:rFonts w:hint="eastAsia" w:ascii="Times New Roman" w:hAnsi="Times New Roman" w:cs="Times New Roman"/>
          <w:b w:val="0"/>
          <w:bCs w:val="0"/>
          <w:strike w:val="0"/>
          <w:dstrike w:val="0"/>
          <w:color w:val="auto"/>
          <w:sz w:val="32"/>
          <w:szCs w:val="32"/>
          <w:highlight w:val="none"/>
          <w:lang w:val="en-US" w:eastAsia="zh-CN"/>
        </w:rPr>
        <w:t>1</w:t>
      </w:r>
      <w:r>
        <w:rPr>
          <w:rFonts w:hint="eastAsia" w:ascii="仿宋_GB2312" w:hAnsi="仿宋_GB2312" w:eastAsia="仿宋_GB2312" w:cs="仿宋_GB2312"/>
          <w:b w:val="0"/>
          <w:bCs w:val="0"/>
          <w:strike w:val="0"/>
          <w:dstrike w:val="0"/>
          <w:color w:val="auto"/>
          <w:sz w:val="32"/>
          <w:szCs w:val="32"/>
          <w:highlight w:val="none"/>
          <w:lang w:val="en-US" w:eastAsia="zh-CN"/>
        </w:rPr>
        <w:t>个</w:t>
      </w:r>
      <w:r>
        <w:rPr>
          <w:rFonts w:hint="eastAsia" w:cs="仿宋_GB2312"/>
          <w:b w:val="0"/>
          <w:bCs w:val="0"/>
          <w:strike w:val="0"/>
          <w:dstrike w:val="0"/>
          <w:color w:val="auto"/>
          <w:sz w:val="32"/>
          <w:szCs w:val="32"/>
          <w:highlight w:val="none"/>
          <w:lang w:val="en-US" w:eastAsia="zh-CN"/>
        </w:rPr>
        <w:t>。</w:t>
      </w:r>
      <w:r>
        <w:rPr>
          <w:rFonts w:hint="eastAsia" w:ascii="仿宋_GB2312" w:hAnsi="仿宋_GB2312" w:eastAsia="仿宋_GB2312" w:cs="仿宋_GB2312"/>
          <w:b/>
          <w:bCs/>
          <w:strike w:val="0"/>
          <w:dstrike w:val="0"/>
          <w:color w:val="auto"/>
          <w:sz w:val="32"/>
          <w:szCs w:val="32"/>
          <w:highlight w:val="none"/>
          <w:lang w:val="en-US" w:eastAsia="zh-CN"/>
        </w:rPr>
        <w:t>卫生健康事业加快发展。</w:t>
      </w:r>
      <w:r>
        <w:rPr>
          <w:rFonts w:hint="eastAsia" w:ascii="仿宋_GB2312" w:hAnsi="仿宋_GB2312" w:eastAsia="仿宋_GB2312" w:cs="仿宋_GB2312"/>
          <w:b w:val="0"/>
          <w:bCs w:val="0"/>
          <w:strike w:val="0"/>
          <w:dstrike w:val="0"/>
          <w:color w:val="auto"/>
          <w:sz w:val="32"/>
          <w:szCs w:val="32"/>
          <w:highlight w:val="none"/>
          <w:lang w:val="en-US" w:eastAsia="zh-CN"/>
        </w:rPr>
        <w:t>深化“优质服务基层行”活动，推动粤北人民医院和乐园镇卫生院建立首个紧密型城市医疗集团，建设以韶州人民医院为牵头的浈江医疗联盟</w:t>
      </w:r>
      <w:r>
        <w:rPr>
          <w:rFonts w:hint="eastAsia" w:ascii="仿宋_GB2312" w:hAnsi="仿宋_GB2312" w:cs="仿宋_GB2312"/>
          <w:b w:val="0"/>
          <w:bCs w:val="0"/>
          <w:strike w:val="0"/>
          <w:dstrike w:val="0"/>
          <w:color w:val="auto"/>
          <w:sz w:val="32"/>
          <w:szCs w:val="32"/>
          <w:highlight w:val="none"/>
          <w:lang w:val="en-US" w:eastAsia="zh-CN"/>
        </w:rPr>
        <w:t>，协助推动</w:t>
      </w:r>
      <w:r>
        <w:rPr>
          <w:rFonts w:hint="eastAsia" w:ascii="仿宋_GB2312" w:hAnsi="仿宋_GB2312" w:eastAsia="仿宋_GB2312" w:cs="仿宋_GB2312"/>
          <w:b w:val="0"/>
          <w:bCs w:val="0"/>
          <w:strike w:val="0"/>
          <w:dstrike w:val="0"/>
          <w:color w:val="auto"/>
          <w:sz w:val="32"/>
          <w:szCs w:val="32"/>
          <w:highlight w:val="none"/>
          <w:lang w:val="en-US" w:eastAsia="zh-CN"/>
        </w:rPr>
        <w:t>韶关市中医院新院建成，实施花坪镇卫生院危房改造等项目</w:t>
      </w:r>
      <w:r>
        <w:rPr>
          <w:rFonts w:hint="eastAsia" w:ascii="Times New Roman" w:hAnsi="Times New Roman" w:cs="Times New Roman"/>
          <w:b w:val="0"/>
          <w:bCs w:val="0"/>
          <w:strike w:val="0"/>
          <w:dstrike w:val="0"/>
          <w:color w:val="auto"/>
          <w:sz w:val="32"/>
          <w:szCs w:val="32"/>
          <w:highlight w:val="none"/>
          <w:lang w:val="en-US" w:eastAsia="zh-CN"/>
        </w:rPr>
        <w:t>7</w:t>
      </w:r>
      <w:r>
        <w:rPr>
          <w:rFonts w:hint="eastAsia" w:ascii="仿宋_GB2312" w:hAnsi="仿宋_GB2312" w:eastAsia="仿宋_GB2312" w:cs="仿宋_GB2312"/>
          <w:b w:val="0"/>
          <w:bCs w:val="0"/>
          <w:strike w:val="0"/>
          <w:dstrike w:val="0"/>
          <w:color w:val="auto"/>
          <w:sz w:val="32"/>
          <w:szCs w:val="32"/>
          <w:highlight w:val="none"/>
          <w:lang w:val="en-US" w:eastAsia="zh-CN"/>
        </w:rPr>
        <w:t>个，风采社区卫生服务中心成功创成社区医院，犁市镇中心卫生院、新韶镇卫生院获国家卫健委通报表扬，基层医疗卫生机构基本标准达标率</w:t>
      </w:r>
      <w:r>
        <w:rPr>
          <w:rFonts w:hint="eastAsia" w:ascii="Times New Roman" w:hAnsi="Times New Roman" w:cs="Times New Roman"/>
          <w:b w:val="0"/>
          <w:bCs w:val="0"/>
          <w:strike w:val="0"/>
          <w:dstrike w:val="0"/>
          <w:color w:val="auto"/>
          <w:sz w:val="32"/>
          <w:szCs w:val="32"/>
          <w:highlight w:val="none"/>
          <w:lang w:val="en-US" w:eastAsia="zh-CN"/>
        </w:rPr>
        <w:t>100%</w:t>
      </w:r>
      <w:r>
        <w:rPr>
          <w:rFonts w:hint="eastAsia" w:ascii="仿宋_GB2312" w:hAnsi="仿宋_GB2312" w:eastAsia="仿宋_GB2312" w:cs="仿宋_GB2312"/>
          <w:b w:val="0"/>
          <w:bCs w:val="0"/>
          <w:strike w:val="0"/>
          <w:dstrike w:val="0"/>
          <w:color w:val="auto"/>
          <w:sz w:val="32"/>
          <w:szCs w:val="32"/>
          <w:highlight w:val="none"/>
          <w:lang w:val="en-US" w:eastAsia="zh-CN"/>
        </w:rPr>
        <w:t>，基层医疗条件和基本公共卫生服务能力持续提升。区级疾病预防控制中心成功组建，实现机构建设从</w:t>
      </w:r>
      <w:r>
        <w:rPr>
          <w:rFonts w:hint="eastAsia" w:ascii="仿宋_GB2312" w:hAnsi="仿宋_GB2312" w:cs="仿宋_GB2312"/>
          <w:b w:val="0"/>
          <w:bCs w:val="0"/>
          <w:strike w:val="0"/>
          <w:dstrike w:val="0"/>
          <w:color w:val="auto"/>
          <w:sz w:val="32"/>
          <w:szCs w:val="32"/>
          <w:highlight w:val="none"/>
          <w:lang w:val="en-US" w:eastAsia="zh-CN"/>
        </w:rPr>
        <w:t>无</w:t>
      </w:r>
      <w:r>
        <w:rPr>
          <w:rFonts w:hint="eastAsia" w:ascii="仿宋_GB2312" w:hAnsi="仿宋_GB2312" w:eastAsia="仿宋_GB2312" w:cs="仿宋_GB2312"/>
          <w:b w:val="0"/>
          <w:bCs w:val="0"/>
          <w:strike w:val="0"/>
          <w:dstrike w:val="0"/>
          <w:color w:val="auto"/>
          <w:sz w:val="32"/>
          <w:szCs w:val="32"/>
          <w:highlight w:val="none"/>
          <w:lang w:val="en-US" w:eastAsia="zh-CN"/>
        </w:rPr>
        <w:t>到有新突破</w:t>
      </w:r>
      <w:r>
        <w:rPr>
          <w:rFonts w:hint="eastAsia" w:ascii="仿宋_GB2312" w:hAnsi="仿宋_GB2312" w:cs="仿宋_GB2312"/>
          <w:b w:val="0"/>
          <w:bCs w:val="0"/>
          <w:strike w:val="0"/>
          <w:dstrike w:val="0"/>
          <w:color w:val="auto"/>
          <w:sz w:val="32"/>
          <w:szCs w:val="32"/>
          <w:highlight w:val="none"/>
          <w:lang w:val="en-US" w:eastAsia="zh-CN"/>
        </w:rPr>
        <w:t>。坚定守护公共卫生安全，打赢疫情防控阻击战。</w:t>
      </w:r>
      <w:r>
        <w:rPr>
          <w:rFonts w:hint="eastAsia" w:ascii="仿宋_GB2312" w:hAnsi="仿宋_GB2312" w:eastAsia="仿宋_GB2312" w:cs="仿宋_GB2312"/>
          <w:b/>
          <w:bCs/>
          <w:strike w:val="0"/>
          <w:dstrike w:val="0"/>
          <w:color w:val="auto"/>
          <w:sz w:val="32"/>
          <w:szCs w:val="32"/>
          <w:highlight w:val="none"/>
          <w:lang w:val="en-US" w:eastAsia="zh-CN"/>
        </w:rPr>
        <w:t>社会保障体系日益健全。</w:t>
      </w:r>
      <w:r>
        <w:rPr>
          <w:rFonts w:hint="eastAsia" w:ascii="仿宋_GB2312" w:hAnsi="仿宋_GB2312" w:eastAsia="仿宋_GB2312" w:cs="仿宋_GB2312"/>
          <w:b w:val="0"/>
          <w:bCs w:val="0"/>
          <w:strike w:val="0"/>
          <w:dstrike w:val="0"/>
          <w:color w:val="auto"/>
          <w:sz w:val="32"/>
          <w:szCs w:val="32"/>
          <w:highlight w:val="none"/>
          <w:lang w:val="en-US" w:eastAsia="zh-CN"/>
        </w:rPr>
        <w:t>脱贫攻坚兜底保障任务如期完成，低保、特困供养、残疾人等底线民生保障水平进一步提高。实施全民参保计划，进一步扩大社会保险覆盖面。养老服务体系不断完善，区养老服务中心建设进入收尾阶段</w:t>
      </w:r>
      <w:r>
        <w:rPr>
          <w:rFonts w:hint="eastAsia" w:ascii="仿宋_GB2312" w:hAnsi="仿宋_GB2312" w:cs="仿宋_GB2312"/>
          <w:b w:val="0"/>
          <w:bCs w:val="0"/>
          <w:strike w:val="0"/>
          <w:dstrike w:val="0"/>
          <w:color w:val="auto"/>
          <w:sz w:val="32"/>
          <w:szCs w:val="32"/>
          <w:highlight w:val="none"/>
          <w:lang w:val="en-US" w:eastAsia="zh-CN"/>
        </w:rPr>
        <w:t>，</w:t>
      </w:r>
      <w:r>
        <w:rPr>
          <w:rFonts w:hint="eastAsia" w:ascii="仿宋_GB2312" w:hAnsi="仿宋_GB2312" w:eastAsia="仿宋_GB2312" w:cs="仿宋_GB2312"/>
          <w:b w:val="0"/>
          <w:bCs w:val="0"/>
          <w:strike w:val="0"/>
          <w:dstrike w:val="0"/>
          <w:color w:val="auto"/>
          <w:sz w:val="32"/>
          <w:szCs w:val="32"/>
          <w:highlight w:val="none"/>
          <w:lang w:val="en-US" w:eastAsia="zh-CN"/>
        </w:rPr>
        <w:t>建成社区居家养老服务中心</w:t>
      </w:r>
      <w:r>
        <w:rPr>
          <w:rFonts w:hint="eastAsia" w:ascii="Times New Roman" w:hAnsi="Times New Roman" w:cs="Times New Roman"/>
          <w:b w:val="0"/>
          <w:bCs w:val="0"/>
          <w:strike w:val="0"/>
          <w:dstrike w:val="0"/>
          <w:color w:val="auto"/>
          <w:sz w:val="32"/>
          <w:szCs w:val="32"/>
          <w:highlight w:val="none"/>
          <w:lang w:val="en-US" w:eastAsia="zh-CN"/>
        </w:rPr>
        <w:t>9</w:t>
      </w:r>
      <w:r>
        <w:rPr>
          <w:rFonts w:hint="eastAsia" w:ascii="仿宋_GB2312" w:hAnsi="仿宋_GB2312" w:eastAsia="仿宋_GB2312" w:cs="仿宋_GB2312"/>
          <w:b w:val="0"/>
          <w:bCs w:val="0"/>
          <w:strike w:val="0"/>
          <w:dstrike w:val="0"/>
          <w:color w:val="auto"/>
          <w:sz w:val="32"/>
          <w:szCs w:val="32"/>
          <w:highlight w:val="none"/>
          <w:lang w:val="en-US" w:eastAsia="zh-CN"/>
        </w:rPr>
        <w:t>个、镇级综合养老服务中心</w:t>
      </w:r>
      <w:r>
        <w:rPr>
          <w:rFonts w:hint="eastAsia" w:cs="Times New Roman"/>
          <w:b w:val="0"/>
          <w:bCs w:val="0"/>
          <w:strike w:val="0"/>
          <w:dstrike w:val="0"/>
          <w:color w:val="auto"/>
          <w:sz w:val="32"/>
          <w:szCs w:val="32"/>
          <w:highlight w:val="none"/>
          <w:lang w:val="en-US" w:eastAsia="zh-CN"/>
        </w:rPr>
        <w:t>4</w:t>
      </w:r>
      <w:r>
        <w:rPr>
          <w:rFonts w:hint="eastAsia" w:ascii="仿宋_GB2312" w:hAnsi="仿宋_GB2312" w:eastAsia="仿宋_GB2312" w:cs="仿宋_GB2312"/>
          <w:b w:val="0"/>
          <w:bCs w:val="0"/>
          <w:strike w:val="0"/>
          <w:dstrike w:val="0"/>
          <w:color w:val="auto"/>
          <w:sz w:val="32"/>
          <w:szCs w:val="32"/>
          <w:highlight w:val="none"/>
          <w:lang w:val="en-US" w:eastAsia="zh-CN"/>
        </w:rPr>
        <w:t>个、长者饭堂</w:t>
      </w:r>
      <w:r>
        <w:rPr>
          <w:rFonts w:hint="eastAsia" w:ascii="Times New Roman" w:hAnsi="Times New Roman" w:cs="Times New Roman"/>
          <w:b w:val="0"/>
          <w:bCs w:val="0"/>
          <w:strike w:val="0"/>
          <w:dstrike w:val="0"/>
          <w:color w:val="auto"/>
          <w:sz w:val="32"/>
          <w:szCs w:val="32"/>
          <w:highlight w:val="none"/>
          <w:lang w:val="en-US" w:eastAsia="zh-CN"/>
        </w:rPr>
        <w:t>14</w:t>
      </w:r>
      <w:r>
        <w:rPr>
          <w:rFonts w:hint="eastAsia" w:ascii="仿宋_GB2312" w:hAnsi="仿宋_GB2312" w:eastAsia="仿宋_GB2312" w:cs="仿宋_GB2312"/>
          <w:b w:val="0"/>
          <w:bCs w:val="0"/>
          <w:strike w:val="0"/>
          <w:dstrike w:val="0"/>
          <w:color w:val="auto"/>
          <w:sz w:val="32"/>
          <w:szCs w:val="32"/>
          <w:highlight w:val="none"/>
          <w:lang w:val="en-US" w:eastAsia="zh-CN"/>
        </w:rPr>
        <w:t>家，供给养老服务床位</w:t>
      </w:r>
      <w:r>
        <w:rPr>
          <w:rFonts w:hint="eastAsia" w:cs="Times New Roman"/>
          <w:b w:val="0"/>
          <w:bCs w:val="0"/>
          <w:strike w:val="0"/>
          <w:dstrike w:val="0"/>
          <w:color w:val="auto"/>
          <w:sz w:val="32"/>
          <w:szCs w:val="32"/>
          <w:highlight w:val="none"/>
          <w:lang w:val="en-US" w:eastAsia="zh-CN"/>
        </w:rPr>
        <w:t>1570</w:t>
      </w:r>
      <w:r>
        <w:rPr>
          <w:rFonts w:hint="eastAsia" w:ascii="仿宋_GB2312" w:hAnsi="仿宋_GB2312" w:eastAsia="仿宋_GB2312" w:cs="仿宋_GB2312"/>
          <w:b w:val="0"/>
          <w:bCs w:val="0"/>
          <w:strike w:val="0"/>
          <w:dstrike w:val="0"/>
          <w:color w:val="auto"/>
          <w:sz w:val="32"/>
          <w:szCs w:val="32"/>
          <w:highlight w:val="none"/>
          <w:lang w:val="en-US" w:eastAsia="zh-CN"/>
        </w:rPr>
        <w:t>张，风采街道环园路社区获评“全国示范性老年友好型社区”。婴幼儿照护服务能力不断提升，每千人口托位数达</w:t>
      </w:r>
      <w:r>
        <w:rPr>
          <w:rFonts w:hint="eastAsia" w:ascii="Times New Roman" w:hAnsi="Times New Roman" w:cs="Times New Roman"/>
          <w:b w:val="0"/>
          <w:bCs w:val="0"/>
          <w:strike w:val="0"/>
          <w:dstrike w:val="0"/>
          <w:color w:val="auto"/>
          <w:sz w:val="32"/>
          <w:szCs w:val="32"/>
          <w:highlight w:val="none"/>
          <w:lang w:val="en-US" w:eastAsia="zh-CN"/>
        </w:rPr>
        <w:t>5</w:t>
      </w:r>
      <w:r>
        <w:rPr>
          <w:rFonts w:hint="eastAsia" w:ascii="仿宋_GB2312" w:hAnsi="仿宋_GB2312" w:eastAsia="仿宋_GB2312" w:cs="仿宋_GB2312"/>
          <w:b w:val="0"/>
          <w:bCs w:val="0"/>
          <w:strike w:val="0"/>
          <w:dstrike w:val="0"/>
          <w:color w:val="auto"/>
          <w:sz w:val="32"/>
          <w:szCs w:val="32"/>
          <w:highlight w:val="none"/>
          <w:lang w:val="en-US" w:eastAsia="zh-CN"/>
        </w:rPr>
        <w:t>.</w:t>
      </w:r>
      <w:r>
        <w:rPr>
          <w:rFonts w:hint="eastAsia" w:ascii="Times New Roman" w:hAnsi="Times New Roman" w:cs="Times New Roman"/>
          <w:b w:val="0"/>
          <w:bCs w:val="0"/>
          <w:strike w:val="0"/>
          <w:dstrike w:val="0"/>
          <w:color w:val="auto"/>
          <w:sz w:val="32"/>
          <w:szCs w:val="32"/>
          <w:highlight w:val="none"/>
          <w:lang w:val="en-US" w:eastAsia="zh-CN"/>
        </w:rPr>
        <w:t>53</w:t>
      </w:r>
      <w:r>
        <w:rPr>
          <w:rFonts w:hint="eastAsia" w:ascii="仿宋_GB2312" w:hAnsi="仿宋_GB2312" w:eastAsia="仿宋_GB2312" w:cs="仿宋_GB2312"/>
          <w:b w:val="0"/>
          <w:bCs w:val="0"/>
          <w:strike w:val="0"/>
          <w:dstrike w:val="0"/>
          <w:color w:val="auto"/>
          <w:sz w:val="32"/>
          <w:szCs w:val="32"/>
          <w:highlight w:val="none"/>
          <w:lang w:val="en-US" w:eastAsia="zh-CN"/>
        </w:rPr>
        <w:t>个，成功将韶关市菲尔金沙实验幼儿园打造为浈江区示范性托育服务机构。认真做好社会救助工作，严格落实拥军优抚、转业士官安置等政策，实现省级星级示范退役军人服务站全覆盖。</w:t>
      </w:r>
    </w:p>
    <w:p w14:paraId="4E93E3BE">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八、绿美浈江建设卓有成效</w:t>
      </w:r>
    </w:p>
    <w:p w14:paraId="4EEBC3A7">
      <w:pPr>
        <w:shd w:val="clear"/>
        <w:kinsoku/>
        <w:bidi w:val="0"/>
        <w:rPr>
          <w:rFonts w:hint="eastAsia" w:ascii="仿宋_GB2312" w:hAnsi="仿宋_GB2312" w:eastAsia="仿宋_GB2312" w:cs="仿宋_GB2312"/>
          <w:strike w:val="0"/>
          <w:dstrike w:val="0"/>
          <w:color w:val="auto"/>
          <w:sz w:val="32"/>
          <w:szCs w:val="32"/>
          <w:highlight w:val="none"/>
          <w:lang w:eastAsia="zh-CN"/>
        </w:rPr>
      </w:pPr>
      <w:r>
        <w:rPr>
          <w:rFonts w:hint="eastAsia" w:ascii="仿宋_GB2312" w:hAnsi="仿宋_GB2312" w:eastAsia="仿宋_GB2312" w:cs="仿宋_GB2312"/>
          <w:b/>
          <w:bCs/>
          <w:strike w:val="0"/>
          <w:dstrike w:val="0"/>
          <w:color w:val="auto"/>
          <w:sz w:val="32"/>
          <w:szCs w:val="32"/>
          <w:highlight w:val="none"/>
          <w:lang w:eastAsia="zh-CN"/>
        </w:rPr>
        <w:t>城乡绿化扩面提质增效。</w:t>
      </w:r>
      <w:r>
        <w:rPr>
          <w:rFonts w:hint="eastAsia" w:ascii="仿宋_GB2312" w:hAnsi="仿宋_GB2312" w:eastAsia="仿宋_GB2312" w:cs="仿宋_GB2312"/>
          <w:strike w:val="0"/>
          <w:dstrike w:val="0"/>
          <w:color w:val="auto"/>
          <w:sz w:val="32"/>
          <w:szCs w:val="32"/>
          <w:highlight w:val="none"/>
          <w:lang w:eastAsia="zh-CN"/>
        </w:rPr>
        <w:t>累计完成林分优化提升</w:t>
      </w:r>
      <w:r>
        <w:rPr>
          <w:rFonts w:hint="eastAsia" w:ascii="Times New Roman" w:hAnsi="Times New Roman" w:cs="Times New Roman"/>
          <w:strike w:val="0"/>
          <w:dstrike w:val="0"/>
          <w:color w:val="auto"/>
          <w:sz w:val="32"/>
          <w:szCs w:val="32"/>
          <w:highlight w:val="none"/>
          <w:lang w:eastAsia="zh-CN"/>
        </w:rPr>
        <w:t>7640</w:t>
      </w:r>
      <w:r>
        <w:rPr>
          <w:rFonts w:hint="eastAsia" w:ascii="仿宋_GB2312" w:hAnsi="仿宋_GB2312" w:eastAsia="仿宋_GB2312" w:cs="仿宋_GB2312"/>
          <w:strike w:val="0"/>
          <w:dstrike w:val="0"/>
          <w:color w:val="auto"/>
          <w:sz w:val="32"/>
          <w:szCs w:val="32"/>
          <w:highlight w:val="none"/>
          <w:lang w:eastAsia="zh-CN"/>
        </w:rPr>
        <w:t>亩，新造林抚育</w:t>
      </w:r>
      <w:r>
        <w:rPr>
          <w:rFonts w:hint="eastAsia" w:ascii="Times New Roman" w:hAnsi="Times New Roman" w:cs="Times New Roman"/>
          <w:strike w:val="0"/>
          <w:dstrike w:val="0"/>
          <w:color w:val="auto"/>
          <w:sz w:val="32"/>
          <w:szCs w:val="32"/>
          <w:highlight w:val="none"/>
          <w:lang w:eastAsia="zh-CN"/>
        </w:rPr>
        <w:t>13486</w:t>
      </w:r>
      <w:r>
        <w:rPr>
          <w:rFonts w:hint="eastAsia" w:ascii="仿宋_GB2312" w:hAnsi="仿宋_GB2312" w:eastAsia="仿宋_GB2312" w:cs="仿宋_GB2312"/>
          <w:strike w:val="0"/>
          <w:dstrike w:val="0"/>
          <w:color w:val="auto"/>
          <w:sz w:val="32"/>
          <w:szCs w:val="32"/>
          <w:highlight w:val="none"/>
          <w:lang w:eastAsia="zh-CN"/>
        </w:rPr>
        <w:t>亩及森林抚育</w:t>
      </w:r>
      <w:r>
        <w:rPr>
          <w:rFonts w:hint="eastAsia" w:cs="Times New Roman"/>
          <w:strike w:val="0"/>
          <w:dstrike w:val="0"/>
          <w:color w:val="auto"/>
          <w:sz w:val="32"/>
          <w:szCs w:val="32"/>
          <w:highlight w:val="none"/>
          <w:lang w:val="en-US" w:eastAsia="zh-CN"/>
        </w:rPr>
        <w:t>4600</w:t>
      </w:r>
      <w:r>
        <w:rPr>
          <w:rFonts w:hint="eastAsia" w:ascii="仿宋_GB2312" w:hAnsi="仿宋_GB2312" w:eastAsia="仿宋_GB2312" w:cs="仿宋_GB2312"/>
          <w:strike w:val="0"/>
          <w:dstrike w:val="0"/>
          <w:color w:val="auto"/>
          <w:sz w:val="32"/>
          <w:szCs w:val="32"/>
          <w:highlight w:val="none"/>
          <w:lang w:eastAsia="zh-CN"/>
        </w:rPr>
        <w:t>亩，种植乡土阔叶树种苗木</w:t>
      </w:r>
      <w:r>
        <w:rPr>
          <w:rFonts w:hint="eastAsia" w:ascii="Times New Roman" w:hAnsi="Times New Roman" w:cs="Times New Roman"/>
          <w:strike w:val="0"/>
          <w:dstrike w:val="0"/>
          <w:color w:val="auto"/>
          <w:sz w:val="32"/>
          <w:szCs w:val="32"/>
          <w:highlight w:val="none"/>
          <w:lang w:eastAsia="zh-CN"/>
        </w:rPr>
        <w:t>56</w:t>
      </w:r>
      <w:r>
        <w:rPr>
          <w:rFonts w:hint="eastAsia" w:ascii="仿宋_GB2312" w:hAnsi="仿宋_GB2312" w:eastAsia="仿宋_GB2312" w:cs="仿宋_GB2312"/>
          <w:strike w:val="0"/>
          <w:dstrike w:val="0"/>
          <w:color w:val="auto"/>
          <w:sz w:val="32"/>
          <w:szCs w:val="32"/>
          <w:highlight w:val="none"/>
          <w:lang w:eastAsia="zh-CN"/>
        </w:rPr>
        <w:t>万株，</w:t>
      </w:r>
      <w:r>
        <w:rPr>
          <w:rFonts w:hint="eastAsia" w:ascii="Times New Roman" w:hAnsi="Times New Roman" w:eastAsia="仿宋_GB2312" w:cs="Times New Roman"/>
          <w:b w:val="0"/>
          <w:bCs w:val="0"/>
          <w:strike w:val="0"/>
          <w:dstrike w:val="0"/>
          <w:color w:val="auto"/>
          <w:sz w:val="32"/>
          <w:szCs w:val="32"/>
          <w:highlight w:val="none"/>
          <w:lang w:eastAsia="zh-CN"/>
        </w:rPr>
        <w:t>森林覆盖率</w:t>
      </w:r>
      <w:r>
        <w:rPr>
          <w:rFonts w:hint="eastAsia" w:ascii="Times New Roman" w:hAnsi="Times New Roman" w:eastAsia="仿宋_GB2312" w:cs="Times New Roman"/>
          <w:b w:val="0"/>
          <w:bCs w:val="0"/>
          <w:strike w:val="0"/>
          <w:dstrike w:val="0"/>
          <w:color w:val="auto"/>
          <w:sz w:val="32"/>
          <w:szCs w:val="32"/>
          <w:highlight w:val="none"/>
          <w:lang w:val="en-US" w:eastAsia="zh-CN"/>
        </w:rPr>
        <w:t>60.93</w:t>
      </w:r>
      <w:r>
        <w:rPr>
          <w:rFonts w:hint="eastAsia" w:ascii="Times New Roman" w:hAnsi="Times New Roman" w:eastAsia="仿宋_GB2312" w:cs="Times New Roman"/>
          <w:b w:val="0"/>
          <w:bCs w:val="0"/>
          <w:strike w:val="0"/>
          <w:dstrike w:val="0"/>
          <w:color w:val="auto"/>
          <w:sz w:val="32"/>
          <w:szCs w:val="32"/>
          <w:highlight w:val="none"/>
          <w:lang w:eastAsia="zh-CN"/>
        </w:rPr>
        <w:t>%</w:t>
      </w:r>
      <w:r>
        <w:rPr>
          <w:rFonts w:hint="eastAsia" w:cs="Times New Roman"/>
          <w:b w:val="0"/>
          <w:bCs w:val="0"/>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lang w:eastAsia="zh-CN"/>
        </w:rPr>
        <w:t>森林蓄积量</w:t>
      </w:r>
      <w:r>
        <w:rPr>
          <w:rFonts w:hint="eastAsia" w:cs="Times New Roman"/>
          <w:strike w:val="0"/>
          <w:dstrike w:val="0"/>
          <w:color w:val="auto"/>
          <w:sz w:val="32"/>
          <w:szCs w:val="32"/>
          <w:highlight w:val="none"/>
          <w:lang w:val="en-US" w:eastAsia="zh-CN"/>
        </w:rPr>
        <w:t>319.91</w:t>
      </w:r>
      <w:r>
        <w:rPr>
          <w:rFonts w:hint="eastAsia" w:ascii="仿宋_GB2312" w:hAnsi="仿宋_GB2312" w:eastAsia="仿宋_GB2312" w:cs="仿宋_GB2312"/>
          <w:strike w:val="0"/>
          <w:dstrike w:val="0"/>
          <w:color w:val="auto"/>
          <w:sz w:val="32"/>
          <w:szCs w:val="32"/>
          <w:highlight w:val="none"/>
          <w:lang w:eastAsia="zh-CN"/>
        </w:rPr>
        <w:t>万立方米</w:t>
      </w:r>
      <w:r>
        <w:rPr>
          <w:rFonts w:hint="eastAsia" w:ascii="仿宋_GB2312" w:hAnsi="仿宋_GB2312" w:cs="仿宋_GB2312"/>
          <w:strike w:val="0"/>
          <w:dstrike w:val="0"/>
          <w:color w:val="auto"/>
          <w:sz w:val="32"/>
          <w:szCs w:val="32"/>
          <w:highlight w:val="none"/>
          <w:lang w:eastAsia="zh-CN"/>
        </w:rPr>
        <w:t>、较</w:t>
      </w:r>
      <w:r>
        <w:rPr>
          <w:rFonts w:hint="eastAsia" w:ascii="Times New Roman" w:hAnsi="Times New Roman" w:cs="Times New Roman"/>
          <w:strike w:val="0"/>
          <w:dstrike w:val="0"/>
          <w:color w:val="auto"/>
          <w:sz w:val="32"/>
          <w:szCs w:val="32"/>
          <w:highlight w:val="none"/>
          <w:lang w:eastAsia="zh-CN"/>
        </w:rPr>
        <w:t>2020</w:t>
      </w:r>
      <w:r>
        <w:rPr>
          <w:rFonts w:hint="eastAsia" w:ascii="仿宋_GB2312" w:hAnsi="仿宋_GB2312" w:cs="仿宋_GB2312"/>
          <w:strike w:val="0"/>
          <w:dstrike w:val="0"/>
          <w:color w:val="auto"/>
          <w:sz w:val="32"/>
          <w:szCs w:val="32"/>
          <w:highlight w:val="none"/>
          <w:lang w:eastAsia="zh-CN"/>
        </w:rPr>
        <w:t>年增长</w:t>
      </w:r>
      <w:r>
        <w:rPr>
          <w:rFonts w:hint="eastAsia" w:ascii="Times New Roman" w:hAnsi="Times New Roman" w:cs="Times New Roman"/>
          <w:strike w:val="0"/>
          <w:dstrike w:val="0"/>
          <w:color w:val="auto"/>
          <w:sz w:val="32"/>
          <w:szCs w:val="32"/>
          <w:highlight w:val="none"/>
          <w:lang w:eastAsia="zh-CN"/>
        </w:rPr>
        <w:t>18</w:t>
      </w:r>
      <w:r>
        <w:rPr>
          <w:rFonts w:hint="eastAsia" w:ascii="仿宋_GB2312" w:hAnsi="仿宋_GB2312" w:cs="仿宋_GB2312"/>
          <w:strike w:val="0"/>
          <w:dstrike w:val="0"/>
          <w:color w:val="auto"/>
          <w:sz w:val="32"/>
          <w:szCs w:val="32"/>
          <w:highlight w:val="none"/>
          <w:lang w:eastAsia="zh-CN"/>
        </w:rPr>
        <w:t>.</w:t>
      </w:r>
      <w:r>
        <w:rPr>
          <w:rFonts w:hint="eastAsia" w:ascii="Times New Roman" w:hAnsi="Times New Roman" w:cs="Times New Roman"/>
          <w:strike w:val="0"/>
          <w:dstrike w:val="0"/>
          <w:color w:val="auto"/>
          <w:sz w:val="32"/>
          <w:szCs w:val="32"/>
          <w:highlight w:val="none"/>
          <w:lang w:eastAsia="zh-CN"/>
        </w:rPr>
        <w:t>5%</w:t>
      </w:r>
      <w:r>
        <w:rPr>
          <w:rFonts w:hint="eastAsia" w:ascii="仿宋_GB2312" w:hAnsi="仿宋_GB2312" w:eastAsia="仿宋_GB2312" w:cs="仿宋_GB2312"/>
          <w:strike w:val="0"/>
          <w:dstrike w:val="0"/>
          <w:color w:val="auto"/>
          <w:sz w:val="32"/>
          <w:szCs w:val="32"/>
          <w:highlight w:val="none"/>
          <w:lang w:eastAsia="zh-CN"/>
        </w:rPr>
        <w:t>。深入开展松材线虫病综合防治，完成松材线虫病疫情防控五年攻坚行动总体目标进度</w:t>
      </w:r>
      <w:r>
        <w:rPr>
          <w:rFonts w:hint="eastAsia" w:ascii="Times New Roman" w:hAnsi="Times New Roman" w:cs="Times New Roman"/>
          <w:strike w:val="0"/>
          <w:dstrike w:val="0"/>
          <w:color w:val="auto"/>
          <w:sz w:val="32"/>
          <w:szCs w:val="32"/>
          <w:highlight w:val="none"/>
          <w:lang w:eastAsia="zh-CN"/>
        </w:rPr>
        <w:t>101</w:t>
      </w:r>
      <w:r>
        <w:rPr>
          <w:rFonts w:hint="eastAsia" w:ascii="仿宋_GB2312" w:hAnsi="仿宋_GB2312" w:eastAsia="仿宋_GB2312" w:cs="仿宋_GB2312"/>
          <w:strike w:val="0"/>
          <w:dstrike w:val="0"/>
          <w:color w:val="auto"/>
          <w:sz w:val="32"/>
          <w:szCs w:val="32"/>
          <w:highlight w:val="none"/>
          <w:lang w:eastAsia="zh-CN"/>
        </w:rPr>
        <w:t>.</w:t>
      </w:r>
      <w:r>
        <w:rPr>
          <w:rFonts w:hint="eastAsia" w:ascii="Times New Roman" w:hAnsi="Times New Roman" w:cs="Times New Roman"/>
          <w:strike w:val="0"/>
          <w:dstrike w:val="0"/>
          <w:color w:val="auto"/>
          <w:sz w:val="32"/>
          <w:szCs w:val="32"/>
          <w:highlight w:val="none"/>
          <w:lang w:eastAsia="zh-CN"/>
        </w:rPr>
        <w:t>7%</w:t>
      </w:r>
      <w:r>
        <w:rPr>
          <w:rFonts w:hint="eastAsia" w:ascii="仿宋_GB2312" w:hAnsi="仿宋_GB2312" w:eastAsia="仿宋_GB2312" w:cs="仿宋_GB2312"/>
          <w:strike w:val="0"/>
          <w:dstrike w:val="0"/>
          <w:color w:val="auto"/>
          <w:sz w:val="32"/>
          <w:szCs w:val="32"/>
          <w:highlight w:val="none"/>
          <w:lang w:eastAsia="zh-CN"/>
        </w:rPr>
        <w:t>。建成花坪奎塘绿美古树乡村，助力韶关成功创建国家森林城市。着力培育发展林业经济，韶关市浈江区油茶产业发展基地被认定为广东省首批林业特色产业发展基地，林业总产值突破</w:t>
      </w:r>
      <w:r>
        <w:rPr>
          <w:rFonts w:hint="eastAsia" w:ascii="Times New Roman" w:hAnsi="Times New Roman" w:cs="Times New Roman"/>
          <w:strike w:val="0"/>
          <w:dstrike w:val="0"/>
          <w:color w:val="auto"/>
          <w:sz w:val="32"/>
          <w:szCs w:val="32"/>
          <w:highlight w:val="none"/>
          <w:lang w:eastAsia="zh-CN"/>
        </w:rPr>
        <w:t>2</w:t>
      </w:r>
      <w:r>
        <w:rPr>
          <w:rFonts w:hint="eastAsia" w:ascii="仿宋_GB2312" w:hAnsi="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12</w:t>
      </w:r>
      <w:r>
        <w:rPr>
          <w:rFonts w:hint="eastAsia" w:ascii="仿宋_GB2312" w:hAnsi="仿宋_GB2312" w:eastAsia="仿宋_GB2312" w:cs="仿宋_GB2312"/>
          <w:strike w:val="0"/>
          <w:dstrike w:val="0"/>
          <w:color w:val="auto"/>
          <w:sz w:val="32"/>
          <w:szCs w:val="32"/>
          <w:highlight w:val="none"/>
          <w:lang w:eastAsia="zh-CN"/>
        </w:rPr>
        <w:t>亿元，较</w:t>
      </w:r>
      <w:r>
        <w:rPr>
          <w:rFonts w:hint="eastAsia" w:ascii="Times New Roman" w:hAnsi="Times New Roman" w:cs="Times New Roman"/>
          <w:strike w:val="0"/>
          <w:dstrike w:val="0"/>
          <w:color w:val="auto"/>
          <w:sz w:val="32"/>
          <w:szCs w:val="32"/>
          <w:highlight w:val="none"/>
          <w:lang w:eastAsia="zh-CN"/>
        </w:rPr>
        <w:t>202</w:t>
      </w:r>
      <w:r>
        <w:rPr>
          <w:rFonts w:hint="eastAsia" w:ascii="Times New Roman" w:hAnsi="Times New Roman" w:cs="Times New Roman"/>
          <w:strike w:val="0"/>
          <w:dstrike w:val="0"/>
          <w:color w:val="auto"/>
          <w:sz w:val="32"/>
          <w:szCs w:val="32"/>
          <w:highlight w:val="none"/>
          <w:lang w:val="en-US" w:eastAsia="zh-CN"/>
        </w:rPr>
        <w:t>0</w:t>
      </w:r>
      <w:r>
        <w:rPr>
          <w:rFonts w:hint="eastAsia" w:ascii="仿宋_GB2312" w:hAnsi="仿宋_GB2312" w:eastAsia="仿宋_GB2312" w:cs="仿宋_GB2312"/>
          <w:strike w:val="0"/>
          <w:dstrike w:val="0"/>
          <w:color w:val="auto"/>
          <w:sz w:val="32"/>
          <w:szCs w:val="32"/>
          <w:highlight w:val="none"/>
          <w:lang w:eastAsia="zh-CN"/>
        </w:rPr>
        <w:t>年增长</w:t>
      </w:r>
      <w:r>
        <w:rPr>
          <w:rFonts w:hint="eastAsia" w:ascii="Times New Roman" w:hAnsi="Times New Roman" w:cs="Times New Roman"/>
          <w:strike w:val="0"/>
          <w:dstrike w:val="0"/>
          <w:color w:val="auto"/>
          <w:sz w:val="32"/>
          <w:szCs w:val="32"/>
          <w:highlight w:val="none"/>
          <w:lang w:eastAsia="zh-CN"/>
        </w:rPr>
        <w:t>4</w:t>
      </w:r>
      <w:r>
        <w:rPr>
          <w:rFonts w:hint="eastAsia" w:ascii="Times New Roman" w:hAnsi="Times New Roman" w:cs="Times New Roman"/>
          <w:strike w:val="0"/>
          <w:dstrike w:val="0"/>
          <w:color w:val="auto"/>
          <w:sz w:val="32"/>
          <w:szCs w:val="32"/>
          <w:highlight w:val="none"/>
          <w:lang w:val="en-US" w:eastAsia="zh-CN"/>
        </w:rPr>
        <w:t>6</w:t>
      </w:r>
      <w:r>
        <w:rPr>
          <w:rFonts w:hint="eastAsia" w:ascii="仿宋_GB2312" w:hAnsi="仿宋_GB2312"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eastAsia="zh-CN"/>
        </w:rPr>
        <w:t>7</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b/>
          <w:bCs/>
          <w:strike w:val="0"/>
          <w:dstrike w:val="0"/>
          <w:color w:val="auto"/>
          <w:sz w:val="32"/>
          <w:szCs w:val="32"/>
          <w:highlight w:val="none"/>
          <w:lang w:eastAsia="zh-CN"/>
        </w:rPr>
        <w:t>污染防治攻坚成效显著。</w:t>
      </w:r>
      <w:r>
        <w:rPr>
          <w:rFonts w:hint="eastAsia" w:ascii="仿宋_GB2312" w:hAnsi="仿宋_GB2312" w:eastAsia="仿宋_GB2312" w:cs="仿宋_GB2312"/>
          <w:strike w:val="0"/>
          <w:dstrike w:val="0"/>
          <w:color w:val="auto"/>
          <w:sz w:val="32"/>
          <w:szCs w:val="32"/>
          <w:highlight w:val="none"/>
          <w:lang w:eastAsia="zh-CN"/>
        </w:rPr>
        <w:t>持续深入打好蓝天、碧水、净土保卫战，提升大气污染精准防控能力，全区AQI优良达标率达</w:t>
      </w:r>
      <w:r>
        <w:rPr>
          <w:rFonts w:hint="eastAsia" w:ascii="Times New Roman" w:hAnsi="Times New Roman" w:cs="Times New Roman"/>
          <w:strike w:val="0"/>
          <w:dstrike w:val="0"/>
          <w:color w:val="auto"/>
          <w:sz w:val="32"/>
          <w:szCs w:val="32"/>
          <w:highlight w:val="none"/>
          <w:lang w:val="en-US" w:eastAsia="zh-CN"/>
        </w:rPr>
        <w:t>91</w:t>
      </w:r>
      <w:r>
        <w:rPr>
          <w:rFonts w:hint="eastAsia" w:ascii="Times New Roman" w:hAnsi="Times New Roman" w:cs="Times New Roman"/>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lang w:eastAsia="zh-CN"/>
        </w:rPr>
        <w:t>以上，环境空气质量六项指标均达到国家二级标准。全面落实河湖长制，强化饮用水源地保护和跨界流域共治，市考以上地表水断面水质达标率连续五年保持</w:t>
      </w:r>
      <w:r>
        <w:rPr>
          <w:rFonts w:hint="eastAsia" w:ascii="Times New Roman" w:hAnsi="Times New Roman" w:cs="Times New Roman"/>
          <w:strike w:val="0"/>
          <w:dstrike w:val="0"/>
          <w:color w:val="auto"/>
          <w:sz w:val="32"/>
          <w:szCs w:val="32"/>
          <w:highlight w:val="none"/>
          <w:lang w:eastAsia="zh-CN"/>
        </w:rPr>
        <w:t>100%</w:t>
      </w:r>
      <w:r>
        <w:rPr>
          <w:rFonts w:hint="eastAsia" w:ascii="仿宋_GB2312" w:hAnsi="仿宋_GB2312" w:eastAsia="仿宋_GB2312" w:cs="仿宋_GB2312"/>
          <w:strike w:val="0"/>
          <w:dstrike w:val="0"/>
          <w:color w:val="auto"/>
          <w:sz w:val="32"/>
          <w:szCs w:val="32"/>
          <w:highlight w:val="none"/>
          <w:lang w:eastAsia="zh-CN"/>
        </w:rPr>
        <w:t>、优良比例</w:t>
      </w:r>
      <w:r>
        <w:rPr>
          <w:rFonts w:hint="eastAsia" w:ascii="Times New Roman" w:hAnsi="Times New Roman" w:cs="Times New Roman"/>
          <w:strike w:val="0"/>
          <w:dstrike w:val="0"/>
          <w:color w:val="auto"/>
          <w:sz w:val="32"/>
          <w:szCs w:val="32"/>
          <w:highlight w:val="none"/>
          <w:lang w:eastAsia="zh-CN"/>
        </w:rPr>
        <w:t>100%</w:t>
      </w:r>
      <w:r>
        <w:rPr>
          <w:rFonts w:hint="eastAsia" w:ascii="仿宋_GB2312" w:hAnsi="仿宋_GB2312" w:eastAsia="仿宋_GB2312" w:cs="仿宋_GB2312"/>
          <w:strike w:val="0"/>
          <w:dstrike w:val="0"/>
          <w:color w:val="auto"/>
          <w:sz w:val="32"/>
          <w:szCs w:val="32"/>
          <w:highlight w:val="none"/>
          <w:lang w:eastAsia="zh-CN"/>
        </w:rPr>
        <w:t>，武江十里亭饮用水水源水质达标率</w:t>
      </w:r>
      <w:r>
        <w:rPr>
          <w:rFonts w:hint="eastAsia" w:ascii="Times New Roman" w:hAnsi="Times New Roman" w:cs="Times New Roman"/>
          <w:strike w:val="0"/>
          <w:dstrike w:val="0"/>
          <w:color w:val="auto"/>
          <w:sz w:val="32"/>
          <w:szCs w:val="32"/>
          <w:highlight w:val="none"/>
          <w:lang w:eastAsia="zh-CN"/>
        </w:rPr>
        <w:t>100%</w:t>
      </w:r>
      <w:r>
        <w:rPr>
          <w:rFonts w:hint="eastAsia" w:ascii="仿宋_GB2312" w:hAnsi="仿宋_GB2312" w:eastAsia="仿宋_GB2312" w:cs="仿宋_GB2312"/>
          <w:strike w:val="0"/>
          <w:dstrike w:val="0"/>
          <w:color w:val="auto"/>
          <w:sz w:val="32"/>
          <w:szCs w:val="32"/>
          <w:highlight w:val="none"/>
          <w:lang w:eastAsia="zh-CN"/>
        </w:rPr>
        <w:t>。城市建成区无黑臭水体，农村区域未发现黑臭水体问题。扎实推进区域土壤、固体废物污染防治，受污染耕地安全利用率保持在</w:t>
      </w:r>
      <w:r>
        <w:rPr>
          <w:rFonts w:hint="eastAsia" w:ascii="Times New Roman" w:hAnsi="Times New Roman" w:cs="Times New Roman"/>
          <w:strike w:val="0"/>
          <w:dstrike w:val="0"/>
          <w:color w:val="auto"/>
          <w:sz w:val="32"/>
          <w:szCs w:val="32"/>
          <w:highlight w:val="none"/>
          <w:lang w:eastAsia="zh-CN"/>
        </w:rPr>
        <w:t>92%</w:t>
      </w:r>
      <w:r>
        <w:rPr>
          <w:rFonts w:hint="eastAsia" w:ascii="仿宋_GB2312" w:hAnsi="仿宋_GB2312" w:eastAsia="仿宋_GB2312" w:cs="仿宋_GB2312"/>
          <w:strike w:val="0"/>
          <w:dstrike w:val="0"/>
          <w:color w:val="auto"/>
          <w:sz w:val="32"/>
          <w:szCs w:val="32"/>
          <w:highlight w:val="none"/>
          <w:lang w:eastAsia="zh-CN"/>
        </w:rPr>
        <w:t>以上，重点建设用地安全利用率保持</w:t>
      </w:r>
      <w:r>
        <w:rPr>
          <w:rFonts w:hint="eastAsia" w:ascii="Times New Roman" w:hAnsi="Times New Roman" w:cs="Times New Roman"/>
          <w:strike w:val="0"/>
          <w:dstrike w:val="0"/>
          <w:color w:val="auto"/>
          <w:sz w:val="32"/>
          <w:szCs w:val="32"/>
          <w:highlight w:val="none"/>
          <w:lang w:eastAsia="zh-CN"/>
        </w:rPr>
        <w:t>100%</w:t>
      </w:r>
      <w:r>
        <w:rPr>
          <w:rFonts w:hint="eastAsia" w:ascii="仿宋_GB2312" w:hAnsi="仿宋_GB2312" w:eastAsia="仿宋_GB2312" w:cs="仿宋_GB2312"/>
          <w:strike w:val="0"/>
          <w:dstrike w:val="0"/>
          <w:color w:val="auto"/>
          <w:sz w:val="32"/>
          <w:szCs w:val="32"/>
          <w:highlight w:val="none"/>
          <w:lang w:eastAsia="zh-CN"/>
        </w:rPr>
        <w:t>，工业危险废物和医疗废物安全处置率连续五年达</w:t>
      </w:r>
      <w:r>
        <w:rPr>
          <w:rFonts w:hint="eastAsia" w:ascii="Times New Roman" w:hAnsi="Times New Roman" w:cs="Times New Roman"/>
          <w:strike w:val="0"/>
          <w:dstrike w:val="0"/>
          <w:color w:val="auto"/>
          <w:sz w:val="32"/>
          <w:szCs w:val="32"/>
          <w:highlight w:val="none"/>
          <w:lang w:eastAsia="zh-CN"/>
        </w:rPr>
        <w:t>100%</w:t>
      </w:r>
      <w:r>
        <w:rPr>
          <w:rFonts w:hint="eastAsia" w:ascii="仿宋_GB2312" w:hAnsi="仿宋_GB2312" w:eastAsia="仿宋_GB2312" w:cs="仿宋_GB2312"/>
          <w:strike w:val="0"/>
          <w:dstrike w:val="0"/>
          <w:color w:val="auto"/>
          <w:sz w:val="32"/>
          <w:szCs w:val="32"/>
          <w:highlight w:val="none"/>
          <w:lang w:eastAsia="zh-CN"/>
        </w:rPr>
        <w:t>。</w:t>
      </w:r>
    </w:p>
    <w:p w14:paraId="082A999B">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九、社会大局安全稳定有序</w:t>
      </w:r>
    </w:p>
    <w:p w14:paraId="3C83D380">
      <w:pPr>
        <w:widowControl w:val="0"/>
        <w:shd w:val="clear"/>
        <w:kinsoku/>
        <w:bidi w:val="0"/>
        <w:rPr>
          <w:rFonts w:hint="eastAsia"/>
          <w:color w:val="auto"/>
          <w:highlight w:val="none"/>
          <w:lang w:val="en-US" w:eastAsia="zh-CN"/>
        </w:rPr>
      </w:pPr>
      <w:r>
        <w:rPr>
          <w:rFonts w:hint="eastAsia"/>
          <w:b/>
          <w:bCs/>
          <w:color w:val="auto"/>
          <w:highlight w:val="none"/>
          <w:lang w:val="en-US" w:eastAsia="zh-CN"/>
        </w:rPr>
        <w:t>风险隐患排查整治有力有效。</w:t>
      </w:r>
      <w:r>
        <w:rPr>
          <w:rFonts w:hint="eastAsia"/>
          <w:color w:val="auto"/>
          <w:highlight w:val="none"/>
          <w:lang w:val="en-US" w:eastAsia="zh-CN"/>
        </w:rPr>
        <w:t>深入实施安全生产治本攻坚三年行动，加大重点领域风险隐患排查整治力度，“十四五”期间全区未发生重特大安全事故。深化社会治安综合治理，化解矛盾10327宗，成功率达99.38%，区司法局多次荣获中华全国人民调解员协会“组织宣传人民调解工作先进集体”称号。</w:t>
      </w:r>
      <w:r>
        <w:rPr>
          <w:rFonts w:hint="eastAsia"/>
          <w:b/>
          <w:bCs/>
          <w:color w:val="auto"/>
          <w:highlight w:val="none"/>
          <w:lang w:val="en-US" w:eastAsia="zh-CN"/>
        </w:rPr>
        <w:t>应急处置能力稳步提升。</w:t>
      </w:r>
      <w:r>
        <w:rPr>
          <w:rFonts w:hint="eastAsia"/>
          <w:color w:val="auto"/>
          <w:highlight w:val="none"/>
          <w:lang w:val="en-US" w:eastAsia="zh-CN"/>
        </w:rPr>
        <w:t>妥善应对百年一遇的“龙舟水”强降雨和洪涝灾害，5个单位获全市抗洪救灾突出贡献集体、19名同志获突出贡献个人。夯实城乡消防安全基础，镇（街）消防所建设完成全覆盖，莲塘路消防站被省消防救援总队授予“集体三等功”、被省总工会评为“工人先锋号”。</w:t>
      </w:r>
      <w:r>
        <w:rPr>
          <w:rFonts w:hint="eastAsia"/>
          <w:b/>
          <w:bCs/>
          <w:color w:val="auto"/>
          <w:highlight w:val="none"/>
          <w:lang w:val="en-US" w:eastAsia="zh-CN"/>
        </w:rPr>
        <w:t>平安浈江建设扎实推进。</w:t>
      </w:r>
      <w:r>
        <w:rPr>
          <w:rFonts w:hint="eastAsia"/>
          <w:color w:val="auto"/>
          <w:highlight w:val="none"/>
          <w:lang w:val="en-US" w:eastAsia="zh-CN"/>
        </w:rPr>
        <w:t>践行新时代“枫桥经验”，逐步实现全过程人民民主，东河街道陵西路社区被命名为“全国第八批民主法治示范社区”。推进平安乡村、法治乡村建设，打造立体化社会治安防控体系，深入推进“专业+机制+大数据”新型警务模式改革，加强“雪亮工程”平台建设，实现村居视频监控覆盖率100%，新韶镇大陂村获全省乡村治理示范村，站南路派出所等3所派出所被公安部命名为“一级公安派出所”。南门派出所被广东省公安厅评为“枫桥式公安派出所”等荣誉称号。精准打击违法犯罪，刑事治安警情持续下降，破案率、结案率持续上升，群众获得感安全感满意度大幅提升，社会治安大局持续平安稳定。</w:t>
      </w:r>
    </w:p>
    <w:p w14:paraId="0E10956B">
      <w:pPr>
        <w:widowControl w:val="0"/>
        <w:shd w:val="clear"/>
        <w:kinsoku/>
        <w:bidi w:val="0"/>
        <w:rPr>
          <w:rFonts w:hint="eastAsia"/>
          <w:color w:val="auto"/>
          <w:highlight w:val="none"/>
          <w:lang w:val="en-US" w:eastAsia="zh-CN"/>
        </w:rPr>
      </w:pPr>
    </w:p>
    <w:p w14:paraId="746C2069">
      <w:pPr>
        <w:widowControl w:val="0"/>
        <w:shd w:val="clear"/>
        <w:kinsoku/>
        <w:bidi w:val="0"/>
        <w:rPr>
          <w:rFonts w:hint="eastAsia"/>
          <w:color w:val="auto"/>
          <w:highlight w:val="none"/>
          <w:lang w:val="en-US" w:eastAsia="zh-CN"/>
        </w:rPr>
      </w:pPr>
    </w:p>
    <w:p w14:paraId="477F5999">
      <w:pPr>
        <w:pageBreakBefore w:val="0"/>
        <w:shd w:val="clear"/>
        <w:kinsoku/>
        <w:autoSpaceDE/>
        <w:autoSpaceDN/>
        <w:bidi w:val="0"/>
        <w:spacing w:line="560" w:lineRule="exact"/>
        <w:ind w:firstLine="0" w:firstLineChars="0"/>
        <w:jc w:val="center"/>
        <w:rPr>
          <w:rFonts w:hint="eastAsia" w:eastAsia="黑体"/>
          <w:b w:val="0"/>
          <w:bCs w:val="0"/>
          <w:strike w:val="0"/>
          <w:dstrike w:val="0"/>
          <w:color w:val="auto"/>
          <w:sz w:val="28"/>
          <w:szCs w:val="28"/>
          <w:highlight w:val="none"/>
          <w:u w:val="none" w:color="auto"/>
          <w:lang w:val="en-US" w:eastAsia="zh-CN"/>
        </w:rPr>
      </w:pPr>
      <w:r>
        <w:rPr>
          <w:rFonts w:hint="eastAsia" w:ascii="Times New Roman" w:hAnsi="Times New Roman" w:eastAsia="黑体" w:cs="Times New Roman"/>
          <w:b w:val="0"/>
          <w:bCs w:val="0"/>
          <w:strike w:val="0"/>
          <w:dstrike w:val="0"/>
          <w:color w:val="auto"/>
          <w:sz w:val="28"/>
          <w:szCs w:val="28"/>
          <w:highlight w:val="none"/>
          <w:u w:val="none" w:color="auto"/>
          <w:lang w:val="en-US" w:eastAsia="zh-CN"/>
        </w:rPr>
        <w:t>表1</w:t>
      </w:r>
      <w:r>
        <w:rPr>
          <w:rFonts w:hint="eastAsia" w:eastAsia="黑体"/>
          <w:b w:val="0"/>
          <w:bCs w:val="0"/>
          <w:strike w:val="0"/>
          <w:dstrike w:val="0"/>
          <w:color w:val="auto"/>
          <w:sz w:val="28"/>
          <w:szCs w:val="28"/>
          <w:highlight w:val="none"/>
          <w:u w:val="none" w:color="auto"/>
          <w:lang w:val="en-US" w:eastAsia="zh-CN"/>
        </w:rPr>
        <w:t>“十四五”经济社会发展主要指标完成情况表</w:t>
      </w:r>
    </w:p>
    <w:tbl>
      <w:tblPr>
        <w:tblStyle w:val="26"/>
        <w:tblW w:w="474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2647"/>
        <w:gridCol w:w="1018"/>
        <w:gridCol w:w="1058"/>
        <w:gridCol w:w="22"/>
        <w:gridCol w:w="1037"/>
        <w:gridCol w:w="1"/>
        <w:gridCol w:w="996"/>
        <w:gridCol w:w="78"/>
        <w:gridCol w:w="1075"/>
        <w:gridCol w:w="1"/>
      </w:tblGrid>
      <w:tr w14:paraId="67819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jc w:val="center"/>
        </w:trPr>
        <w:tc>
          <w:tcPr>
            <w:tcW w:w="385" w:type="pct"/>
            <w:vMerge w:val="restart"/>
            <w:tcBorders>
              <w:top w:val="single" w:color="000000" w:sz="4" w:space="0"/>
              <w:left w:val="single" w:color="000000" w:sz="4" w:space="0"/>
              <w:right w:val="single" w:color="000000" w:sz="4" w:space="0"/>
            </w:tcBorders>
            <w:shd w:val="clear" w:color="auto" w:fill="FFFFFF"/>
            <w:vAlign w:val="center"/>
          </w:tcPr>
          <w:p w14:paraId="3BD0ADA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pPr>
            <w: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t>序号</w:t>
            </w:r>
          </w:p>
        </w:tc>
        <w:tc>
          <w:tcPr>
            <w:tcW w:w="153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3B51F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黑体" w:cs="Times New Roman"/>
                <w:b w:val="0"/>
                <w:bCs w:val="0"/>
                <w:i w:val="0"/>
                <w:iCs w:val="0"/>
                <w:color w:val="auto"/>
                <w:sz w:val="24"/>
                <w:szCs w:val="24"/>
                <w:highlight w:val="none"/>
                <w:u w:val="none"/>
              </w:rPr>
            </w:pPr>
            <w: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t>指标名称</w:t>
            </w:r>
          </w:p>
        </w:tc>
        <w:tc>
          <w:tcPr>
            <w:tcW w:w="592" w:type="pct"/>
            <w:vMerge w:val="restart"/>
            <w:tcBorders>
              <w:top w:val="single" w:color="000000" w:sz="4" w:space="0"/>
              <w:left w:val="single" w:color="000000" w:sz="4" w:space="0"/>
              <w:right w:val="single" w:color="000000" w:sz="4" w:space="0"/>
            </w:tcBorders>
            <w:shd w:val="clear" w:color="auto" w:fill="FFFFFF"/>
            <w:vAlign w:val="center"/>
          </w:tcPr>
          <w:p w14:paraId="4AE09B5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黑体" w:cs="Times New Roman"/>
                <w:b w:val="0"/>
                <w:bCs w:val="0"/>
                <w:i w:val="0"/>
                <w:iCs w:val="0"/>
                <w:color w:val="auto"/>
                <w:sz w:val="24"/>
                <w:szCs w:val="24"/>
                <w:highlight w:val="none"/>
                <w:u w:val="none"/>
                <w:lang w:val="en-US"/>
              </w:rPr>
            </w:pPr>
            <w: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t>2020</w:t>
            </w:r>
            <w:r>
              <w:rPr>
                <w:rFonts w:hint="eastAsia" w:ascii="Times New Roman" w:hAnsi="Times New Roman" w:eastAsia="黑体" w:cs="Times New Roman"/>
                <w:b w:val="0"/>
                <w:bCs w:val="0"/>
                <w:snapToGrid w:val="0"/>
                <w:color w:val="auto"/>
                <w:sz w:val="24"/>
                <w:szCs w:val="24"/>
                <w:highlight w:val="none"/>
                <w:u w:val="none"/>
                <w:lang w:val="en-US" w:eastAsia="zh-CN" w:bidi="ar"/>
              </w:rPr>
              <w:t>年基期数</w:t>
            </w:r>
          </w:p>
        </w:tc>
        <w:tc>
          <w:tcPr>
            <w:tcW w:w="1231"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08DFFF1">
            <w:pPr>
              <w:keepNext w:val="0"/>
              <w:keepLines w:val="0"/>
              <w:widowControl/>
              <w:suppressLineNumbers w:val="0"/>
              <w:shd w:val="clear"/>
              <w:kinsoku/>
              <w:spacing w:line="240" w:lineRule="auto"/>
              <w:ind w:firstLine="0" w:firstLineChars="0"/>
              <w:jc w:val="center"/>
              <w:textAlignment w:val="center"/>
              <w:rPr>
                <w:rFonts w:hint="default" w:ascii="Times New Roman" w:hAnsi="Times New Roman" w:eastAsia="黑体" w:cs="Times New Roman"/>
                <w:b w:val="0"/>
                <w:bCs w:val="0"/>
                <w:i w:val="0"/>
                <w:iCs w:val="0"/>
                <w:strike w:val="0"/>
                <w:dstrike w:val="0"/>
                <w:snapToGrid w:val="0"/>
                <w:color w:val="auto"/>
                <w:kern w:val="0"/>
                <w:sz w:val="24"/>
                <w:szCs w:val="24"/>
                <w:highlight w:val="none"/>
                <w:u w:val="none" w:color="auto"/>
                <w:lang w:val="en-US" w:eastAsia="zh-CN" w:bidi="ar"/>
              </w:rPr>
            </w:pPr>
            <w:r>
              <w:rPr>
                <w:rFonts w:hint="default" w:ascii="Times New Roman" w:hAnsi="Times New Roman" w:eastAsia="黑体" w:cs="Times New Roman"/>
                <w:b w:val="0"/>
                <w:bCs w:val="0"/>
                <w:i w:val="0"/>
                <w:iCs w:val="0"/>
                <w:strike w:val="0"/>
                <w:dstrike w:val="0"/>
                <w:snapToGrid w:val="0"/>
                <w:color w:val="auto"/>
                <w:kern w:val="0"/>
                <w:sz w:val="24"/>
                <w:szCs w:val="24"/>
                <w:highlight w:val="none"/>
                <w:u w:val="none" w:color="auto"/>
                <w:lang w:val="en-US" w:eastAsia="zh-CN" w:bidi="ar"/>
              </w:rPr>
              <w:t>“十四五”规划</w:t>
            </w:r>
          </w:p>
          <w:p w14:paraId="32341A4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黑体" w:cs="Times New Roman"/>
                <w:b w:val="0"/>
                <w:bCs w:val="0"/>
                <w:i w:val="0"/>
                <w:iCs w:val="0"/>
                <w:color w:val="auto"/>
                <w:sz w:val="24"/>
                <w:szCs w:val="24"/>
                <w:highlight w:val="none"/>
                <w:u w:val="none"/>
              </w:rPr>
            </w:pPr>
            <w:r>
              <w:rPr>
                <w:rFonts w:hint="default" w:ascii="Times New Roman" w:hAnsi="Times New Roman" w:eastAsia="黑体" w:cs="Times New Roman"/>
                <w:b w:val="0"/>
                <w:bCs w:val="0"/>
                <w:i w:val="0"/>
                <w:iCs w:val="0"/>
                <w:strike w:val="0"/>
                <w:dstrike w:val="0"/>
                <w:snapToGrid w:val="0"/>
                <w:color w:val="auto"/>
                <w:kern w:val="0"/>
                <w:sz w:val="24"/>
                <w:szCs w:val="24"/>
                <w:highlight w:val="none"/>
                <w:u w:val="none" w:color="auto"/>
                <w:lang w:val="en-US" w:eastAsia="zh-CN" w:bidi="ar"/>
              </w:rPr>
              <w:t>目标</w:t>
            </w:r>
          </w:p>
        </w:tc>
        <w:tc>
          <w:tcPr>
            <w:tcW w:w="1250"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DFFA0FE">
            <w:pPr>
              <w:keepNext w:val="0"/>
              <w:keepLines w:val="0"/>
              <w:widowControl/>
              <w:suppressLineNumbers w:val="0"/>
              <w:shd w:val="clear"/>
              <w:kinsoku/>
              <w:spacing w:line="240" w:lineRule="auto"/>
              <w:ind w:firstLine="0" w:firstLineChars="0"/>
              <w:jc w:val="center"/>
              <w:textAlignment w:val="center"/>
              <w:rPr>
                <w:rFonts w:hint="default" w:ascii="Times New Roman" w:hAnsi="Times New Roman" w:eastAsia="黑体" w:cs="Times New Roman"/>
                <w:b w:val="0"/>
                <w:bCs w:val="0"/>
                <w:i w:val="0"/>
                <w:iCs w:val="0"/>
                <w:strike w:val="0"/>
                <w:dstrike w:val="0"/>
                <w:snapToGrid w:val="0"/>
                <w:color w:val="auto"/>
                <w:kern w:val="0"/>
                <w:sz w:val="24"/>
                <w:szCs w:val="24"/>
                <w:highlight w:val="none"/>
                <w:u w:val="none" w:color="auto"/>
                <w:lang w:val="en-US" w:eastAsia="zh-CN" w:bidi="ar"/>
              </w:rPr>
            </w:pPr>
            <w:r>
              <w:rPr>
                <w:rFonts w:hint="default" w:ascii="Times New Roman" w:hAnsi="Times New Roman" w:eastAsia="黑体" w:cs="Times New Roman"/>
                <w:b w:val="0"/>
                <w:bCs w:val="0"/>
                <w:i w:val="0"/>
                <w:iCs w:val="0"/>
                <w:strike w:val="0"/>
                <w:dstrike w:val="0"/>
                <w:snapToGrid w:val="0"/>
                <w:color w:val="auto"/>
                <w:kern w:val="0"/>
                <w:sz w:val="24"/>
                <w:szCs w:val="24"/>
                <w:highlight w:val="none"/>
                <w:u w:val="none" w:color="auto"/>
                <w:lang w:val="en-US" w:eastAsia="zh-CN" w:bidi="ar"/>
              </w:rPr>
              <w:t>“十四五”规划</w:t>
            </w:r>
          </w:p>
          <w:p w14:paraId="1D71F05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pPr>
            <w:r>
              <w:rPr>
                <w:rFonts w:hint="default" w:ascii="Times New Roman" w:hAnsi="Times New Roman" w:eastAsia="黑体" w:cs="Times New Roman"/>
                <w:b w:val="0"/>
                <w:bCs w:val="0"/>
                <w:i w:val="0"/>
                <w:iCs w:val="0"/>
                <w:strike w:val="0"/>
                <w:dstrike w:val="0"/>
                <w:snapToGrid w:val="0"/>
                <w:color w:val="auto"/>
                <w:kern w:val="0"/>
                <w:sz w:val="24"/>
                <w:szCs w:val="24"/>
                <w:highlight w:val="none"/>
                <w:u w:val="none" w:color="auto"/>
                <w:lang w:val="en-US" w:eastAsia="zh-CN" w:bidi="ar"/>
              </w:rPr>
              <w:t>完成情况</w:t>
            </w:r>
          </w:p>
        </w:tc>
      </w:tr>
      <w:tr w14:paraId="4CA4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85" w:type="pct"/>
            <w:vMerge w:val="continue"/>
            <w:tcBorders>
              <w:left w:val="single" w:color="000000" w:sz="4" w:space="0"/>
              <w:bottom w:val="single" w:color="000000" w:sz="4" w:space="0"/>
              <w:right w:val="single" w:color="000000" w:sz="4" w:space="0"/>
            </w:tcBorders>
            <w:shd w:val="clear" w:color="auto" w:fill="FFFFFF"/>
            <w:vAlign w:val="center"/>
          </w:tcPr>
          <w:p w14:paraId="3231B6A9">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eastAsia" w:ascii="Times New Roman" w:hAnsi="Times New Roman" w:eastAsia="黑体" w:cs="Times New Roman"/>
                <w:b w:val="0"/>
                <w:bCs w:val="0"/>
                <w:i w:val="0"/>
                <w:iCs w:val="0"/>
                <w:color w:val="auto"/>
                <w:sz w:val="24"/>
                <w:szCs w:val="24"/>
                <w:highlight w:val="none"/>
                <w:u w:val="none"/>
              </w:rPr>
            </w:pPr>
          </w:p>
        </w:tc>
        <w:tc>
          <w:tcPr>
            <w:tcW w:w="153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9DA83E">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eastAsia" w:ascii="Times New Roman" w:hAnsi="Times New Roman" w:eastAsia="黑体" w:cs="Times New Roman"/>
                <w:b w:val="0"/>
                <w:bCs w:val="0"/>
                <w:i w:val="0"/>
                <w:iCs w:val="0"/>
                <w:color w:val="auto"/>
                <w:sz w:val="24"/>
                <w:szCs w:val="24"/>
                <w:highlight w:val="none"/>
                <w:u w:val="none"/>
              </w:rPr>
            </w:pPr>
          </w:p>
        </w:tc>
        <w:tc>
          <w:tcPr>
            <w:tcW w:w="592" w:type="pct"/>
            <w:vMerge w:val="continue"/>
            <w:tcBorders>
              <w:left w:val="single" w:color="000000" w:sz="4" w:space="0"/>
              <w:right w:val="single" w:color="000000" w:sz="4" w:space="0"/>
            </w:tcBorders>
            <w:shd w:val="clear" w:color="auto" w:fill="FFFFFF"/>
            <w:vAlign w:val="center"/>
          </w:tcPr>
          <w:p w14:paraId="7500C47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黑体" w:cs="Times New Roman"/>
                <w:b w:val="0"/>
                <w:bCs w:val="0"/>
                <w:i w:val="0"/>
                <w:iCs w:val="0"/>
                <w:color w:val="auto"/>
                <w:sz w:val="24"/>
                <w:szCs w:val="24"/>
                <w:highlight w:val="none"/>
                <w:u w:val="none"/>
              </w:rPr>
            </w:pP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634CB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黑体" w:cs="Times New Roman"/>
                <w:b w:val="0"/>
                <w:bCs w:val="0"/>
                <w:i w:val="0"/>
                <w:iCs w:val="0"/>
                <w:color w:val="auto"/>
                <w:sz w:val="24"/>
                <w:szCs w:val="24"/>
                <w:highlight w:val="none"/>
                <w:u w:val="none"/>
              </w:rPr>
            </w:pPr>
            <w: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t>2025</w:t>
            </w:r>
            <w:r>
              <w:rPr>
                <w:rFonts w:hint="eastAsia" w:ascii="Times New Roman" w:hAnsi="Times New Roman" w:eastAsia="黑体" w:cs="Times New Roman"/>
                <w:b w:val="0"/>
                <w:bCs w:val="0"/>
                <w:snapToGrid w:val="0"/>
                <w:color w:val="auto"/>
                <w:sz w:val="24"/>
                <w:szCs w:val="24"/>
                <w:highlight w:val="none"/>
                <w:u w:val="none"/>
                <w:lang w:val="en-US" w:eastAsia="zh-CN" w:bidi="ar"/>
              </w:rPr>
              <w:t>年</w:t>
            </w:r>
          </w:p>
        </w:tc>
        <w:tc>
          <w:tcPr>
            <w:tcW w:w="603" w:type="pct"/>
            <w:gridSpan w:val="2"/>
            <w:tcBorders>
              <w:top w:val="single" w:color="000000" w:sz="4" w:space="0"/>
              <w:left w:val="nil"/>
              <w:bottom w:val="single" w:color="000000" w:sz="4" w:space="0"/>
              <w:right w:val="single" w:color="000000" w:sz="4" w:space="0"/>
            </w:tcBorders>
            <w:shd w:val="clear" w:color="auto" w:fill="FFFFFF"/>
            <w:vAlign w:val="center"/>
          </w:tcPr>
          <w:p w14:paraId="114B4BD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黑体" w:cs="Times New Roman"/>
                <w:b w:val="0"/>
                <w:bCs w:val="0"/>
                <w:i w:val="0"/>
                <w:iCs w:val="0"/>
                <w:color w:val="auto"/>
                <w:sz w:val="24"/>
                <w:szCs w:val="24"/>
                <w:highlight w:val="none"/>
                <w:u w:val="none"/>
              </w:rPr>
            </w:pPr>
            <w: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t>年均增长（</w:t>
            </w:r>
            <w:r>
              <w:rPr>
                <w:rFonts w:hint="eastAsia" w:ascii="Times New Roman" w:hAnsi="Times New Roman" w:eastAsia="黑体" w:cs="Times New Roman"/>
                <w:b w:val="0"/>
                <w:bCs w:val="0"/>
                <w:snapToGrid w:val="0"/>
                <w:color w:val="auto"/>
                <w:sz w:val="24"/>
                <w:szCs w:val="24"/>
                <w:highlight w:val="none"/>
                <w:u w:val="none"/>
                <w:lang w:val="en-US" w:eastAsia="zh-CN" w:bidi="ar"/>
              </w:rPr>
              <w:t>%）</w:t>
            </w:r>
          </w:p>
        </w:tc>
        <w:tc>
          <w:tcPr>
            <w:tcW w:w="579" w:type="pct"/>
            <w:tcBorders>
              <w:top w:val="single" w:color="000000" w:sz="4" w:space="0"/>
              <w:left w:val="nil"/>
              <w:bottom w:val="single" w:color="000000" w:sz="4" w:space="0"/>
              <w:right w:val="single" w:color="000000" w:sz="4" w:space="0"/>
            </w:tcBorders>
            <w:shd w:val="clear" w:color="auto" w:fill="FFFFFF"/>
            <w:vAlign w:val="center"/>
          </w:tcPr>
          <w:p w14:paraId="0490079D">
            <w:pPr>
              <w:keepNext w:val="0"/>
              <w:keepLines w:val="0"/>
              <w:widowControl/>
              <w:suppressLineNumbers w:val="0"/>
              <w:shd w:val="clear"/>
              <w:kinsoku/>
              <w:spacing w:line="240" w:lineRule="auto"/>
              <w:ind w:firstLine="0" w:firstLineChars="0"/>
              <w:jc w:val="center"/>
              <w:textAlignment w:val="cente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pPr>
            <w:r>
              <w:rPr>
                <w:rFonts w:hint="eastAsia" w:ascii="Times New Roman" w:hAnsi="Times New Roman" w:eastAsia="黑体" w:cs="Times New Roman"/>
                <w:i w:val="0"/>
                <w:iCs w:val="0"/>
                <w:strike w:val="0"/>
                <w:dstrike w:val="0"/>
                <w:snapToGrid w:val="0"/>
                <w:color w:val="auto"/>
                <w:kern w:val="0"/>
                <w:sz w:val="24"/>
                <w:szCs w:val="24"/>
                <w:highlight w:val="none"/>
                <w:u w:val="none" w:color="auto"/>
                <w:lang w:val="en-US" w:eastAsia="zh-CN" w:bidi="ar"/>
              </w:rPr>
              <w:t>2025</w:t>
            </w:r>
            <w:r>
              <w:rPr>
                <w:rFonts w:hint="default" w:ascii="Times New Roman" w:hAnsi="Times New Roman" w:eastAsia="黑体" w:cs="Times New Roman"/>
                <w:i w:val="0"/>
                <w:iCs w:val="0"/>
                <w:strike w:val="0"/>
                <w:dstrike w:val="0"/>
                <w:snapToGrid w:val="0"/>
                <w:color w:val="auto"/>
                <w:kern w:val="0"/>
                <w:sz w:val="24"/>
                <w:szCs w:val="24"/>
                <w:highlight w:val="none"/>
                <w:u w:val="none" w:color="auto"/>
                <w:lang w:val="en-US" w:eastAsia="zh-CN" w:bidi="ar"/>
              </w:rPr>
              <w:t>年</w:t>
            </w:r>
          </w:p>
        </w:tc>
        <w:tc>
          <w:tcPr>
            <w:tcW w:w="671" w:type="pct"/>
            <w:gridSpan w:val="3"/>
            <w:tcBorders>
              <w:top w:val="single" w:color="000000" w:sz="4" w:space="0"/>
              <w:left w:val="nil"/>
              <w:bottom w:val="single" w:color="000000" w:sz="4" w:space="0"/>
              <w:right w:val="single" w:color="000000" w:sz="4" w:space="0"/>
            </w:tcBorders>
            <w:shd w:val="clear" w:color="auto" w:fill="FFFFFF"/>
            <w:vAlign w:val="center"/>
          </w:tcPr>
          <w:p w14:paraId="0AD6F7AC">
            <w:pPr>
              <w:keepNext w:val="0"/>
              <w:keepLines w:val="0"/>
              <w:widowControl/>
              <w:suppressLineNumbers w:val="0"/>
              <w:shd w:val="clear"/>
              <w:kinsoku/>
              <w:spacing w:line="240" w:lineRule="auto"/>
              <w:ind w:firstLine="0" w:firstLineChars="0"/>
              <w:jc w:val="center"/>
              <w:textAlignment w:val="center"/>
              <w:rPr>
                <w:rFonts w:hint="eastAsia" w:ascii="Times New Roman" w:hAnsi="Times New Roman" w:eastAsia="黑体" w:cs="Times New Roman"/>
                <w:b w:val="0"/>
                <w:bCs w:val="0"/>
                <w:i w:val="0"/>
                <w:iCs w:val="0"/>
                <w:snapToGrid w:val="0"/>
                <w:color w:val="auto"/>
                <w:kern w:val="0"/>
                <w:sz w:val="24"/>
                <w:szCs w:val="24"/>
                <w:highlight w:val="none"/>
                <w:u w:val="none"/>
                <w:lang w:val="en-US" w:eastAsia="zh-CN" w:bidi="ar"/>
              </w:rPr>
            </w:pPr>
            <w:r>
              <w:rPr>
                <w:rFonts w:hint="default" w:ascii="Times New Roman" w:hAnsi="Times New Roman" w:eastAsia="黑体" w:cs="Times New Roman"/>
                <w:i w:val="0"/>
                <w:iCs w:val="0"/>
                <w:strike w:val="0"/>
                <w:dstrike w:val="0"/>
                <w:snapToGrid w:val="0"/>
                <w:color w:val="auto"/>
                <w:kern w:val="0"/>
                <w:sz w:val="24"/>
                <w:szCs w:val="24"/>
                <w:highlight w:val="none"/>
                <w:u w:val="none" w:color="auto"/>
                <w:lang w:val="en-US" w:eastAsia="zh-CN" w:bidi="ar"/>
              </w:rPr>
              <w:t>年均增长（</w:t>
            </w:r>
            <w:r>
              <w:rPr>
                <w:rFonts w:hint="eastAsia" w:ascii="Times New Roman" w:hAnsi="Times New Roman" w:eastAsia="黑体" w:cs="Times New Roman"/>
                <w:i w:val="0"/>
                <w:iCs w:val="0"/>
                <w:strike w:val="0"/>
                <w:dstrike w:val="0"/>
                <w:snapToGrid w:val="0"/>
                <w:color w:val="auto"/>
                <w:kern w:val="0"/>
                <w:sz w:val="24"/>
                <w:szCs w:val="24"/>
                <w:highlight w:val="none"/>
                <w:u w:val="none" w:color="auto"/>
                <w:lang w:val="en-US" w:eastAsia="zh-CN" w:bidi="ar"/>
              </w:rPr>
              <w:t>%</w:t>
            </w:r>
            <w:r>
              <w:rPr>
                <w:rFonts w:hint="default" w:ascii="Times New Roman" w:hAnsi="Times New Roman" w:eastAsia="黑体" w:cs="Times New Roman"/>
                <w:i w:val="0"/>
                <w:iCs w:val="0"/>
                <w:strike w:val="0"/>
                <w:dstrike w:val="0"/>
                <w:snapToGrid w:val="0"/>
                <w:color w:val="auto"/>
                <w:kern w:val="0"/>
                <w:sz w:val="24"/>
                <w:szCs w:val="24"/>
                <w:highlight w:val="none"/>
                <w:u w:val="none" w:color="auto"/>
                <w:lang w:val="en-US" w:eastAsia="zh-CN" w:bidi="ar"/>
              </w:rPr>
              <w:t>）</w:t>
            </w:r>
          </w:p>
        </w:tc>
      </w:tr>
      <w:tr w14:paraId="2D03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0537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7C8EC">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国内生产总值（亿元）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04AE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cs="Times New Roman"/>
                <w:i w:val="0"/>
                <w:iCs w:val="0"/>
                <w:snapToGrid w:val="0"/>
                <w:color w:val="auto"/>
                <w:kern w:val="0"/>
                <w:sz w:val="24"/>
                <w:szCs w:val="24"/>
                <w:highlight w:val="none"/>
                <w:u w:val="none"/>
                <w:lang w:val="en-US" w:eastAsia="zh-CN" w:bidi="ar"/>
              </w:rPr>
              <w:t>207.56</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34EB3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260</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E5ED00">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6</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91D4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23</w:t>
            </w:r>
            <w:r>
              <w:rPr>
                <w:rFonts w:hint="eastAsia" w:cs="Times New Roman"/>
                <w:i w:val="0"/>
                <w:iCs w:val="0"/>
                <w:snapToGrid w:val="0"/>
                <w:color w:val="auto"/>
                <w:kern w:val="0"/>
                <w:sz w:val="24"/>
                <w:szCs w:val="24"/>
                <w:highlight w:val="none"/>
                <w:u w:val="none"/>
                <w:lang w:val="en-US" w:eastAsia="zh-CN" w:bidi="ar"/>
              </w:rPr>
              <w:t>5.24</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4A5241F">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2.2</w:t>
            </w:r>
          </w:p>
        </w:tc>
      </w:tr>
      <w:tr w14:paraId="1460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6528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2</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BF9D8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其中：第一产业（亿元）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8749DC">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8</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41</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8DD33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10</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2</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FA77B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4</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CFF7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8.91</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DD9D3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4.1</w:t>
            </w:r>
          </w:p>
        </w:tc>
      </w:tr>
      <w:tr w14:paraId="43164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D0FD0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3</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FE64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第二产业（亿元）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EE8520">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cs="Times New Roman"/>
                <w:i w:val="0"/>
                <w:iCs w:val="0"/>
                <w:snapToGrid w:val="0"/>
                <w:color w:val="auto"/>
                <w:kern w:val="0"/>
                <w:sz w:val="24"/>
                <w:szCs w:val="24"/>
                <w:highlight w:val="none"/>
                <w:u w:val="none"/>
                <w:lang w:val="en-US" w:eastAsia="zh-CN" w:bidi="ar"/>
              </w:rPr>
              <w:t>56.51</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CA713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86</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7</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45878A">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10</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5</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8CA8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5</w:t>
            </w:r>
            <w:r>
              <w:rPr>
                <w:rFonts w:hint="eastAsia" w:cs="Times New Roman"/>
                <w:i w:val="0"/>
                <w:iCs w:val="0"/>
                <w:snapToGrid w:val="0"/>
                <w:color w:val="auto"/>
                <w:kern w:val="0"/>
                <w:sz w:val="24"/>
                <w:szCs w:val="24"/>
                <w:highlight w:val="none"/>
                <w:u w:val="none"/>
                <w:lang w:val="en-US" w:eastAsia="zh-CN" w:bidi="ar"/>
              </w:rPr>
              <w:t>4.41</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42AF48">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-1.7</w:t>
            </w:r>
          </w:p>
        </w:tc>
      </w:tr>
      <w:tr w14:paraId="266D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20AA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4</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44881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#工业增加值（亿元）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B7539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33.12</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9B13C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47</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67146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8</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61D7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40.</w:t>
            </w:r>
            <w:r>
              <w:rPr>
                <w:rFonts w:hint="eastAsia" w:cs="Times New Roman"/>
                <w:i w:val="0"/>
                <w:iCs w:val="0"/>
                <w:snapToGrid w:val="0"/>
                <w:color w:val="auto"/>
                <w:kern w:val="0"/>
                <w:sz w:val="24"/>
                <w:szCs w:val="24"/>
                <w:highlight w:val="none"/>
                <w:u w:val="none"/>
                <w:lang w:val="en-US" w:eastAsia="zh-CN" w:bidi="ar"/>
              </w:rPr>
              <w:t>52</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DADE95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3.2</w:t>
            </w:r>
          </w:p>
        </w:tc>
      </w:tr>
      <w:tr w14:paraId="59ED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1255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5</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79E8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第三产业（亿元）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440D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cs="Times New Roman"/>
                <w:i w:val="0"/>
                <w:iCs w:val="0"/>
                <w:snapToGrid w:val="0"/>
                <w:color w:val="auto"/>
                <w:kern w:val="0"/>
                <w:sz w:val="24"/>
                <w:szCs w:val="24"/>
                <w:highlight w:val="none"/>
                <w:u w:val="none"/>
                <w:lang w:val="en-US" w:eastAsia="zh-CN" w:bidi="ar"/>
              </w:rPr>
              <w:t>142.64</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22325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163</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8</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165DB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4</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8</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C009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17</w:t>
            </w:r>
            <w:r>
              <w:rPr>
                <w:rFonts w:hint="eastAsia" w:cs="Times New Roman"/>
                <w:i w:val="0"/>
                <w:iCs w:val="0"/>
                <w:snapToGrid w:val="0"/>
                <w:color w:val="auto"/>
                <w:kern w:val="0"/>
                <w:sz w:val="24"/>
                <w:szCs w:val="24"/>
                <w:highlight w:val="none"/>
                <w:u w:val="none"/>
                <w:lang w:val="en-US" w:eastAsia="zh-CN" w:bidi="ar"/>
              </w:rPr>
              <w:t>1.92</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891C3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3.5</w:t>
            </w:r>
          </w:p>
        </w:tc>
      </w:tr>
      <w:tr w14:paraId="30FB1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529F4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6</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67C10">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人均国民生产总值（万元）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43F0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cs="Times New Roman"/>
                <w:i w:val="0"/>
                <w:iCs w:val="0"/>
                <w:snapToGrid w:val="0"/>
                <w:color w:val="auto"/>
                <w:kern w:val="0"/>
                <w:sz w:val="24"/>
                <w:szCs w:val="24"/>
                <w:highlight w:val="none"/>
                <w:u w:val="none"/>
                <w:lang w:val="en-US" w:eastAsia="zh-CN" w:bidi="ar"/>
              </w:rPr>
              <w:t>5</w:t>
            </w:r>
            <w:r>
              <w:rPr>
                <w:rFonts w:hint="eastAsia" w:cs="Times New Roman"/>
                <w:i w:val="0"/>
                <w:iCs w:val="0"/>
                <w:snapToGrid w:val="0"/>
                <w:color w:val="auto"/>
                <w:kern w:val="0"/>
                <w:sz w:val="24"/>
                <w:szCs w:val="24"/>
                <w:highlight w:val="none"/>
                <w:u w:val="none"/>
                <w:lang w:val="en-US" w:eastAsia="zh-CN" w:bidi="ar"/>
              </w:rPr>
              <w:t>.69</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58044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6</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3</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8C620A">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5</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5</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1A523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6.54</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8036F48">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2.5</w:t>
            </w:r>
          </w:p>
        </w:tc>
      </w:tr>
      <w:tr w14:paraId="2F0E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957DC">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7</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5D65F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固定资产投资（亿元）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3F621A">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57</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54</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58196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93</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9F35D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10</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D701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60.</w:t>
            </w:r>
            <w:r>
              <w:rPr>
                <w:rFonts w:hint="eastAsia" w:cs="Times New Roman"/>
                <w:i w:val="0"/>
                <w:iCs w:val="0"/>
                <w:snapToGrid w:val="0"/>
                <w:color w:val="auto"/>
                <w:kern w:val="0"/>
                <w:sz w:val="24"/>
                <w:szCs w:val="24"/>
                <w:highlight w:val="none"/>
                <w:u w:val="none"/>
                <w:lang w:val="en-US" w:eastAsia="zh-CN" w:bidi="ar"/>
              </w:rPr>
              <w:t>66</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48217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1.1</w:t>
            </w:r>
          </w:p>
        </w:tc>
      </w:tr>
      <w:tr w14:paraId="4D7E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19F95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8</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3E7D00">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社会消费品零售总额（亿元）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4E13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110.53</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D1BED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154</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308CA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6</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4B86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9</w:t>
            </w:r>
            <w:r>
              <w:rPr>
                <w:rFonts w:hint="eastAsia" w:cs="Times New Roman"/>
                <w:i w:val="0"/>
                <w:iCs w:val="0"/>
                <w:snapToGrid w:val="0"/>
                <w:color w:val="auto"/>
                <w:kern w:val="0"/>
                <w:sz w:val="24"/>
                <w:szCs w:val="24"/>
                <w:highlight w:val="none"/>
                <w:u w:val="none"/>
                <w:lang w:val="en-US" w:eastAsia="zh-CN" w:bidi="ar"/>
              </w:rPr>
              <w:t>4.04</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3AD1DF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-3.</w:t>
            </w:r>
            <w:r>
              <w:rPr>
                <w:rFonts w:hint="eastAsia" w:cs="Times New Roman"/>
                <w:i w:val="0"/>
                <w:iCs w:val="0"/>
                <w:snapToGrid w:val="0"/>
                <w:color w:val="auto"/>
                <w:kern w:val="0"/>
                <w:sz w:val="24"/>
                <w:szCs w:val="24"/>
                <w:highlight w:val="none"/>
                <w:u w:val="none"/>
                <w:lang w:val="en-US" w:eastAsia="zh-CN" w:bidi="ar"/>
              </w:rPr>
              <w:t>2</w:t>
            </w:r>
          </w:p>
        </w:tc>
      </w:tr>
      <w:tr w14:paraId="13C36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C20A2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9</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683C8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区一般公共预算收入（亿元）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34C1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4</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45</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67702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6</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4C0EB8">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6</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A493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6.76</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23962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8</w:t>
            </w:r>
            <w:r>
              <w:rPr>
                <w:rFonts w:hint="default" w:ascii="Times New Roman" w:hAnsi="Times New Roman" w:cs="Times New Roman"/>
                <w:i w:val="0"/>
                <w:iCs w:val="0"/>
                <w:snapToGrid w:val="0"/>
                <w:color w:val="auto"/>
                <w:kern w:val="0"/>
                <w:sz w:val="24"/>
                <w:szCs w:val="24"/>
                <w:highlight w:val="none"/>
                <w:u w:val="none"/>
                <w:lang w:val="en-US" w:eastAsia="zh-CN" w:bidi="ar"/>
              </w:rPr>
              <w:t>.</w:t>
            </w:r>
            <w:r>
              <w:rPr>
                <w:rFonts w:hint="eastAsia" w:cs="Times New Roman"/>
                <w:i w:val="0"/>
                <w:iCs w:val="0"/>
                <w:snapToGrid w:val="0"/>
                <w:color w:val="auto"/>
                <w:kern w:val="0"/>
                <w:sz w:val="24"/>
                <w:szCs w:val="24"/>
                <w:highlight w:val="none"/>
                <w:u w:val="none"/>
                <w:lang w:val="en-US" w:eastAsia="zh-CN" w:bidi="ar"/>
              </w:rPr>
              <w:t>75</w:t>
            </w:r>
          </w:p>
        </w:tc>
      </w:tr>
      <w:tr w14:paraId="7093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94135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10</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6600E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外贸进出口（万元）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C73F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cs="Times New Roman"/>
                <w:i w:val="0"/>
                <w:iCs w:val="0"/>
                <w:snapToGrid w:val="0"/>
                <w:color w:val="auto"/>
                <w:kern w:val="0"/>
                <w:sz w:val="24"/>
                <w:szCs w:val="24"/>
                <w:highlight w:val="none"/>
                <w:u w:val="none"/>
                <w:lang w:val="en-US" w:eastAsia="zh-CN" w:bidi="ar"/>
              </w:rPr>
              <w:t>66037</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769C4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cs="Times New Roman"/>
                <w:i w:val="0"/>
                <w:iCs w:val="0"/>
                <w:snapToGrid w:val="0"/>
                <w:color w:val="auto"/>
                <w:kern w:val="0"/>
                <w:sz w:val="24"/>
                <w:szCs w:val="24"/>
                <w:highlight w:val="none"/>
                <w:u w:val="none"/>
                <w:lang w:val="en-US" w:eastAsia="zh-CN" w:bidi="ar"/>
              </w:rPr>
              <w:t>81000</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A22F20">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cs="Times New Roman"/>
                <w:i w:val="0"/>
                <w:iCs w:val="0"/>
                <w:snapToGrid w:val="0"/>
                <w:color w:val="auto"/>
                <w:kern w:val="0"/>
                <w:sz w:val="24"/>
                <w:szCs w:val="24"/>
                <w:highlight w:val="none"/>
                <w:u w:val="none"/>
                <w:lang w:val="en-US" w:eastAsia="zh-CN" w:bidi="ar"/>
              </w:rPr>
              <w:t>4</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2</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200E1C">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80043</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9251D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3.9</w:t>
            </w:r>
          </w:p>
        </w:tc>
      </w:tr>
      <w:tr w14:paraId="2B5C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nil"/>
              <w:left w:val="single" w:color="000000" w:sz="4" w:space="0"/>
              <w:bottom w:val="single" w:color="000000" w:sz="4" w:space="0"/>
              <w:right w:val="single" w:color="000000" w:sz="4" w:space="0"/>
            </w:tcBorders>
            <w:shd w:val="clear" w:color="auto" w:fill="FFFFFF"/>
            <w:vAlign w:val="center"/>
          </w:tcPr>
          <w:p w14:paraId="11D4259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11</w:t>
            </w:r>
          </w:p>
        </w:tc>
        <w:tc>
          <w:tcPr>
            <w:tcW w:w="1539" w:type="pct"/>
            <w:tcBorders>
              <w:top w:val="nil"/>
              <w:left w:val="single" w:color="000000" w:sz="4" w:space="0"/>
              <w:bottom w:val="single" w:color="000000" w:sz="4" w:space="0"/>
              <w:right w:val="single" w:color="000000" w:sz="4" w:space="0"/>
            </w:tcBorders>
            <w:shd w:val="clear" w:color="auto" w:fill="FFFFFF"/>
            <w:vAlign w:val="center"/>
          </w:tcPr>
          <w:p w14:paraId="566DABE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实际利用外资（万美元）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09FD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0</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57C598">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780</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9647EE">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eastAsia" w:ascii="Times New Roman" w:hAnsi="Times New Roman" w:eastAsia="仿宋_GB2312" w:cs="Times New Roman"/>
                <w:i w:val="0"/>
                <w:iCs w:val="0"/>
                <w:color w:val="auto"/>
                <w:sz w:val="24"/>
                <w:szCs w:val="24"/>
                <w:highlight w:val="none"/>
                <w:u w:val="none"/>
                <w:lang w:val="en-US" w:eastAsia="zh-CN"/>
              </w:rPr>
            </w:pPr>
            <w:r>
              <w:rPr>
                <w:rFonts w:hint="eastAsia" w:ascii="Times New Roman" w:hAnsi="Times New Roman" w:cs="Times New Roman"/>
                <w:i w:val="0"/>
                <w:iCs w:val="0"/>
                <w:snapToGrid w:val="0"/>
                <w:color w:val="auto"/>
                <w:kern w:val="0"/>
                <w:sz w:val="24"/>
                <w:szCs w:val="24"/>
                <w:highlight w:val="none"/>
                <w:u w:val="none"/>
                <w:lang w:val="en-US" w:eastAsia="zh-CN" w:bidi="ar"/>
              </w:rPr>
              <w:t>—</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CDE79">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eastAsia" w:ascii="Times New Roman" w:hAnsi="Times New Roman" w:eastAsia="仿宋_GB2312" w:cs="Times New Roman"/>
                <w:i w:val="0"/>
                <w:iCs w:val="0"/>
                <w:color w:val="auto"/>
                <w:sz w:val="24"/>
                <w:szCs w:val="24"/>
                <w:highlight w:val="none"/>
                <w:u w:val="none"/>
                <w:lang w:val="en-US" w:eastAsia="zh-CN"/>
              </w:rPr>
            </w:pPr>
            <w:r>
              <w:rPr>
                <w:rFonts w:hint="eastAsia" w:ascii="Times New Roman" w:hAnsi="Times New Roman" w:cs="Times New Roman"/>
                <w:i w:val="0"/>
                <w:iCs w:val="0"/>
                <w:color w:val="auto"/>
                <w:sz w:val="24"/>
                <w:szCs w:val="24"/>
                <w:highlight w:val="none"/>
                <w:u w:val="none"/>
                <w:lang w:val="en-US" w:eastAsia="zh-CN"/>
              </w:rPr>
              <w:t>0</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C97415">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w:t>
            </w:r>
          </w:p>
        </w:tc>
      </w:tr>
      <w:tr w14:paraId="0084C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CC524A">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12</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85FAF">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城乡居民人均可支配收入（元）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E65E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38461</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86E2D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50700</w:t>
            </w:r>
          </w:p>
        </w:tc>
        <w:tc>
          <w:tcPr>
            <w:tcW w:w="60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DC9E3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6</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C572F">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47713</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EA37E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4.4</w:t>
            </w:r>
          </w:p>
        </w:tc>
      </w:tr>
      <w:tr w14:paraId="0D94F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C8913F">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13</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0AA10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每万人口发明专利拥有量（件）</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FE05B">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default" w:ascii="Times New Roman" w:hAnsi="Times New Roman" w:eastAsia="仿宋_GB2312" w:cs="Times New Roman"/>
                <w:i w:val="0"/>
                <w:iCs w:val="0"/>
                <w:color w:val="auto"/>
                <w:sz w:val="24"/>
                <w:szCs w:val="24"/>
                <w:highlight w:val="none"/>
                <w:u w:val="none"/>
                <w:lang w:val="en-US" w:eastAsia="zh-CN"/>
              </w:rPr>
            </w:pPr>
            <w:r>
              <w:rPr>
                <w:rFonts w:hint="eastAsia" w:ascii="Times New Roman" w:hAnsi="Times New Roman" w:cs="Times New Roman"/>
                <w:i w:val="0"/>
                <w:iCs w:val="0"/>
                <w:color w:val="auto"/>
                <w:sz w:val="24"/>
                <w:szCs w:val="24"/>
                <w:highlight w:val="none"/>
                <w:u w:val="none"/>
                <w:lang w:val="en-US" w:eastAsia="zh-CN"/>
              </w:rPr>
              <w:t>3</w:t>
            </w:r>
            <w:r>
              <w:rPr>
                <w:rFonts w:hint="eastAsia" w:ascii="Times New Roman" w:hAnsi="Times New Roman" w:eastAsia="仿宋_GB2312" w:cs="Times New Roman"/>
                <w:i w:val="0"/>
                <w:iCs w:val="0"/>
                <w:color w:val="auto"/>
                <w:sz w:val="24"/>
                <w:szCs w:val="24"/>
                <w:highlight w:val="none"/>
                <w:u w:val="none"/>
                <w:lang w:val="en-US" w:eastAsia="zh-CN"/>
              </w:rPr>
              <w:t>.</w:t>
            </w:r>
            <w:r>
              <w:rPr>
                <w:rFonts w:hint="eastAsia" w:ascii="Times New Roman" w:hAnsi="Times New Roman" w:cs="Times New Roman"/>
                <w:i w:val="0"/>
                <w:iCs w:val="0"/>
                <w:color w:val="auto"/>
                <w:sz w:val="24"/>
                <w:szCs w:val="24"/>
                <w:highlight w:val="none"/>
                <w:u w:val="none"/>
                <w:lang w:val="en-US" w:eastAsia="zh-CN"/>
              </w:rPr>
              <w:t>7</w:t>
            </w:r>
          </w:p>
        </w:tc>
        <w:tc>
          <w:tcPr>
            <w:tcW w:w="1231"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DA958A6">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5</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B1DE3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11.83</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EE2D08A">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26.18</w:t>
            </w:r>
          </w:p>
        </w:tc>
      </w:tr>
      <w:tr w14:paraId="64F82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336EC">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14</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8E72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城镇登记失业率（</w:t>
            </w:r>
            <w:r>
              <w:rPr>
                <w:rFonts w:hint="eastAsia" w:ascii="Times New Roman" w:hAnsi="Times New Roman" w:cs="Times New Roman"/>
                <w:i w:val="0"/>
                <w:iCs w:val="0"/>
                <w:snapToGrid w:val="0"/>
                <w:color w:val="auto"/>
                <w:kern w:val="0"/>
                <w:sz w:val="24"/>
                <w:szCs w:val="24"/>
                <w:highlight w:val="none"/>
                <w:u w:val="none"/>
                <w:lang w:val="en-US" w:eastAsia="zh-CN" w:bidi="ar"/>
              </w:rPr>
              <w:t>%</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270BEC">
            <w:pPr>
              <w:keepNext w:val="0"/>
              <w:keepLines w:val="0"/>
              <w:pageBreakBefore w:val="0"/>
              <w:widowControl/>
              <w:kinsoku/>
              <w:wordWrap/>
              <w:overflowPunct/>
              <w:topLinePunct w:val="0"/>
              <w:bidi w:val="0"/>
              <w:adjustRightInd w:val="0"/>
              <w:snapToGrid w:val="0"/>
              <w:spacing w:line="240" w:lineRule="auto"/>
              <w:ind w:firstLine="0" w:firstLineChars="0"/>
              <w:jc w:val="center"/>
              <w:rPr>
                <w:rFonts w:hint="eastAsia" w:ascii="Times New Roman" w:hAnsi="Times New Roman" w:eastAsia="仿宋_GB2312" w:cs="Times New Roman"/>
                <w:i w:val="0"/>
                <w:iCs w:val="0"/>
                <w:color w:val="auto"/>
                <w:sz w:val="24"/>
                <w:szCs w:val="24"/>
                <w:highlight w:val="none"/>
                <w:u w:val="none"/>
                <w:lang w:eastAsia="zh-CN"/>
              </w:rPr>
            </w:pPr>
            <w:r>
              <w:rPr>
                <w:rFonts w:hint="eastAsia" w:ascii="Times New Roman" w:hAnsi="Times New Roman" w:cs="Times New Roman"/>
                <w:i w:val="0"/>
                <w:iCs w:val="0"/>
                <w:color w:val="auto"/>
                <w:sz w:val="24"/>
                <w:szCs w:val="24"/>
                <w:highlight w:val="none"/>
                <w:u w:val="none"/>
                <w:lang w:eastAsia="zh-CN"/>
              </w:rPr>
              <w:t>2</w:t>
            </w:r>
            <w:r>
              <w:rPr>
                <w:rFonts w:hint="eastAsia" w:ascii="Times New Roman" w:hAnsi="Times New Roman" w:eastAsia="仿宋_GB2312" w:cs="Times New Roman"/>
                <w:i w:val="0"/>
                <w:iCs w:val="0"/>
                <w:color w:val="auto"/>
                <w:sz w:val="24"/>
                <w:szCs w:val="24"/>
                <w:highlight w:val="none"/>
                <w:u w:val="none"/>
              </w:rPr>
              <w:t>.</w:t>
            </w:r>
            <w:r>
              <w:rPr>
                <w:rFonts w:hint="eastAsia" w:ascii="Times New Roman" w:hAnsi="Times New Roman" w:cs="Times New Roman"/>
                <w:i w:val="0"/>
                <w:iCs w:val="0"/>
                <w:color w:val="auto"/>
                <w:sz w:val="24"/>
                <w:szCs w:val="24"/>
                <w:highlight w:val="none"/>
                <w:u w:val="none"/>
                <w:lang w:eastAsia="zh-CN"/>
              </w:rPr>
              <w:t>43</w:t>
            </w:r>
          </w:p>
        </w:tc>
        <w:tc>
          <w:tcPr>
            <w:tcW w:w="1231"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2B031B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3</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5</w:t>
            </w:r>
          </w:p>
        </w:tc>
        <w:tc>
          <w:tcPr>
            <w:tcW w:w="5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2C47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968965">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w:t>
            </w:r>
          </w:p>
        </w:tc>
      </w:tr>
      <w:tr w14:paraId="23C2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0164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15</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7B6A9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人口自然增长率（‰）</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C26E00">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8</w:t>
            </w:r>
          </w:p>
        </w:tc>
        <w:tc>
          <w:tcPr>
            <w:tcW w:w="1231"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A9CB8A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8</w:t>
            </w:r>
          </w:p>
        </w:tc>
        <w:tc>
          <w:tcPr>
            <w:tcW w:w="1250"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6A609D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8</w:t>
            </w:r>
          </w:p>
        </w:tc>
      </w:tr>
      <w:tr w14:paraId="0ECB3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4533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16</w:t>
            </w:r>
          </w:p>
        </w:tc>
        <w:tc>
          <w:tcPr>
            <w:tcW w:w="15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23493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节能减排指</w:t>
            </w:r>
            <w:r>
              <w:rPr>
                <w:rFonts w:hint="eastAsia" w:ascii="仿宋_GB2312" w:hAnsi="仿宋_GB2312" w:eastAsia="仿宋_GB2312" w:cs="仿宋_GB2312"/>
                <w:i w:val="0"/>
                <w:iCs w:val="0"/>
                <w:snapToGrid w:val="0"/>
                <w:color w:val="auto"/>
                <w:kern w:val="0"/>
                <w:sz w:val="24"/>
                <w:szCs w:val="24"/>
                <w:highlight w:val="none"/>
                <w:u w:val="none"/>
                <w:lang w:val="en-US" w:eastAsia="zh-CN" w:bidi="ar"/>
              </w:rPr>
              <w:t>标</w:t>
            </w:r>
            <w:r>
              <w:rPr>
                <w:rFonts w:hint="eastAsia" w:ascii="仿宋_GB2312" w:hAnsi="仿宋_GB2312" w:cs="仿宋_GB2312"/>
                <w:i w:val="0"/>
                <w:iCs w:val="0"/>
                <w:snapToGrid w:val="0"/>
                <w:color w:val="auto"/>
                <w:kern w:val="0"/>
                <w:sz w:val="24"/>
                <w:szCs w:val="24"/>
                <w:highlight w:val="none"/>
                <w:u w:val="none"/>
                <w:lang w:val="en-US" w:eastAsia="zh-CN" w:bidi="ar"/>
              </w:rPr>
              <w:t>（</w:t>
            </w:r>
            <w:r>
              <w:rPr>
                <w:rFonts w:hint="eastAsia" w:ascii="仿宋_GB2312" w:hAnsi="仿宋_GB2312" w:cs="仿宋_GB2312"/>
                <w:i w:val="0"/>
                <w:iCs w:val="0"/>
                <w:color w:val="auto"/>
                <w:sz w:val="24"/>
                <w:szCs w:val="24"/>
                <w:highlight w:val="none"/>
                <w:u w:val="none"/>
                <w:lang w:val="en-US" w:eastAsia="zh-CN"/>
              </w:rPr>
              <w:t>吨标准煤/万元</w:t>
            </w:r>
            <w:r>
              <w:rPr>
                <w:rFonts w:hint="eastAsia" w:ascii="仿宋_GB2312" w:hAnsi="仿宋_GB2312" w:cs="仿宋_GB2312"/>
                <w:i w:val="0"/>
                <w:iCs w:val="0"/>
                <w:snapToGrid w:val="0"/>
                <w:color w:val="auto"/>
                <w:kern w:val="0"/>
                <w:sz w:val="24"/>
                <w:szCs w:val="24"/>
                <w:highlight w:val="none"/>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4CA2D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eastAsia="zh-CN"/>
              </w:rPr>
            </w:pPr>
            <w:r>
              <w:rPr>
                <w:rFonts w:hint="eastAsia" w:ascii="Times New Roman" w:hAnsi="Times New Roman" w:cs="Times New Roman"/>
                <w:i w:val="0"/>
                <w:iCs w:val="0"/>
                <w:color w:val="auto"/>
                <w:sz w:val="24"/>
                <w:szCs w:val="24"/>
                <w:highlight w:val="none"/>
                <w:u w:val="none"/>
                <w:lang w:val="en-US" w:eastAsia="zh-CN"/>
              </w:rPr>
              <w:t>0.36</w:t>
            </w:r>
          </w:p>
        </w:tc>
        <w:tc>
          <w:tcPr>
            <w:tcW w:w="1231"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36F56C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w:t>
            </w:r>
            <w:r>
              <w:rPr>
                <w:rFonts w:hint="eastAsia" w:ascii="Times New Roman" w:hAnsi="Times New Roman" w:cs="Times New Roman"/>
                <w:i w:val="0"/>
                <w:iCs w:val="0"/>
                <w:color w:val="auto"/>
                <w:sz w:val="24"/>
                <w:szCs w:val="24"/>
                <w:highlight w:val="none"/>
                <w:u w:val="none"/>
                <w:lang w:val="en-US" w:eastAsia="zh-CN"/>
              </w:rPr>
              <w:t>15</w:t>
            </w:r>
            <w:r>
              <w:rPr>
                <w:rFonts w:hint="default" w:ascii="Times New Roman" w:hAnsi="Times New Roman" w:eastAsia="仿宋_GB2312" w:cs="Times New Roman"/>
                <w:i w:val="0"/>
                <w:iCs w:val="0"/>
                <w:color w:val="auto"/>
                <w:sz w:val="24"/>
                <w:szCs w:val="24"/>
                <w:highlight w:val="none"/>
                <w:u w:val="none"/>
                <w:lang w:val="en-US" w:eastAsia="zh-CN"/>
              </w:rPr>
              <w:t>.</w:t>
            </w:r>
            <w:r>
              <w:rPr>
                <w:rFonts w:hint="eastAsia" w:ascii="Times New Roman" w:hAnsi="Times New Roman" w:cs="Times New Roman"/>
                <w:i w:val="0"/>
                <w:iCs w:val="0"/>
                <w:color w:val="auto"/>
                <w:sz w:val="24"/>
                <w:szCs w:val="24"/>
                <w:highlight w:val="none"/>
                <w:u w:val="none"/>
                <w:lang w:val="en-US" w:eastAsia="zh-CN"/>
              </w:rPr>
              <w:t>6%</w:t>
            </w:r>
          </w:p>
        </w:tc>
        <w:tc>
          <w:tcPr>
            <w:tcW w:w="1250" w:type="pct"/>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6675C23">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6.221%</w:t>
            </w:r>
          </w:p>
        </w:tc>
      </w:tr>
      <w:tr w14:paraId="6517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dxa"/>
          <w:trHeight w:val="510"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DA720">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center"/>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17</w:t>
            </w:r>
          </w:p>
        </w:tc>
        <w:tc>
          <w:tcPr>
            <w:tcW w:w="153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01336">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森林覆盖率（</w:t>
            </w:r>
            <w:r>
              <w:rPr>
                <w:rFonts w:hint="eastAsia" w:ascii="Times New Roman" w:hAnsi="Times New Roman" w:cs="Times New Roman"/>
                <w:i w:val="0"/>
                <w:iCs w:val="0"/>
                <w:snapToGrid w:val="0"/>
                <w:color w:val="auto"/>
                <w:kern w:val="0"/>
                <w:sz w:val="24"/>
                <w:szCs w:val="24"/>
                <w:highlight w:val="none"/>
                <w:u w:val="none"/>
                <w:lang w:val="en-US" w:eastAsia="zh-CN" w:bidi="ar"/>
              </w:rPr>
              <w:t>%</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782A8">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top"/>
              <w:rPr>
                <w:rFonts w:hint="eastAsia" w:ascii="Times New Roman" w:hAnsi="Times New Roman" w:eastAsia="仿宋_GB2312" w:cs="Times New Roman"/>
                <w:i w:val="0"/>
                <w:iCs w:val="0"/>
                <w:color w:val="auto"/>
                <w:sz w:val="24"/>
                <w:szCs w:val="24"/>
                <w:highlight w:val="none"/>
                <w:u w:val="none"/>
              </w:rPr>
            </w:pPr>
            <w:r>
              <w:rPr>
                <w:rFonts w:hint="eastAsia" w:ascii="Times New Roman" w:hAnsi="Times New Roman" w:cs="Times New Roman"/>
                <w:i w:val="0"/>
                <w:iCs w:val="0"/>
                <w:snapToGrid w:val="0"/>
                <w:color w:val="auto"/>
                <w:kern w:val="0"/>
                <w:sz w:val="24"/>
                <w:szCs w:val="24"/>
                <w:highlight w:val="none"/>
                <w:u w:val="none"/>
                <w:lang w:val="en-US" w:eastAsia="zh-CN" w:bidi="ar"/>
              </w:rPr>
              <w:t>59</w:t>
            </w:r>
            <w: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t>.</w:t>
            </w:r>
            <w:r>
              <w:rPr>
                <w:rFonts w:hint="eastAsia" w:ascii="Times New Roman" w:hAnsi="Times New Roman" w:cs="Times New Roman"/>
                <w:i w:val="0"/>
                <w:iCs w:val="0"/>
                <w:snapToGrid w:val="0"/>
                <w:color w:val="auto"/>
                <w:kern w:val="0"/>
                <w:sz w:val="24"/>
                <w:szCs w:val="24"/>
                <w:highlight w:val="none"/>
                <w:u w:val="none"/>
                <w:lang w:val="en-US" w:eastAsia="zh-CN" w:bidi="ar"/>
              </w:rPr>
              <w:t>13</w:t>
            </w:r>
          </w:p>
        </w:tc>
        <w:tc>
          <w:tcPr>
            <w:tcW w:w="61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4704CB">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cs="Times New Roman"/>
                <w:i w:val="0"/>
                <w:iCs w:val="0"/>
                <w:snapToGrid w:val="0"/>
                <w:color w:val="auto"/>
                <w:kern w:val="0"/>
                <w:sz w:val="24"/>
                <w:szCs w:val="24"/>
                <w:highlight w:val="none"/>
                <w:u w:val="none"/>
                <w:lang w:val="en-US" w:eastAsia="zh-CN" w:bidi="ar"/>
              </w:rPr>
              <w:t>62.5</w:t>
            </w:r>
          </w:p>
        </w:tc>
        <w:tc>
          <w:tcPr>
            <w:tcW w:w="615" w:type="pct"/>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20B5D">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color w:val="auto"/>
                <w:kern w:val="0"/>
                <w:sz w:val="21"/>
                <w:szCs w:val="21"/>
                <w:highlight w:val="none"/>
                <w:lang w:val="en-US" w:eastAsia="zh-CN" w:bidi="ar"/>
              </w:rPr>
              <w:t>0.1</w:t>
            </w:r>
          </w:p>
        </w:tc>
        <w:tc>
          <w:tcPr>
            <w:tcW w:w="625"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3F91C">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top"/>
              <w:rPr>
                <w:rFonts w:hint="default"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cs="Times New Roman"/>
                <w:i w:val="0"/>
                <w:iCs w:val="0"/>
                <w:snapToGrid w:val="0"/>
                <w:color w:val="auto"/>
                <w:kern w:val="0"/>
                <w:sz w:val="24"/>
                <w:szCs w:val="24"/>
                <w:highlight w:val="none"/>
                <w:u w:val="none"/>
                <w:lang w:val="en-US" w:eastAsia="zh-CN" w:bidi="ar"/>
              </w:rPr>
              <w:t>60.93</w:t>
            </w:r>
          </w:p>
        </w:tc>
        <w:tc>
          <w:tcPr>
            <w:tcW w:w="62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9A07E">
            <w:pPr>
              <w:keepNext w:val="0"/>
              <w:keepLines w:val="0"/>
              <w:pageBreakBefore w:val="0"/>
              <w:widowControl/>
              <w:suppressLineNumbers w:val="0"/>
              <w:shd w:val="clear" w:color="auto" w:fill="auto"/>
              <w:kinsoku/>
              <w:wordWrap/>
              <w:overflowPunct/>
              <w:topLinePunct w:val="0"/>
              <w:bidi w:val="0"/>
              <w:adjustRightInd w:val="0"/>
              <w:snapToGrid w:val="0"/>
              <w:spacing w:line="240" w:lineRule="auto"/>
              <w:ind w:firstLine="0" w:firstLineChars="0"/>
              <w:jc w:val="center"/>
              <w:textAlignment w:val="top"/>
              <w:rPr>
                <w:rFonts w:hint="default"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color w:val="auto"/>
                <w:kern w:val="0"/>
                <w:sz w:val="21"/>
                <w:szCs w:val="21"/>
                <w:highlight w:val="none"/>
                <w:lang w:val="en-US" w:eastAsia="zh-CN" w:bidi="ar"/>
              </w:rPr>
              <w:t>0.6</w:t>
            </w:r>
          </w:p>
        </w:tc>
      </w:tr>
      <w:tr w14:paraId="3CB79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8EEEFD">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center"/>
              <w:rPr>
                <w:rFonts w:hint="eastAsia" w:ascii="Times New Roman" w:hAnsi="Times New Roman" w:eastAsia="仿宋_GB2312" w:cs="Times New Roman"/>
                <w:i w:val="0"/>
                <w:iCs w:val="0"/>
                <w:snapToGrid w:val="0"/>
                <w:color w:val="auto"/>
                <w:kern w:val="0"/>
                <w:sz w:val="24"/>
                <w:szCs w:val="24"/>
                <w:highlight w:val="none"/>
                <w:u w:val="none"/>
                <w:lang w:val="en-US" w:eastAsia="zh-CN" w:bidi="ar"/>
              </w:rPr>
            </w:pPr>
            <w:r>
              <w:rPr>
                <w:rFonts w:hint="eastAsia" w:ascii="Times New Roman" w:hAnsi="Times New Roman" w:cs="Times New Roman"/>
                <w:i w:val="0"/>
                <w:iCs w:val="0"/>
                <w:snapToGrid w:val="0"/>
                <w:color w:val="auto"/>
                <w:kern w:val="0"/>
                <w:sz w:val="24"/>
                <w:szCs w:val="24"/>
                <w:highlight w:val="none"/>
                <w:u w:val="none"/>
                <w:lang w:val="en-US" w:eastAsia="zh-CN" w:bidi="ar"/>
              </w:rPr>
              <w:t>注：</w:t>
            </w:r>
          </w:p>
        </w:tc>
        <w:tc>
          <w:tcPr>
            <w:tcW w:w="4614" w:type="pct"/>
            <w:gridSpan w:val="10"/>
            <w:tcBorders>
              <w:top w:val="single" w:color="000000" w:sz="4" w:space="0"/>
              <w:left w:val="single" w:color="000000" w:sz="4" w:space="0"/>
              <w:bottom w:val="single" w:color="000000" w:sz="4" w:space="0"/>
              <w:right w:val="single" w:color="000000" w:sz="4" w:space="0"/>
            </w:tcBorders>
            <w:shd w:val="clear" w:color="auto" w:fill="FFFFFF"/>
            <w:vAlign w:val="center"/>
          </w:tcPr>
          <w:p w14:paraId="7061582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textAlignment w:val="center"/>
              <w:rPr>
                <w:rFonts w:hint="eastAsia" w:ascii="Times New Roman" w:hAnsi="Times New Roman" w:cs="仿宋_GB2312"/>
                <w:color w:val="auto"/>
                <w:kern w:val="0"/>
                <w:sz w:val="21"/>
                <w:szCs w:val="21"/>
                <w:highlight w:val="none"/>
                <w:lang w:bidi="ar"/>
              </w:rPr>
            </w:pPr>
            <w:r>
              <w:rPr>
                <w:rFonts w:hint="eastAsia" w:ascii="Times New Roman" w:hAnsi="Times New Roman" w:cs="Times New Roman"/>
                <w:color w:val="auto"/>
                <w:kern w:val="0"/>
                <w:sz w:val="21"/>
                <w:szCs w:val="21"/>
                <w:highlight w:val="none"/>
                <w:lang w:val="en-US" w:eastAsia="zh-CN" w:bidi="ar"/>
              </w:rPr>
              <w:t>1</w:t>
            </w:r>
            <w:r>
              <w:rPr>
                <w:rFonts w:hint="eastAsia" w:ascii="Times New Roman" w:hAnsi="Times New Roman" w:cs="仿宋_GB2312"/>
                <w:color w:val="auto"/>
                <w:kern w:val="0"/>
                <w:sz w:val="21"/>
                <w:szCs w:val="21"/>
                <w:highlight w:val="none"/>
                <w:lang w:val="en-US" w:eastAsia="zh-CN" w:bidi="ar"/>
              </w:rPr>
              <w:t>.</w:t>
            </w:r>
            <w:r>
              <w:rPr>
                <w:rFonts w:hint="eastAsia" w:ascii="Times New Roman" w:hAnsi="Times New Roman" w:cs="仿宋_GB2312"/>
                <w:color w:val="auto"/>
                <w:kern w:val="0"/>
                <w:sz w:val="21"/>
                <w:szCs w:val="21"/>
                <w:highlight w:val="none"/>
                <w:lang w:bidi="ar"/>
              </w:rPr>
              <w:t>地区生产总值增长、居民人均可支配收入增长为实际增速。</w:t>
            </w:r>
          </w:p>
          <w:p w14:paraId="7498840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left"/>
              <w:textAlignment w:val="top"/>
              <w:rPr>
                <w:rFonts w:hint="default" w:cs="仿宋_GB2312"/>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w:t>
            </w:r>
            <w:r>
              <w:rPr>
                <w:rFonts w:hint="eastAsia" w:ascii="Times New Roman" w:hAnsi="Times New Roman" w:cs="仿宋_GB2312"/>
                <w:color w:val="auto"/>
                <w:kern w:val="0"/>
                <w:sz w:val="21"/>
                <w:szCs w:val="21"/>
                <w:highlight w:val="none"/>
                <w:lang w:bidi="ar"/>
              </w:rPr>
              <w:t>.城镇登记失业率根据《关于印发广东省人力资源和社会保障统计调查制度的通知》</w:t>
            </w:r>
            <w:r>
              <w:rPr>
                <w:rFonts w:hint="eastAsia" w:ascii="Times New Roman" w:hAnsi="Times New Roman" w:cs="仿宋_GB2312"/>
                <w:color w:val="auto"/>
                <w:kern w:val="0"/>
                <w:sz w:val="21"/>
                <w:szCs w:val="21"/>
                <w:highlight w:val="none"/>
                <w:lang w:eastAsia="zh-CN" w:bidi="ar"/>
              </w:rPr>
              <w:t>（</w:t>
            </w:r>
            <w:r>
              <w:rPr>
                <w:rFonts w:hint="eastAsia" w:ascii="Times New Roman" w:hAnsi="Times New Roman" w:cs="仿宋_GB2312"/>
                <w:color w:val="auto"/>
                <w:kern w:val="0"/>
                <w:sz w:val="21"/>
                <w:szCs w:val="21"/>
                <w:highlight w:val="none"/>
                <w:lang w:bidi="ar"/>
              </w:rPr>
              <w:t>粤人社发〔</w:t>
            </w:r>
            <w:r>
              <w:rPr>
                <w:rFonts w:hint="eastAsia" w:ascii="Times New Roman" w:hAnsi="Times New Roman" w:cs="Times New Roman"/>
                <w:color w:val="auto"/>
                <w:kern w:val="0"/>
                <w:sz w:val="21"/>
                <w:szCs w:val="21"/>
                <w:highlight w:val="none"/>
                <w:lang w:eastAsia="zh-CN" w:bidi="ar"/>
              </w:rPr>
              <w:t>2022</w:t>
            </w:r>
            <w:r>
              <w:rPr>
                <w:rFonts w:hint="eastAsia" w:ascii="Times New Roman" w:hAnsi="Times New Roman" w:cs="仿宋_GB2312"/>
                <w:color w:val="auto"/>
                <w:kern w:val="0"/>
                <w:sz w:val="21"/>
                <w:szCs w:val="21"/>
                <w:highlight w:val="none"/>
                <w:lang w:bidi="ar"/>
              </w:rPr>
              <w:t>〕</w:t>
            </w:r>
            <w:r>
              <w:rPr>
                <w:rFonts w:hint="eastAsia" w:ascii="Times New Roman" w:hAnsi="Times New Roman" w:cs="Times New Roman"/>
                <w:color w:val="auto"/>
                <w:kern w:val="0"/>
                <w:sz w:val="21"/>
                <w:szCs w:val="21"/>
                <w:highlight w:val="none"/>
                <w:lang w:eastAsia="zh-CN" w:bidi="ar"/>
              </w:rPr>
              <w:t>16</w:t>
            </w:r>
            <w:r>
              <w:rPr>
                <w:rFonts w:hint="eastAsia" w:ascii="Times New Roman" w:hAnsi="Times New Roman" w:cs="仿宋_GB2312"/>
                <w:color w:val="auto"/>
                <w:kern w:val="0"/>
                <w:sz w:val="21"/>
                <w:szCs w:val="21"/>
                <w:highlight w:val="none"/>
                <w:lang w:bidi="ar"/>
              </w:rPr>
              <w:t>号</w:t>
            </w:r>
            <w:r>
              <w:rPr>
                <w:rFonts w:hint="eastAsia" w:ascii="Times New Roman" w:hAnsi="Times New Roman" w:cs="仿宋_GB2312"/>
                <w:color w:val="auto"/>
                <w:kern w:val="0"/>
                <w:sz w:val="21"/>
                <w:szCs w:val="21"/>
                <w:highlight w:val="none"/>
                <w:lang w:eastAsia="zh-CN" w:bidi="ar"/>
              </w:rPr>
              <w:t>）</w:t>
            </w:r>
            <w:r>
              <w:rPr>
                <w:rFonts w:hint="eastAsia" w:ascii="Times New Roman" w:hAnsi="Times New Roman" w:cs="仿宋_GB2312"/>
                <w:color w:val="auto"/>
                <w:kern w:val="0"/>
                <w:sz w:val="21"/>
                <w:szCs w:val="21"/>
                <w:highlight w:val="none"/>
                <w:lang w:bidi="ar"/>
              </w:rPr>
              <w:t>相关规定，从</w:t>
            </w:r>
            <w:r>
              <w:rPr>
                <w:rFonts w:hint="eastAsia" w:ascii="Times New Roman" w:hAnsi="Times New Roman" w:cs="Times New Roman"/>
                <w:color w:val="auto"/>
                <w:kern w:val="0"/>
                <w:sz w:val="21"/>
                <w:szCs w:val="21"/>
                <w:highlight w:val="none"/>
                <w:lang w:eastAsia="zh-CN" w:bidi="ar"/>
              </w:rPr>
              <w:t>2022</w:t>
            </w:r>
            <w:r>
              <w:rPr>
                <w:rFonts w:hint="eastAsia" w:ascii="Times New Roman" w:hAnsi="Times New Roman" w:cs="仿宋_GB2312"/>
                <w:color w:val="auto"/>
                <w:kern w:val="0"/>
                <w:sz w:val="21"/>
                <w:szCs w:val="21"/>
                <w:highlight w:val="none"/>
                <w:lang w:bidi="ar"/>
              </w:rPr>
              <w:t>年</w:t>
            </w:r>
            <w:r>
              <w:rPr>
                <w:rFonts w:hint="eastAsia" w:ascii="Times New Roman" w:hAnsi="Times New Roman" w:cs="Times New Roman"/>
                <w:color w:val="auto"/>
                <w:kern w:val="0"/>
                <w:sz w:val="21"/>
                <w:szCs w:val="21"/>
                <w:highlight w:val="none"/>
                <w:lang w:eastAsia="zh-CN" w:bidi="ar"/>
              </w:rPr>
              <w:t>5</w:t>
            </w:r>
            <w:r>
              <w:rPr>
                <w:rFonts w:hint="eastAsia" w:ascii="Times New Roman" w:hAnsi="Times New Roman" w:cs="仿宋_GB2312"/>
                <w:color w:val="auto"/>
                <w:kern w:val="0"/>
                <w:sz w:val="21"/>
                <w:szCs w:val="21"/>
                <w:highlight w:val="none"/>
                <w:lang w:bidi="ar"/>
              </w:rPr>
              <w:t>月起不再统计、发布该指标。</w:t>
            </w:r>
            <w:r>
              <w:rPr>
                <w:rFonts w:hint="eastAsia" w:ascii="Times New Roman" w:hAnsi="Times New Roman" w:cs="仿宋_GB2312"/>
                <w:color w:val="auto"/>
                <w:kern w:val="0"/>
                <w:sz w:val="21"/>
                <w:szCs w:val="21"/>
                <w:highlight w:val="none"/>
                <w:lang w:bidi="ar"/>
              </w:rPr>
              <w:br w:type="textWrapping"/>
            </w:r>
            <w:r>
              <w:rPr>
                <w:rFonts w:hint="eastAsia" w:cs="仿宋_GB2312"/>
                <w:color w:val="auto"/>
                <w:kern w:val="0"/>
                <w:sz w:val="21"/>
                <w:szCs w:val="21"/>
                <w:highlight w:val="none"/>
                <w:lang w:val="en-US" w:eastAsia="zh-CN" w:bidi="ar"/>
              </w:rPr>
              <w:t>3.</w:t>
            </w:r>
            <w:r>
              <w:rPr>
                <w:rFonts w:hint="eastAsia" w:ascii="Times New Roman" w:hAnsi="Times New Roman" w:cs="Times New Roman"/>
                <w:color w:val="auto"/>
                <w:kern w:val="0"/>
                <w:sz w:val="21"/>
                <w:szCs w:val="21"/>
                <w:highlight w:val="none"/>
                <w:lang w:val="en-US" w:eastAsia="zh-CN" w:bidi="ar"/>
              </w:rPr>
              <w:t>[  ]内为5年累计数。</w:t>
            </w:r>
          </w:p>
        </w:tc>
      </w:tr>
    </w:tbl>
    <w:p w14:paraId="642D6A58">
      <w:pPr>
        <w:pStyle w:val="10"/>
        <w:shd w:val="clear"/>
        <w:kinsoku/>
        <w:rPr>
          <w:rFonts w:hint="eastAsia" w:ascii="仿宋_GB2312" w:hAnsi="仿宋_GB2312" w:eastAsia="仿宋_GB2312" w:cs="仿宋_GB2312"/>
          <w:strike w:val="0"/>
          <w:dstrike w:val="0"/>
          <w:color w:val="auto"/>
          <w:sz w:val="32"/>
          <w:szCs w:val="32"/>
          <w:highlight w:val="none"/>
          <w:lang w:val="en-US" w:eastAsia="zh-CN"/>
        </w:rPr>
        <w:sectPr>
          <w:footerReference r:id="rId9" w:type="default"/>
          <w:footerReference r:id="rId10" w:type="even"/>
          <w:pgSz w:w="11906" w:h="16839"/>
          <w:pgMar w:top="2098" w:right="1474" w:bottom="1984" w:left="1587" w:header="1020" w:footer="1417" w:gutter="0"/>
          <w:pgNumType w:fmt="numberInDash" w:start="1"/>
          <w:cols w:space="720" w:num="1"/>
          <w:rtlGutter w:val="0"/>
        </w:sectPr>
      </w:pPr>
    </w:p>
    <w:p w14:paraId="3B3E0842">
      <w:pPr>
        <w:pStyle w:val="4"/>
        <w:shd w:val="clear"/>
        <w:kinsoku/>
        <w:bidi w:val="0"/>
        <w:rPr>
          <w:rFonts w:hint="eastAsia"/>
          <w:color w:val="auto"/>
          <w:highlight w:val="none"/>
          <w:lang w:val="en-US" w:eastAsia="zh-CN"/>
        </w:rPr>
      </w:pPr>
      <w:bookmarkStart w:id="163" w:name="_Toc28162"/>
      <w:bookmarkStart w:id="164" w:name="_Toc14924"/>
      <w:bookmarkStart w:id="165" w:name="_Toc24015"/>
      <w:bookmarkStart w:id="166" w:name="_Toc346"/>
      <w:bookmarkStart w:id="167" w:name="_Toc12790"/>
      <w:bookmarkStart w:id="168" w:name="_Toc25494"/>
      <w:bookmarkStart w:id="169" w:name="_Toc19666"/>
      <w:bookmarkStart w:id="170" w:name="_Toc20067"/>
      <w:bookmarkStart w:id="171" w:name="_Toc520"/>
      <w:bookmarkStart w:id="172" w:name="_Toc5625"/>
      <w:bookmarkStart w:id="173" w:name="_Toc9712"/>
      <w:bookmarkStart w:id="174" w:name="_Toc3927"/>
      <w:bookmarkStart w:id="175" w:name="_Toc16908"/>
      <w:bookmarkStart w:id="176" w:name="_Toc2878"/>
      <w:bookmarkStart w:id="177" w:name="_Toc10747"/>
      <w:bookmarkStart w:id="178" w:name="_Toc24954"/>
      <w:bookmarkStart w:id="179" w:name="_Toc11858"/>
      <w:bookmarkStart w:id="180" w:name="_Toc25923"/>
      <w:r>
        <w:rPr>
          <w:rFonts w:hint="eastAsia"/>
          <w:color w:val="auto"/>
          <w:highlight w:val="none"/>
          <w:lang w:val="en-US" w:eastAsia="zh-CN"/>
        </w:rPr>
        <w:t>第二节 “十五五”时期发展形势总体向好</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359DF9A1">
      <w:pPr>
        <w:pStyle w:val="5"/>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7D76B4B7">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一、国际国内发展环境发生深刻变化</w:t>
      </w:r>
    </w:p>
    <w:p w14:paraId="1D43807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b/>
          <w:bCs/>
          <w:color w:val="auto"/>
          <w:highlight w:val="none"/>
          <w:lang w:eastAsia="zh-CN"/>
        </w:rPr>
        <w:t>从国际看，</w:t>
      </w:r>
      <w:r>
        <w:rPr>
          <w:rFonts w:hint="eastAsia"/>
          <w:color w:val="auto"/>
          <w:highlight w:val="none"/>
          <w:lang w:eastAsia="zh-CN"/>
        </w:rPr>
        <w:t>世界百年变局加速演进，国际力量对比深刻调整。外部环境的</w:t>
      </w:r>
      <w:r>
        <w:rPr>
          <w:rFonts w:hint="eastAsia"/>
          <w:color w:val="auto"/>
          <w:highlight w:val="none"/>
          <w:lang w:val="en-US" w:eastAsia="zh-CN"/>
        </w:rPr>
        <w:t>地缘政治风险上升，保护主义与单边主义抬头</w:t>
      </w:r>
      <w:r>
        <w:rPr>
          <w:rFonts w:hint="eastAsia"/>
          <w:color w:val="auto"/>
          <w:highlight w:val="none"/>
          <w:lang w:eastAsia="zh-CN"/>
        </w:rPr>
        <w:t>，风险挑战增多，</w:t>
      </w:r>
      <w:r>
        <w:rPr>
          <w:rFonts w:hint="eastAsia"/>
          <w:color w:val="auto"/>
          <w:highlight w:val="none"/>
          <w:lang w:val="en-US" w:eastAsia="zh-CN"/>
        </w:rPr>
        <w:t>全球经济复苏乏力</w:t>
      </w:r>
      <w:r>
        <w:rPr>
          <w:rFonts w:hint="eastAsia"/>
          <w:color w:val="auto"/>
          <w:highlight w:val="none"/>
          <w:lang w:eastAsia="zh-CN"/>
        </w:rPr>
        <w:t>。</w:t>
      </w:r>
      <w:r>
        <w:rPr>
          <w:rFonts w:hint="eastAsia"/>
          <w:color w:val="auto"/>
          <w:highlight w:val="none"/>
          <w:lang w:val="en-US" w:eastAsia="zh-CN"/>
        </w:rPr>
        <w:t>但</w:t>
      </w:r>
      <w:r>
        <w:rPr>
          <w:rFonts w:hint="eastAsia" w:ascii="仿宋_GB2312" w:hAnsi="仿宋_GB2312" w:eastAsia="仿宋_GB2312" w:cs="仿宋_GB2312"/>
          <w:color w:val="auto"/>
          <w:sz w:val="32"/>
          <w:szCs w:val="32"/>
          <w:highlight w:val="none"/>
          <w:lang w:val="en-US" w:eastAsia="zh-CN"/>
        </w:rPr>
        <w:t>大变局也催生新机遇，</w:t>
      </w:r>
      <w:r>
        <w:rPr>
          <w:rFonts w:hint="eastAsia" w:ascii="仿宋_GB2312" w:hAnsi="仿宋_GB2312" w:cs="仿宋_GB2312"/>
          <w:color w:val="auto"/>
          <w:sz w:val="32"/>
          <w:szCs w:val="32"/>
          <w:highlight w:val="none"/>
          <w:lang w:val="en-US" w:eastAsia="zh-CN"/>
        </w:rPr>
        <w:t>新一轮科技革命和产业变革</w:t>
      </w:r>
      <w:r>
        <w:rPr>
          <w:rFonts w:hint="eastAsia" w:ascii="仿宋_GB2312" w:hAnsi="仿宋_GB2312" w:eastAsia="仿宋_GB2312" w:cs="仿宋_GB2312"/>
          <w:color w:val="auto"/>
          <w:sz w:val="32"/>
          <w:szCs w:val="32"/>
          <w:highlight w:val="none"/>
          <w:lang w:val="en-US" w:eastAsia="zh-CN"/>
        </w:rPr>
        <w:t>深入发展，尤其是人工智能等颠覆性技术正重塑全球产业生态，为</w:t>
      </w:r>
      <w:r>
        <w:rPr>
          <w:rFonts w:hint="eastAsia" w:ascii="仿宋_GB2312" w:hAnsi="仿宋_GB2312" w:cs="仿宋_GB2312"/>
          <w:color w:val="auto"/>
          <w:sz w:val="32"/>
          <w:szCs w:val="32"/>
          <w:highlight w:val="none"/>
          <w:lang w:val="en-US" w:eastAsia="zh-CN"/>
        </w:rPr>
        <w:t>浈江</w:t>
      </w:r>
      <w:r>
        <w:rPr>
          <w:rFonts w:hint="eastAsia" w:ascii="仿宋_GB2312" w:hAnsi="仿宋_GB2312" w:eastAsia="仿宋_GB2312" w:cs="仿宋_GB2312"/>
          <w:color w:val="auto"/>
          <w:sz w:val="32"/>
          <w:szCs w:val="32"/>
          <w:highlight w:val="none"/>
          <w:lang w:val="en-US" w:eastAsia="zh-CN"/>
        </w:rPr>
        <w:t>依托数据中心集群等基础，切入新兴赛道、提升在国际产业链中的位置提供了可能</w:t>
      </w:r>
      <w:r>
        <w:rPr>
          <w:rFonts w:hint="eastAsia" w:ascii="仿宋_GB2312" w:hAnsi="仿宋_GB2312" w:cs="仿宋_GB2312"/>
          <w:color w:val="auto"/>
          <w:sz w:val="32"/>
          <w:szCs w:val="32"/>
          <w:highlight w:val="none"/>
          <w:lang w:val="en-US" w:eastAsia="zh-CN"/>
        </w:rPr>
        <w:t>。</w:t>
      </w:r>
      <w:r>
        <w:rPr>
          <w:rFonts w:hint="eastAsia"/>
          <w:b/>
          <w:bCs/>
          <w:color w:val="auto"/>
          <w:highlight w:val="none"/>
          <w:lang w:eastAsia="zh-CN"/>
        </w:rPr>
        <w:t>从国内看，</w:t>
      </w:r>
      <w:r>
        <w:rPr>
          <w:rFonts w:hint="eastAsia" w:ascii="仿宋_GB2312" w:hAnsi="仿宋_GB2312" w:eastAsia="仿宋_GB2312" w:cs="仿宋_GB2312"/>
          <w:color w:val="auto"/>
          <w:sz w:val="32"/>
          <w:szCs w:val="32"/>
          <w:highlight w:val="none"/>
          <w:lang w:val="en-US" w:eastAsia="zh-CN"/>
        </w:rPr>
        <w:t>中国式现代化扎实推进，发展进入新的战略阶段</w:t>
      </w:r>
      <w:r>
        <w:rPr>
          <w:rFonts w:hint="eastAsia" w:ascii="仿宋_GB2312" w:hAnsi="仿宋_GB2312" w:cs="仿宋_GB2312"/>
          <w:color w:val="auto"/>
          <w:sz w:val="32"/>
          <w:szCs w:val="32"/>
          <w:highlight w:val="none"/>
          <w:lang w:val="en-US" w:eastAsia="zh-CN"/>
        </w:rPr>
        <w:t>，</w:t>
      </w:r>
      <w:r>
        <w:rPr>
          <w:rFonts w:hint="eastAsia"/>
          <w:color w:val="auto"/>
          <w:highlight w:val="none"/>
          <w:lang w:eastAsia="zh-CN"/>
        </w:rPr>
        <w:t>我国经济长期向好的基本趋势没有变，超大规模市场、完整</w:t>
      </w:r>
      <w:r>
        <w:rPr>
          <w:rFonts w:hint="eastAsia"/>
          <w:color w:val="auto"/>
          <w:highlight w:val="none"/>
          <w:lang w:val="en-US" w:eastAsia="zh-CN"/>
        </w:rPr>
        <w:t>生产体系</w:t>
      </w:r>
      <w:r>
        <w:rPr>
          <w:rFonts w:hint="eastAsia"/>
          <w:color w:val="auto"/>
          <w:highlight w:val="none"/>
          <w:lang w:eastAsia="zh-CN"/>
        </w:rPr>
        <w:t>、</w:t>
      </w:r>
      <w:r>
        <w:rPr>
          <w:rFonts w:hint="eastAsia"/>
          <w:color w:val="auto"/>
          <w:highlight w:val="none"/>
          <w:lang w:val="en-US" w:eastAsia="zh-CN"/>
        </w:rPr>
        <w:t>新兴产业生态</w:t>
      </w:r>
      <w:r>
        <w:rPr>
          <w:rFonts w:hint="eastAsia"/>
          <w:color w:val="auto"/>
          <w:highlight w:val="none"/>
          <w:lang w:eastAsia="zh-CN"/>
        </w:rPr>
        <w:t>等核心优势显著。内需战略的深入实施与全国统一大市场的加快建设，有利于发挥</w:t>
      </w:r>
      <w:r>
        <w:rPr>
          <w:rFonts w:hint="eastAsia"/>
          <w:color w:val="auto"/>
          <w:highlight w:val="none"/>
          <w:lang w:val="en-US" w:eastAsia="zh-CN"/>
        </w:rPr>
        <w:t>浈江</w:t>
      </w:r>
      <w:r>
        <w:rPr>
          <w:rFonts w:hint="eastAsia"/>
          <w:color w:val="auto"/>
          <w:highlight w:val="none"/>
          <w:lang w:eastAsia="zh-CN"/>
        </w:rPr>
        <w:t>制造业强区、商贸大区等优势，激发内需潜力，促进要素的高效流通，在服务构建新发展格局中展现浈江作为。国家加大经济大省挑大梁支持力度，加快推进粤港澳大湾区建设，推动革命老区加快发展、资源型地区转型发展，</w:t>
      </w:r>
      <w:r>
        <w:rPr>
          <w:rFonts w:hint="eastAsia"/>
          <w:color w:val="auto"/>
          <w:highlight w:val="none"/>
          <w:lang w:val="en-US" w:eastAsia="zh-CN"/>
        </w:rPr>
        <w:t>为浈江破解发展瓶颈、</w:t>
      </w:r>
      <w:r>
        <w:rPr>
          <w:rFonts w:hint="eastAsia"/>
          <w:color w:val="auto"/>
          <w:highlight w:val="none"/>
          <w:lang w:eastAsia="zh-CN"/>
        </w:rPr>
        <w:t>实现产业升级</w:t>
      </w:r>
      <w:r>
        <w:rPr>
          <w:rFonts w:hint="eastAsia"/>
          <w:color w:val="auto"/>
          <w:highlight w:val="none"/>
          <w:lang w:val="en-US" w:eastAsia="zh-CN"/>
        </w:rPr>
        <w:t>注入了强劲政策动力</w:t>
      </w:r>
      <w:r>
        <w:rPr>
          <w:rFonts w:hint="eastAsia"/>
          <w:color w:val="auto"/>
          <w:highlight w:val="none"/>
          <w:lang w:eastAsia="zh-CN"/>
        </w:rPr>
        <w:t>。</w:t>
      </w:r>
      <w:r>
        <w:rPr>
          <w:rFonts w:hint="eastAsia"/>
          <w:b/>
          <w:bCs/>
          <w:color w:val="auto"/>
          <w:highlight w:val="none"/>
          <w:lang w:eastAsia="zh-CN"/>
        </w:rPr>
        <w:t>从全省看，</w:t>
      </w:r>
      <w:r>
        <w:rPr>
          <w:rFonts w:hint="eastAsia"/>
          <w:b w:val="0"/>
          <w:bCs w:val="0"/>
          <w:color w:val="auto"/>
          <w:highlight w:val="none"/>
          <w:lang w:eastAsia="zh-CN"/>
        </w:rPr>
        <w:t>广东作为经济大省、开放前沿，拥有产业体系完备、创新活力强劲、市场机制成熟等综合优势。</w:t>
      </w:r>
      <w:r>
        <w:rPr>
          <w:rFonts w:hint="eastAsia"/>
          <w:color w:val="auto"/>
          <w:highlight w:val="none"/>
          <w:lang w:eastAsia="zh-CN"/>
        </w:rPr>
        <w:t>制造业当家、“百千万工程”、数字广东建设、绿美广东生态建设等战略</w:t>
      </w:r>
      <w:r>
        <w:rPr>
          <w:rFonts w:hint="eastAsia"/>
          <w:color w:val="auto"/>
          <w:highlight w:val="none"/>
          <w:lang w:val="en-US" w:eastAsia="zh-CN"/>
        </w:rPr>
        <w:t>的系统推进</w:t>
      </w:r>
      <w:r>
        <w:rPr>
          <w:rFonts w:hint="eastAsia"/>
          <w:color w:val="auto"/>
          <w:highlight w:val="none"/>
          <w:lang w:eastAsia="zh-CN"/>
        </w:rPr>
        <w:t>，将进一步激发</w:t>
      </w:r>
      <w:r>
        <w:rPr>
          <w:rFonts w:hint="eastAsia"/>
          <w:color w:val="auto"/>
          <w:highlight w:val="none"/>
          <w:lang w:val="en-US" w:eastAsia="zh-CN"/>
        </w:rPr>
        <w:t>浈江区</w:t>
      </w:r>
      <w:r>
        <w:rPr>
          <w:rFonts w:hint="eastAsia"/>
          <w:color w:val="auto"/>
          <w:highlight w:val="none"/>
          <w:lang w:eastAsia="zh-CN"/>
        </w:rPr>
        <w:t>经济发展活力和内生动力。</w:t>
      </w:r>
      <w:r>
        <w:rPr>
          <w:rFonts w:hint="eastAsia"/>
          <w:b/>
          <w:bCs/>
          <w:color w:val="auto"/>
          <w:highlight w:val="none"/>
          <w:lang w:eastAsia="zh-CN"/>
        </w:rPr>
        <w:t>从全市看，</w:t>
      </w:r>
      <w:r>
        <w:rPr>
          <w:rFonts w:hint="eastAsia"/>
          <w:color w:val="auto"/>
          <w:highlight w:val="none"/>
          <w:lang w:eastAsia="zh-CN"/>
        </w:rPr>
        <w:t>韶关作为省委、省政府定位“一中心三极点”综合交通枢纽布局中的北极点，外接湘赣、内联湾区，区位交通优势日益凸显。拥有丰富的自然资源和优越的生态环境，资源转化利用潜力巨大。工业和制造业基础雄厚，是华南重工业基地，也是全省唯一的国家老工业城市和资源型城市产业转型升级示范区。拥有华南地区唯一的国家数据中心集群，大数据产业链条延展持续发力，新质生产力潜力迎来黄金期。</w:t>
      </w:r>
      <w:r>
        <w:rPr>
          <w:rFonts w:hint="eastAsia"/>
          <w:b/>
          <w:bCs/>
          <w:color w:val="auto"/>
          <w:highlight w:val="none"/>
          <w:lang w:eastAsia="zh-CN"/>
        </w:rPr>
        <w:t>从浈江</w:t>
      </w:r>
      <w:r>
        <w:rPr>
          <w:rFonts w:hint="eastAsia"/>
          <w:b/>
          <w:bCs/>
          <w:color w:val="auto"/>
          <w:highlight w:val="none"/>
          <w:lang w:val="en-US" w:eastAsia="zh-CN"/>
        </w:rPr>
        <w:t>区</w:t>
      </w:r>
      <w:r>
        <w:rPr>
          <w:rFonts w:hint="eastAsia"/>
          <w:b/>
          <w:bCs/>
          <w:color w:val="auto"/>
          <w:highlight w:val="none"/>
          <w:lang w:eastAsia="zh-CN"/>
        </w:rPr>
        <w:t>看，</w:t>
      </w:r>
      <w:r>
        <w:rPr>
          <w:rFonts w:hint="eastAsia" w:ascii="BatangChe" w:hAnsi="BatangChe" w:eastAsia="仿宋_GB2312" w:cs="仿宋_GB2312"/>
          <w:color w:val="auto"/>
          <w:kern w:val="32"/>
          <w:sz w:val="32"/>
          <w:szCs w:val="32"/>
          <w:highlight w:val="none"/>
          <w:u w:val="none" w:color="auto"/>
          <w:lang w:val="en-US" w:eastAsia="zh-CN" w:bidi="ar-SA"/>
        </w:rPr>
        <w:t>市委实施“做大工业、做强主城、做优县域”重大战略，</w:t>
      </w: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cs="仿宋_GB2312"/>
          <w:color w:val="auto"/>
          <w:sz w:val="32"/>
          <w:szCs w:val="32"/>
          <w:highlight w:val="none"/>
          <w:lang w:val="en-US" w:eastAsia="zh-CN"/>
        </w:rPr>
        <w:t>浈江</w:t>
      </w:r>
      <w:r>
        <w:rPr>
          <w:rFonts w:hint="eastAsia" w:ascii="仿宋_GB2312" w:hAnsi="仿宋_GB2312" w:eastAsia="仿宋_GB2312" w:cs="仿宋_GB2312"/>
          <w:color w:val="auto"/>
          <w:sz w:val="32"/>
          <w:szCs w:val="32"/>
          <w:highlight w:val="none"/>
          <w:lang w:val="en-US" w:eastAsia="zh-CN"/>
        </w:rPr>
        <w:t>承接产业外溢、补齐发展短板、实现跨越式追赶带来了前所未有的战略窗口期。</w:t>
      </w:r>
      <w:r>
        <w:rPr>
          <w:rFonts w:hint="eastAsia"/>
          <w:color w:val="auto"/>
          <w:highlight w:val="none"/>
          <w:lang w:eastAsia="zh-CN"/>
        </w:rPr>
        <w:t>作为韶关中心城区，“水、陆、空”交通便利，产业基础完备，冶金、机械制造、能源发电等产业基础雄厚。同时，作为韶关数据中心集群的核心区、主阵地，得天独厚的算力基础，积淀的新兴产业崛起及数字赋能千行百业的先发优势，是浈江换道超车、高质量发展的坚实支撑。</w:t>
      </w:r>
    </w:p>
    <w:p w14:paraId="595D56F1">
      <w:pPr>
        <w:pStyle w:val="5"/>
        <w:shd w:val="clear"/>
        <w:kinsoku/>
        <w:bidi w:val="0"/>
        <w:rPr>
          <w:rFonts w:hint="eastAsia" w:ascii="黑体" w:hAnsi="黑体" w:eastAsia="黑体" w:cs="黑体"/>
          <w:b w:val="0"/>
          <w:bCs w:val="0"/>
          <w:strike w:val="0"/>
          <w:dstrike w:val="0"/>
          <w:color w:val="auto"/>
          <w:sz w:val="32"/>
          <w:szCs w:val="32"/>
          <w:highlight w:val="none"/>
          <w:lang w:val="en-US" w:eastAsia="zh-CN"/>
        </w:rPr>
      </w:pPr>
      <w:r>
        <w:rPr>
          <w:rFonts w:hint="eastAsia" w:ascii="黑体" w:hAnsi="黑体" w:eastAsia="黑体" w:cs="黑体"/>
          <w:b w:val="0"/>
          <w:bCs w:val="0"/>
          <w:strike w:val="0"/>
          <w:dstrike w:val="0"/>
          <w:color w:val="auto"/>
          <w:sz w:val="32"/>
          <w:szCs w:val="32"/>
          <w:highlight w:val="none"/>
          <w:lang w:val="en-US" w:eastAsia="zh-CN"/>
        </w:rPr>
        <w:t>二、“十五五”时期浈江区经济社会发展面临的机遇与挑战</w:t>
      </w:r>
    </w:p>
    <w:p w14:paraId="7FB2EC1A">
      <w:pPr>
        <w:shd w:val="clear"/>
        <w:kinsoku/>
        <w:bidi w:val="0"/>
        <w:rPr>
          <w:rFonts w:hint="default"/>
          <w:color w:val="auto"/>
          <w:highlight w:val="none"/>
          <w:lang w:val="en-US" w:eastAsia="zh-CN"/>
        </w:rPr>
      </w:pPr>
      <w:r>
        <w:rPr>
          <w:rFonts w:hint="eastAsia"/>
          <w:color w:val="auto"/>
          <w:highlight w:val="none"/>
        </w:rPr>
        <w:t>经过“十三五”“十四五”时期的接续奋斗，</w:t>
      </w:r>
      <w:r>
        <w:rPr>
          <w:rFonts w:hint="eastAsia"/>
          <w:color w:val="auto"/>
          <w:highlight w:val="none"/>
          <w:lang w:val="en-US" w:eastAsia="zh-CN"/>
        </w:rPr>
        <w:t>浈江区</w:t>
      </w:r>
      <w:r>
        <w:rPr>
          <w:rFonts w:hint="eastAsia"/>
          <w:color w:val="auto"/>
          <w:highlight w:val="none"/>
        </w:rPr>
        <w:t>经济社会发展取得了显著成就</w:t>
      </w:r>
      <w:r>
        <w:rPr>
          <w:rFonts w:hint="eastAsia"/>
          <w:color w:val="auto"/>
          <w:highlight w:val="none"/>
          <w:lang w:eastAsia="zh-CN"/>
        </w:rPr>
        <w:t>，</w:t>
      </w:r>
      <w:r>
        <w:rPr>
          <w:rFonts w:hint="eastAsia"/>
          <w:color w:val="auto"/>
          <w:highlight w:val="none"/>
        </w:rPr>
        <w:t>“十五五”时期，</w:t>
      </w:r>
      <w:r>
        <w:rPr>
          <w:rFonts w:hint="eastAsia"/>
          <w:color w:val="auto"/>
          <w:highlight w:val="none"/>
          <w:lang w:val="en-US" w:eastAsia="zh-CN"/>
        </w:rPr>
        <w:t>浈江区面临一系列新机遇：</w:t>
      </w:r>
      <w:r>
        <w:rPr>
          <w:rFonts w:hint="eastAsia"/>
          <w:b/>
          <w:bCs/>
          <w:color w:val="auto"/>
          <w:highlight w:val="none"/>
          <w:lang w:val="en-US" w:eastAsia="zh-CN"/>
        </w:rPr>
        <w:t>一是区位交通优势日益凸显。</w:t>
      </w:r>
      <w:r>
        <w:rPr>
          <w:rFonts w:hint="eastAsia"/>
          <w:color w:val="auto"/>
          <w:highlight w:val="none"/>
        </w:rPr>
        <w:t>随着北江航道扩能升级上延工程</w:t>
      </w:r>
      <w:r>
        <w:rPr>
          <w:rFonts w:hint="eastAsia"/>
          <w:color w:val="auto"/>
          <w:highlight w:val="none"/>
          <w:lang w:val="en-US" w:eastAsia="zh-CN"/>
        </w:rPr>
        <w:t>等立体交通网络体系建设完善</w:t>
      </w:r>
      <w:r>
        <w:rPr>
          <w:rFonts w:hint="eastAsia"/>
          <w:color w:val="auto"/>
          <w:highlight w:val="none"/>
        </w:rPr>
        <w:t>，</w:t>
      </w:r>
      <w:r>
        <w:rPr>
          <w:rFonts w:hint="eastAsia"/>
          <w:color w:val="auto"/>
          <w:highlight w:val="none"/>
          <w:lang w:val="en-US" w:eastAsia="zh-CN"/>
        </w:rPr>
        <w:t>浈江成为粤港澳大湾区辐射内陆腹地的“黄金通道”支点的发展优势不断凸显</w:t>
      </w:r>
      <w:r>
        <w:rPr>
          <w:rFonts w:hint="eastAsia"/>
          <w:color w:val="auto"/>
          <w:highlight w:val="none"/>
          <w:lang w:eastAsia="zh-CN"/>
        </w:rPr>
        <w:t>。</w:t>
      </w:r>
      <w:r>
        <w:rPr>
          <w:rFonts w:hint="eastAsia"/>
          <w:b/>
          <w:bCs/>
          <w:color w:val="auto"/>
          <w:highlight w:val="none"/>
          <w:lang w:eastAsia="zh-CN"/>
        </w:rPr>
        <w:t>二是产业发展优势显现。</w:t>
      </w:r>
      <w:r>
        <w:rPr>
          <w:rFonts w:hint="eastAsia"/>
          <w:color w:val="auto"/>
          <w:highlight w:val="none"/>
          <w:lang w:eastAsia="zh-CN"/>
        </w:rPr>
        <w:t>浈江区</w:t>
      </w:r>
      <w:r>
        <w:rPr>
          <w:rFonts w:hint="eastAsia"/>
          <w:color w:val="auto"/>
          <w:highlight w:val="none"/>
          <w:lang w:val="en-US" w:eastAsia="zh-CN"/>
        </w:rPr>
        <w:t>有色金属、机械锻造等传统制造</w:t>
      </w:r>
      <w:r>
        <w:rPr>
          <w:rFonts w:hint="eastAsia"/>
          <w:color w:val="auto"/>
          <w:highlight w:val="none"/>
          <w:lang w:eastAsia="zh-CN"/>
        </w:rPr>
        <w:t>业根基深厚，先进装备制造、有色金属新材料、新能源电力三大产业集群初具规模、</w:t>
      </w:r>
      <w:r>
        <w:rPr>
          <w:rFonts w:hint="eastAsia"/>
          <w:color w:val="auto"/>
          <w:highlight w:val="none"/>
          <w:lang w:val="en-US" w:eastAsia="zh-CN"/>
        </w:rPr>
        <w:t>商贸物流优势突出，社消零总额连续五年位居全市首位，迎来落实韶关市对浈江区</w:t>
      </w:r>
      <w:r>
        <w:rPr>
          <w:rFonts w:hint="eastAsia"/>
          <w:color w:val="auto"/>
          <w:highlight w:val="none"/>
          <w:lang w:eastAsia="zh-CN"/>
        </w:rPr>
        <w:t>“打造韶关新型工业化战略重地、城乡融合发展示范区和商贸物流中心”</w:t>
      </w:r>
      <w:r>
        <w:rPr>
          <w:rFonts w:hint="eastAsia"/>
          <w:color w:val="auto"/>
          <w:highlight w:val="none"/>
          <w:lang w:val="en-US" w:eastAsia="zh-CN"/>
        </w:rPr>
        <w:t>定位的关键机遇期</w:t>
      </w:r>
      <w:r>
        <w:rPr>
          <w:rFonts w:hint="eastAsia"/>
          <w:color w:val="auto"/>
          <w:highlight w:val="none"/>
          <w:lang w:eastAsia="zh-CN"/>
        </w:rPr>
        <w:t>。</w:t>
      </w:r>
      <w:r>
        <w:rPr>
          <w:rFonts w:hint="eastAsia"/>
          <w:b/>
          <w:bCs/>
          <w:color w:val="auto"/>
          <w:highlight w:val="none"/>
          <w:lang w:val="en-US" w:eastAsia="zh-CN"/>
        </w:rPr>
        <w:t>三是粤港澳大湾区韶关数据中心集群进入产能释放期。</w:t>
      </w:r>
      <w:r>
        <w:rPr>
          <w:rFonts w:hint="eastAsia"/>
          <w:color w:val="auto"/>
          <w:highlight w:val="none"/>
          <w:lang w:val="en-US" w:eastAsia="zh-CN"/>
        </w:rPr>
        <w:t>浈江是韶关数据中心集群的算力主中心</w:t>
      </w:r>
      <w:r>
        <w:rPr>
          <w:rFonts w:hint="eastAsia"/>
          <w:color w:val="auto"/>
          <w:highlight w:val="none"/>
          <w:lang w:eastAsia="zh-CN"/>
        </w:rPr>
        <w:t>，移动、联通、电信等头部企业数据中心项目建成投产，</w:t>
      </w:r>
      <w:r>
        <w:rPr>
          <w:rFonts w:hint="eastAsia"/>
          <w:color w:val="auto"/>
          <w:highlight w:val="none"/>
          <w:lang w:val="en-US" w:eastAsia="zh-CN"/>
        </w:rPr>
        <w:t>智能计算产业高地雏形初现，</w:t>
      </w:r>
      <w:r>
        <w:rPr>
          <w:rFonts w:hint="eastAsia"/>
          <w:color w:val="auto"/>
          <w:highlight w:val="none"/>
          <w:lang w:eastAsia="zh-CN"/>
        </w:rPr>
        <w:t>大数据产业链条延展蓄势待发，新质生产力潜力的激发迎来关键黄金期。</w:t>
      </w:r>
      <w:r>
        <w:rPr>
          <w:rFonts w:hint="eastAsia"/>
          <w:b/>
          <w:bCs/>
          <w:color w:val="auto"/>
          <w:highlight w:val="none"/>
          <w:lang w:eastAsia="zh-CN"/>
        </w:rPr>
        <w:t>四是省市发展重点支撑。</w:t>
      </w:r>
      <w:r>
        <w:rPr>
          <w:rFonts w:hint="eastAsia"/>
          <w:color w:val="auto"/>
          <w:highlight w:val="none"/>
          <w:lang w:eastAsia="zh-CN"/>
        </w:rPr>
        <w:t>粤港澳大湾区建设</w:t>
      </w:r>
      <w:r>
        <w:rPr>
          <w:rFonts w:hint="eastAsia"/>
          <w:color w:val="auto"/>
          <w:highlight w:val="none"/>
          <w:lang w:val="en-US" w:eastAsia="zh-CN"/>
        </w:rPr>
        <w:t>纵深推进</w:t>
      </w:r>
      <w:r>
        <w:rPr>
          <w:rFonts w:hint="eastAsia"/>
          <w:color w:val="auto"/>
          <w:highlight w:val="none"/>
          <w:lang w:eastAsia="zh-CN"/>
        </w:rPr>
        <w:t>，制造业当家、数字广东建设、“百千万工程”、绿美广东生态建设等战略</w:t>
      </w:r>
      <w:r>
        <w:rPr>
          <w:rFonts w:hint="eastAsia"/>
          <w:color w:val="auto"/>
          <w:highlight w:val="none"/>
          <w:lang w:val="en-US" w:eastAsia="zh-CN"/>
        </w:rPr>
        <w:t>持续</w:t>
      </w:r>
      <w:r>
        <w:rPr>
          <w:rFonts w:hint="eastAsia"/>
          <w:color w:val="auto"/>
          <w:highlight w:val="none"/>
          <w:lang w:eastAsia="zh-CN"/>
        </w:rPr>
        <w:t>赋能，为浈江区域经济发展、城乡协调发展、生态环境建设提供发展活力和内生动力。</w:t>
      </w:r>
    </w:p>
    <w:p w14:paraId="0D35AFCA">
      <w:pPr>
        <w:shd w:val="clear"/>
        <w:kinsoku/>
        <w:bidi w:val="0"/>
        <w:rPr>
          <w:rFonts w:hint="eastAsia"/>
          <w:color w:val="auto"/>
          <w:highlight w:val="none"/>
          <w:lang w:val="en-US" w:eastAsia="zh-CN"/>
        </w:rPr>
      </w:pPr>
      <w:r>
        <w:rPr>
          <w:rFonts w:hint="eastAsia"/>
          <w:color w:val="auto"/>
          <w:highlight w:val="none"/>
          <w:lang w:val="en-US" w:eastAsia="zh-CN"/>
        </w:rPr>
        <w:t>但也要看到，浈江区仍面临不少发展挑战：城乡发展不平衡不充分问题仍然突出，产业发展结构不优，营商环境尚需改善，社会治理还有弱项，公共服务供给短板有待加快补齐，干部队伍贯彻新发展理念、服务构建新发展格局能力水平还需增进。“十五五”时期，既要乘势而上，又要迎难而上，我们要切实增强机遇意识和风险意识，坚定必胜信心，保持战略定力，发扬斗争精神，树牢底线思维，准确识变、科学应变、主动求变，善于在危机中育先机、于变局中开新局，改革创新、勇于担当，奋力开创浈江现代化建设新局面。</w:t>
      </w:r>
    </w:p>
    <w:p w14:paraId="374AC860">
      <w:pPr>
        <w:shd w:val="clear"/>
        <w:kinsoku/>
        <w:bidi w:val="0"/>
        <w:rPr>
          <w:rFonts w:hint="eastAsia"/>
          <w:color w:val="auto"/>
          <w:highlight w:val="none"/>
          <w:lang w:val="en-US" w:eastAsia="zh-CN"/>
        </w:rPr>
      </w:pPr>
    </w:p>
    <w:p w14:paraId="66193B51">
      <w:pPr>
        <w:pStyle w:val="4"/>
        <w:shd w:val="clear"/>
        <w:kinsoku/>
        <w:bidi w:val="0"/>
        <w:rPr>
          <w:rFonts w:hint="eastAsia"/>
          <w:color w:val="auto"/>
          <w:highlight w:val="none"/>
          <w:lang w:val="en-US" w:eastAsia="zh-CN"/>
        </w:rPr>
      </w:pPr>
      <w:bookmarkStart w:id="181" w:name="_Toc4434"/>
      <w:bookmarkStart w:id="182" w:name="_Toc16164"/>
      <w:bookmarkStart w:id="183" w:name="_Toc30119"/>
      <w:bookmarkStart w:id="184" w:name="_Toc28692"/>
      <w:bookmarkStart w:id="185" w:name="_Toc1891"/>
      <w:bookmarkStart w:id="186" w:name="_Toc21813"/>
      <w:bookmarkStart w:id="187" w:name="_Toc1680"/>
      <w:bookmarkStart w:id="188" w:name="_Toc29598"/>
      <w:bookmarkStart w:id="189" w:name="_Toc25134"/>
      <w:bookmarkStart w:id="190" w:name="_Toc5583"/>
      <w:bookmarkStart w:id="191" w:name="_Toc26679"/>
      <w:bookmarkStart w:id="192" w:name="_Toc6863"/>
      <w:bookmarkStart w:id="193" w:name="_Toc16205"/>
      <w:bookmarkStart w:id="194" w:name="_Toc14647"/>
      <w:bookmarkStart w:id="195" w:name="_Toc10846"/>
      <w:bookmarkStart w:id="196" w:name="_Toc710"/>
      <w:bookmarkStart w:id="197" w:name="_Toc8536"/>
      <w:bookmarkStart w:id="198" w:name="_Toc22800"/>
      <w:r>
        <w:rPr>
          <w:rFonts w:hint="eastAsia"/>
          <w:color w:val="auto"/>
          <w:highlight w:val="none"/>
          <w:lang w:val="en-US" w:eastAsia="zh-CN"/>
        </w:rPr>
        <w:t>第三节 指导思想</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D66C99C">
      <w:pPr>
        <w:rPr>
          <w:rFonts w:hint="eastAsia"/>
          <w:lang w:val="en-US" w:eastAsia="zh-CN"/>
        </w:rPr>
      </w:pPr>
    </w:p>
    <w:p w14:paraId="6209DA65">
      <w:pPr>
        <w:keepNext w:val="0"/>
        <w:keepLines w:val="0"/>
        <w:pageBreakBefore w:val="0"/>
        <w:widowControl w:val="0"/>
        <w:shd w:val="clear"/>
        <w:kinsoku/>
        <w:wordWrap/>
        <w:overflowPunct/>
        <w:topLinePunct w:val="0"/>
        <w:autoSpaceDE w:val="0"/>
        <w:autoSpaceDN w:val="0"/>
        <w:bidi w:val="0"/>
        <w:adjustRightInd w:val="0"/>
        <w:snapToGrid w:val="0"/>
        <w:spacing w:beforeLines="0" w:afterLines="0" w:line="574" w:lineRule="exact"/>
        <w:ind w:firstLine="640"/>
        <w:textAlignment w:val="baseline"/>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坚持马克思列宁主义、毛泽东思想、邓小平理论、“三个代表”重要思想、科学发展观，全面贯彻习近平新时代中国特色社会主义思想，深入贯彻党的二十大和二十届历次全会精神，深入贯彻习近平总书记对广东系列重要讲话和重要指示批示精神，围绕全面建成社会主义现代化强国、实现第二个百年奋斗目标，以中国式现代化全面推进中华民族伟大复兴，锚定</w:t>
      </w:r>
      <w:r>
        <w:rPr>
          <w:rFonts w:hint="eastAsia" w:ascii="仿宋_GB2312" w:hAnsi="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eastAsia="zh-CN"/>
        </w:rPr>
        <w:t>建设城乡融合发展新浈江</w:t>
      </w:r>
      <w:r>
        <w:rPr>
          <w:rFonts w:hint="eastAsia" w:ascii="仿宋_GB2312" w:hAnsi="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eastAsia="zh-CN"/>
        </w:rPr>
        <w:t>的</w:t>
      </w:r>
      <w:r>
        <w:rPr>
          <w:rFonts w:hint="eastAsia" w:ascii="仿宋_GB2312" w:hAnsi="仿宋_GB2312" w:cs="仿宋_GB2312"/>
          <w:color w:val="auto"/>
          <w:kern w:val="0"/>
          <w:sz w:val="32"/>
          <w:szCs w:val="32"/>
          <w:highlight w:val="none"/>
          <w:lang w:eastAsia="zh-CN"/>
        </w:rPr>
        <w:t>定位</w:t>
      </w:r>
      <w:r>
        <w:rPr>
          <w:rFonts w:hint="eastAsia" w:ascii="仿宋_GB2312" w:hAnsi="仿宋_GB2312" w:eastAsia="仿宋_GB2312" w:cs="仿宋_GB2312"/>
          <w:color w:val="auto"/>
          <w:kern w:val="0"/>
          <w:sz w:val="32"/>
          <w:szCs w:val="32"/>
          <w:highlight w:val="none"/>
          <w:lang w:eastAsia="zh-CN"/>
        </w:rPr>
        <w:t>，完整准确全面贯彻新发展理念，坚持稳中求进工作总基调，统筹推进“五位一体”总体布局，协调推进“四个全面”战略布局，积极服务和融入新发展格局，以改革创新为根本动力，以满足人民日益增长的美好生活需要为根本目的，以全面从严治党为根本保障，全面落实省委“</w:t>
      </w:r>
      <w:r>
        <w:rPr>
          <w:rFonts w:hint="eastAsia" w:ascii="Times New Roman" w:hAnsi="Times New Roman" w:cs="Times New Roman"/>
          <w:color w:val="auto"/>
          <w:kern w:val="0"/>
          <w:sz w:val="32"/>
          <w:szCs w:val="32"/>
          <w:highlight w:val="none"/>
          <w:lang w:eastAsia="zh-CN"/>
        </w:rPr>
        <w:t>1310</w:t>
      </w:r>
      <w:r>
        <w:rPr>
          <w:rFonts w:hint="eastAsia" w:ascii="仿宋_GB2312" w:hAnsi="仿宋_GB2312" w:eastAsia="仿宋_GB2312" w:cs="仿宋_GB2312"/>
          <w:color w:val="auto"/>
          <w:kern w:val="0"/>
          <w:sz w:val="32"/>
          <w:szCs w:val="32"/>
          <w:highlight w:val="none"/>
          <w:lang w:eastAsia="zh-CN"/>
        </w:rPr>
        <w:t>”工作部署、市委“</w:t>
      </w:r>
      <w:r>
        <w:rPr>
          <w:rFonts w:hint="eastAsia" w:ascii="Times New Roman" w:hAnsi="Times New Roman" w:cs="Times New Roman"/>
          <w:color w:val="auto"/>
          <w:kern w:val="0"/>
          <w:sz w:val="32"/>
          <w:szCs w:val="32"/>
          <w:highlight w:val="none"/>
          <w:lang w:eastAsia="zh-CN"/>
        </w:rPr>
        <w:t>363</w:t>
      </w:r>
      <w:r>
        <w:rPr>
          <w:rFonts w:hint="eastAsia" w:ascii="仿宋_GB2312" w:hAnsi="仿宋_GB2312" w:eastAsia="仿宋_GB2312" w:cs="仿宋_GB2312"/>
          <w:color w:val="auto"/>
          <w:kern w:val="0"/>
          <w:sz w:val="32"/>
          <w:szCs w:val="32"/>
          <w:highlight w:val="none"/>
          <w:lang w:eastAsia="zh-CN"/>
        </w:rPr>
        <w:t>”工作安排，深化实施“六新浈江”，推动经济实现质的有效提升和量的合理增长，推动人的全面发展、全体人民共同富裕迈出坚实步伐，扎实推进中国式现代化的浈江实践，确保基本实现社会主义现代化取得决定性进展。</w:t>
      </w:r>
    </w:p>
    <w:p w14:paraId="15952DD7">
      <w:pPr>
        <w:widowControl/>
        <w:shd w:val="clear"/>
        <w:kinsoku/>
        <w:wordWrap/>
        <w:overflowPunct/>
        <w:topLinePunct w:val="0"/>
        <w:autoSpaceDE w:val="0"/>
        <w:autoSpaceDN w:val="0"/>
        <w:bidi w:val="0"/>
        <w:adjustRightInd w:val="0"/>
        <w:snapToGrid w:val="0"/>
        <w:spacing w:beforeLines="0" w:afterLines="0" w:line="574" w:lineRule="exact"/>
        <w:ind w:firstLine="640"/>
        <w:textAlignment w:val="baseline"/>
        <w:rPr>
          <w:rFonts w:hint="eastAsia" w:ascii="仿宋_GB2312" w:hAnsi="仿宋_GB2312" w:eastAsia="仿宋_GB2312" w:cs="仿宋_GB2312"/>
          <w:color w:val="auto"/>
          <w:kern w:val="0"/>
          <w:sz w:val="32"/>
          <w:szCs w:val="32"/>
          <w:highlight w:val="none"/>
          <w:lang w:eastAsia="zh-CN"/>
        </w:rPr>
      </w:pPr>
    </w:p>
    <w:p w14:paraId="2FC2A578">
      <w:pPr>
        <w:pStyle w:val="4"/>
        <w:shd w:val="clear"/>
        <w:kinsoku/>
        <w:bidi w:val="0"/>
        <w:rPr>
          <w:rFonts w:hint="default" w:ascii="Times New Roman" w:hAnsi="Times New Roman"/>
          <w:color w:val="auto"/>
          <w:highlight w:val="none"/>
          <w:lang w:val="en-US" w:eastAsia="zh-CN"/>
        </w:rPr>
      </w:pPr>
      <w:bookmarkStart w:id="199" w:name="_Toc686"/>
      <w:bookmarkStart w:id="200" w:name="_Toc31461"/>
      <w:bookmarkStart w:id="201" w:name="_Toc731"/>
      <w:bookmarkStart w:id="202" w:name="_Toc13065"/>
      <w:bookmarkStart w:id="203" w:name="_Toc18888"/>
      <w:bookmarkStart w:id="204" w:name="_Toc16124"/>
      <w:bookmarkStart w:id="205" w:name="_Toc23017"/>
      <w:bookmarkStart w:id="206" w:name="_Toc13721"/>
      <w:bookmarkStart w:id="207" w:name="_Toc23512"/>
      <w:bookmarkStart w:id="208" w:name="_Toc6623"/>
      <w:bookmarkStart w:id="209" w:name="_Toc18891"/>
      <w:bookmarkStart w:id="210" w:name="_Toc3863"/>
      <w:bookmarkStart w:id="211" w:name="_Toc18190"/>
      <w:bookmarkStart w:id="212" w:name="_Toc10209"/>
      <w:bookmarkStart w:id="213" w:name="_Toc15476"/>
      <w:bookmarkStart w:id="214" w:name="_Toc29748"/>
      <w:bookmarkStart w:id="215" w:name="_Toc13901"/>
      <w:bookmarkStart w:id="216" w:name="_Toc25548"/>
      <w:r>
        <w:rPr>
          <w:rFonts w:hint="eastAsia" w:ascii="Times New Roman" w:hAnsi="Times New Roman"/>
          <w:color w:val="auto"/>
          <w:highlight w:val="none"/>
          <w:lang w:val="en-US" w:eastAsia="zh-CN"/>
        </w:rPr>
        <w:t>第</w:t>
      </w:r>
      <w:r>
        <w:rPr>
          <w:rFonts w:hint="eastAsia"/>
          <w:color w:val="auto"/>
          <w:highlight w:val="none"/>
          <w:lang w:val="en-US" w:eastAsia="zh-CN"/>
        </w:rPr>
        <w:t>四</w:t>
      </w:r>
      <w:r>
        <w:rPr>
          <w:rFonts w:hint="eastAsia" w:ascii="Times New Roman" w:hAnsi="Times New Roman"/>
          <w:color w:val="auto"/>
          <w:highlight w:val="none"/>
          <w:lang w:val="en-US" w:eastAsia="zh-CN"/>
        </w:rPr>
        <w:t xml:space="preserve">节 </w:t>
      </w:r>
      <w:r>
        <w:rPr>
          <w:rFonts w:hint="eastAsia"/>
          <w:color w:val="auto"/>
          <w:highlight w:val="none"/>
          <w:lang w:val="en-US" w:eastAsia="zh-CN"/>
        </w:rPr>
        <w:t>基本</w:t>
      </w:r>
      <w:r>
        <w:rPr>
          <w:rFonts w:hint="eastAsia" w:ascii="Times New Roman" w:hAnsi="Times New Roman"/>
          <w:color w:val="auto"/>
          <w:highlight w:val="none"/>
          <w:lang w:val="en-US" w:eastAsia="zh-CN"/>
        </w:rPr>
        <w:t>原则</w:t>
      </w:r>
      <w:bookmarkEnd w:id="199"/>
      <w:bookmarkEnd w:id="200"/>
      <w:bookmarkEnd w:id="201"/>
      <w:bookmarkEnd w:id="202"/>
      <w:bookmarkEnd w:id="203"/>
      <w:bookmarkEnd w:id="204"/>
      <w:bookmarkEnd w:id="205"/>
      <w:bookmarkEnd w:id="206"/>
      <w:bookmarkEnd w:id="207"/>
      <w:r>
        <w:rPr>
          <w:rFonts w:hint="eastAsia" w:ascii="Times New Roman" w:hAnsi="Times New Roman"/>
          <w:color w:val="auto"/>
          <w:highlight w:val="none"/>
          <w:lang w:val="en-US" w:eastAsia="zh-CN"/>
        </w:rPr>
        <w:t>和发展导向</w:t>
      </w:r>
      <w:bookmarkEnd w:id="208"/>
      <w:bookmarkEnd w:id="209"/>
      <w:bookmarkEnd w:id="210"/>
      <w:bookmarkEnd w:id="211"/>
      <w:bookmarkEnd w:id="212"/>
      <w:bookmarkEnd w:id="213"/>
      <w:bookmarkEnd w:id="214"/>
      <w:bookmarkEnd w:id="215"/>
      <w:bookmarkEnd w:id="216"/>
    </w:p>
    <w:p w14:paraId="150802B7">
      <w:pPr>
        <w:shd w:val="clear"/>
        <w:kinsoku/>
        <w:bidi w:val="0"/>
        <w:rPr>
          <w:rFonts w:hint="eastAsia" w:ascii="BatangChe" w:hAnsi="BatangChe" w:cs="仿宋_GB2312"/>
          <w:color w:val="auto"/>
          <w:kern w:val="32"/>
          <w:sz w:val="32"/>
          <w:szCs w:val="32"/>
          <w:highlight w:val="none"/>
          <w:u w:val="none" w:color="auto"/>
          <w:lang w:val="en-US" w:eastAsia="zh-CN" w:bidi="ar-SA"/>
        </w:rPr>
      </w:pPr>
    </w:p>
    <w:p w14:paraId="7FDADC8A">
      <w:pPr>
        <w:shd w:val="clear"/>
        <w:kinsoku/>
        <w:bidi w:val="0"/>
        <w:rPr>
          <w:rFonts w:hint="default"/>
          <w:color w:val="auto"/>
          <w:highlight w:val="none"/>
          <w:lang w:val="en-US" w:eastAsia="zh-CN"/>
        </w:rPr>
      </w:pPr>
      <w:r>
        <w:rPr>
          <w:rFonts w:hint="eastAsia" w:ascii="BatangChe" w:hAnsi="BatangChe" w:cs="仿宋_GB2312"/>
          <w:color w:val="auto"/>
          <w:kern w:val="32"/>
          <w:sz w:val="32"/>
          <w:szCs w:val="32"/>
          <w:highlight w:val="none"/>
          <w:u w:val="none" w:color="auto"/>
          <w:lang w:val="en-US" w:eastAsia="zh-CN" w:bidi="ar-SA"/>
        </w:rPr>
        <w:t>推进</w:t>
      </w:r>
      <w:r>
        <w:rPr>
          <w:rFonts w:hint="eastAsia" w:ascii="BatangChe" w:hAnsi="BatangChe" w:eastAsia="仿宋_GB2312" w:cs="仿宋_GB2312"/>
          <w:color w:val="auto"/>
          <w:kern w:val="32"/>
          <w:sz w:val="32"/>
          <w:szCs w:val="32"/>
          <w:highlight w:val="none"/>
          <w:u w:val="none" w:color="auto"/>
          <w:lang w:val="en-US" w:eastAsia="zh-CN" w:bidi="ar-SA"/>
        </w:rPr>
        <w:t>“十五五”时期经济社会发展</w:t>
      </w:r>
      <w:r>
        <w:rPr>
          <w:rFonts w:hint="eastAsia" w:ascii="BatangChe" w:hAnsi="BatangChe" w:cs="仿宋_GB2312"/>
          <w:color w:val="auto"/>
          <w:kern w:val="32"/>
          <w:sz w:val="32"/>
          <w:szCs w:val="32"/>
          <w:highlight w:val="none"/>
          <w:u w:val="none" w:color="auto"/>
          <w:lang w:val="en-US" w:eastAsia="zh-CN" w:bidi="ar-SA"/>
        </w:rPr>
        <w:t>，必须</w:t>
      </w:r>
      <w:r>
        <w:rPr>
          <w:rFonts w:hint="eastAsia" w:ascii="BatangChe" w:hAnsi="BatangChe" w:eastAsia="仿宋_GB2312" w:cs="仿宋_GB2312"/>
          <w:color w:val="auto"/>
          <w:kern w:val="32"/>
          <w:sz w:val="32"/>
          <w:szCs w:val="32"/>
          <w:highlight w:val="none"/>
          <w:u w:val="none" w:color="auto"/>
          <w:lang w:val="en-US" w:eastAsia="zh-CN" w:bidi="ar-SA"/>
        </w:rPr>
        <w:t>遵循坚持党的全面领导、坚持人民至上、坚持高质量发展、坚持全面深化改革、坚持有效市场和有为政府相结合、坚持统筹发展和安全等原则。</w:t>
      </w:r>
      <w:r>
        <w:rPr>
          <w:rFonts w:hint="eastAsia" w:ascii="仿宋_GB2312"/>
          <w:color w:val="auto"/>
          <w:szCs w:val="32"/>
          <w:highlight w:val="none"/>
        </w:rPr>
        <w:t>结合</w:t>
      </w:r>
      <w:r>
        <w:rPr>
          <w:rFonts w:hint="eastAsia" w:ascii="仿宋_GB2312"/>
          <w:color w:val="auto"/>
          <w:szCs w:val="32"/>
          <w:highlight w:val="none"/>
          <w:lang w:val="en-US" w:eastAsia="zh-CN"/>
        </w:rPr>
        <w:t>浈江</w:t>
      </w:r>
      <w:r>
        <w:rPr>
          <w:rFonts w:hint="eastAsia" w:ascii="仿宋_GB2312"/>
          <w:color w:val="auto"/>
          <w:szCs w:val="32"/>
          <w:highlight w:val="none"/>
        </w:rPr>
        <w:t>实际，</w:t>
      </w:r>
      <w:r>
        <w:rPr>
          <w:rFonts w:hint="eastAsia" w:ascii="仿宋_GB2312"/>
          <w:color w:val="auto"/>
          <w:szCs w:val="32"/>
          <w:highlight w:val="none"/>
          <w:lang w:val="en-US" w:eastAsia="zh-CN"/>
        </w:rPr>
        <w:t>落实以下发展导向</w:t>
      </w:r>
      <w:r>
        <w:rPr>
          <w:rFonts w:hint="eastAsia" w:ascii="仿宋_GB2312"/>
          <w:color w:val="auto"/>
          <w:szCs w:val="32"/>
          <w:highlight w:val="none"/>
        </w:rPr>
        <w:t>：</w:t>
      </w:r>
    </w:p>
    <w:p w14:paraId="5B20E06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ascii="BatangChe" w:hAnsi="BatangChe" w:eastAsia="仿宋_GB2312" w:cs="仿宋_GB2312"/>
          <w:color w:val="auto"/>
          <w:kern w:val="32"/>
          <w:sz w:val="32"/>
          <w:szCs w:val="32"/>
          <w:highlight w:val="none"/>
          <w:u w:val="none" w:color="auto"/>
          <w:lang w:val="en-US" w:eastAsia="zh-CN" w:bidi="ar-SA"/>
        </w:rPr>
      </w:pPr>
      <w:r>
        <w:rPr>
          <w:rFonts w:hint="eastAsia" w:ascii="BatangChe" w:hAnsi="BatangChe" w:eastAsia="仿宋_GB2312" w:cs="仿宋_GB2312"/>
          <w:b/>
          <w:bCs/>
          <w:color w:val="auto"/>
          <w:kern w:val="32"/>
          <w:sz w:val="32"/>
          <w:szCs w:val="32"/>
          <w:highlight w:val="none"/>
          <w:u w:val="none" w:color="auto"/>
          <w:lang w:val="en-US" w:eastAsia="zh-CN" w:bidi="ar-SA"/>
        </w:rPr>
        <w:t>——做大工业是浈江高质量发展的必由之路。</w:t>
      </w:r>
      <w:r>
        <w:rPr>
          <w:rFonts w:hint="eastAsia" w:ascii="BatangChe" w:hAnsi="BatangChe" w:eastAsia="仿宋_GB2312" w:cs="仿宋_GB2312"/>
          <w:color w:val="auto"/>
          <w:kern w:val="32"/>
          <w:sz w:val="32"/>
          <w:szCs w:val="32"/>
          <w:highlight w:val="none"/>
          <w:u w:val="none" w:color="auto"/>
          <w:lang w:val="en-US" w:eastAsia="zh-CN" w:bidi="ar-SA"/>
        </w:rPr>
        <w:t>浈江作为韶关市工业发展的重要承载地，不仅具备</w:t>
      </w:r>
      <w:r>
        <w:rPr>
          <w:rFonts w:hint="default" w:ascii="BatangChe" w:hAnsi="BatangChe" w:eastAsia="仿宋_GB2312" w:cs="仿宋_GB2312"/>
          <w:color w:val="auto"/>
          <w:kern w:val="32"/>
          <w:sz w:val="32"/>
          <w:szCs w:val="32"/>
          <w:highlight w:val="none"/>
          <w:u w:val="none" w:color="auto"/>
          <w:lang w:val="en-US" w:eastAsia="zh-CN" w:bidi="ar-SA"/>
        </w:rPr>
        <w:t>完备的</w:t>
      </w:r>
      <w:r>
        <w:rPr>
          <w:rFonts w:hint="eastAsia" w:ascii="BatangChe" w:hAnsi="BatangChe" w:eastAsia="仿宋_GB2312" w:cs="仿宋_GB2312"/>
          <w:color w:val="auto"/>
          <w:kern w:val="32"/>
          <w:sz w:val="32"/>
          <w:szCs w:val="32"/>
          <w:highlight w:val="none"/>
          <w:u w:val="none" w:color="auto"/>
          <w:lang w:val="en-US" w:eastAsia="zh-CN" w:bidi="ar-SA"/>
        </w:rPr>
        <w:t>工业基础</w:t>
      </w:r>
      <w:r>
        <w:rPr>
          <w:rFonts w:hint="default" w:ascii="BatangChe" w:hAnsi="BatangChe" w:eastAsia="仿宋_GB2312" w:cs="仿宋_GB2312"/>
          <w:color w:val="auto"/>
          <w:kern w:val="32"/>
          <w:sz w:val="32"/>
          <w:szCs w:val="32"/>
          <w:highlight w:val="none"/>
          <w:u w:val="none" w:color="auto"/>
          <w:lang w:val="en-US" w:eastAsia="zh-CN" w:bidi="ar-SA"/>
        </w:rPr>
        <w:t>，还拥有支撑</w:t>
      </w:r>
      <w:r>
        <w:rPr>
          <w:rFonts w:hint="eastAsia" w:ascii="BatangChe" w:hAnsi="BatangChe" w:eastAsia="仿宋_GB2312" w:cs="仿宋_GB2312"/>
          <w:color w:val="auto"/>
          <w:kern w:val="32"/>
          <w:sz w:val="32"/>
          <w:szCs w:val="32"/>
          <w:highlight w:val="none"/>
          <w:u w:val="none" w:color="auto"/>
          <w:lang w:val="en-US" w:eastAsia="zh-CN" w:bidi="ar-SA"/>
        </w:rPr>
        <w:t>工业</w:t>
      </w:r>
      <w:r>
        <w:rPr>
          <w:rFonts w:hint="default" w:ascii="BatangChe" w:hAnsi="BatangChe" w:eastAsia="仿宋_GB2312" w:cs="仿宋_GB2312"/>
          <w:color w:val="auto"/>
          <w:kern w:val="32"/>
          <w:sz w:val="32"/>
          <w:szCs w:val="32"/>
          <w:highlight w:val="none"/>
          <w:u w:val="none" w:color="auto"/>
          <w:lang w:val="en-US" w:eastAsia="zh-CN" w:bidi="ar-SA"/>
        </w:rPr>
        <w:t>发展</w:t>
      </w:r>
      <w:r>
        <w:rPr>
          <w:rFonts w:hint="eastAsia" w:ascii="BatangChe" w:hAnsi="BatangChe" w:eastAsia="仿宋_GB2312" w:cs="仿宋_GB2312"/>
          <w:color w:val="auto"/>
          <w:kern w:val="32"/>
          <w:sz w:val="32"/>
          <w:szCs w:val="32"/>
          <w:highlight w:val="none"/>
          <w:u w:val="none" w:color="auto"/>
          <w:lang w:val="en-US" w:eastAsia="zh-CN" w:bidi="ar-SA"/>
        </w:rPr>
        <w:t>配套的</w:t>
      </w:r>
      <w:r>
        <w:rPr>
          <w:rFonts w:hint="default" w:ascii="BatangChe" w:hAnsi="BatangChe" w:eastAsia="仿宋_GB2312" w:cs="仿宋_GB2312"/>
          <w:color w:val="auto"/>
          <w:kern w:val="32"/>
          <w:sz w:val="32"/>
          <w:szCs w:val="32"/>
          <w:highlight w:val="none"/>
          <w:u w:val="none" w:color="auto"/>
          <w:lang w:val="en-US" w:eastAsia="zh-CN" w:bidi="ar-SA"/>
        </w:rPr>
        <w:t>城市</w:t>
      </w:r>
      <w:r>
        <w:rPr>
          <w:rFonts w:hint="eastAsia" w:ascii="BatangChe" w:hAnsi="BatangChe" w:eastAsia="仿宋_GB2312" w:cs="仿宋_GB2312"/>
          <w:color w:val="auto"/>
          <w:kern w:val="32"/>
          <w:sz w:val="32"/>
          <w:szCs w:val="32"/>
          <w:highlight w:val="none"/>
          <w:u w:val="none" w:color="auto"/>
          <w:lang w:val="en-US" w:eastAsia="zh-CN" w:bidi="ar-SA"/>
        </w:rPr>
        <w:t>公共服务能力，</w:t>
      </w:r>
      <w:r>
        <w:rPr>
          <w:rFonts w:hint="default" w:ascii="BatangChe" w:hAnsi="BatangChe" w:eastAsia="仿宋_GB2312" w:cs="仿宋_GB2312"/>
          <w:color w:val="auto"/>
          <w:kern w:val="32"/>
          <w:sz w:val="32"/>
          <w:szCs w:val="32"/>
          <w:highlight w:val="none"/>
          <w:u w:val="none" w:color="auto"/>
          <w:lang w:val="en-US" w:eastAsia="zh-CN" w:bidi="ar-SA"/>
        </w:rPr>
        <w:t>依托丰富的资源，逐步构建起以冶金、</w:t>
      </w:r>
      <w:r>
        <w:rPr>
          <w:rFonts w:hint="eastAsia" w:ascii="BatangChe" w:hAnsi="BatangChe" w:eastAsia="仿宋_GB2312" w:cs="仿宋_GB2312"/>
          <w:color w:val="auto"/>
          <w:kern w:val="32"/>
          <w:sz w:val="32"/>
          <w:szCs w:val="32"/>
          <w:highlight w:val="none"/>
          <w:u w:val="none" w:color="auto"/>
          <w:lang w:val="en-US" w:eastAsia="zh-CN" w:bidi="ar-SA"/>
        </w:rPr>
        <w:t>机械</w:t>
      </w:r>
      <w:r>
        <w:rPr>
          <w:rFonts w:hint="default" w:ascii="BatangChe" w:hAnsi="BatangChe" w:eastAsia="仿宋_GB2312" w:cs="仿宋_GB2312"/>
          <w:color w:val="auto"/>
          <w:kern w:val="32"/>
          <w:sz w:val="32"/>
          <w:szCs w:val="32"/>
          <w:highlight w:val="none"/>
          <w:u w:val="none" w:color="auto"/>
          <w:lang w:val="en-US" w:eastAsia="zh-CN" w:bidi="ar-SA"/>
        </w:rPr>
        <w:t>制造</w:t>
      </w:r>
      <w:r>
        <w:rPr>
          <w:rFonts w:hint="eastAsia" w:ascii="BatangChe" w:hAnsi="BatangChe" w:eastAsia="仿宋_GB2312" w:cs="仿宋_GB2312"/>
          <w:color w:val="auto"/>
          <w:kern w:val="32"/>
          <w:sz w:val="32"/>
          <w:szCs w:val="32"/>
          <w:highlight w:val="none"/>
          <w:u w:val="none" w:color="auto"/>
          <w:lang w:val="en-US" w:eastAsia="zh-CN" w:bidi="ar-SA"/>
        </w:rPr>
        <w:t>、能源发电</w:t>
      </w:r>
      <w:r>
        <w:rPr>
          <w:rFonts w:hint="default" w:ascii="BatangChe" w:hAnsi="BatangChe" w:eastAsia="仿宋_GB2312" w:cs="仿宋_GB2312"/>
          <w:color w:val="auto"/>
          <w:kern w:val="32"/>
          <w:sz w:val="32"/>
          <w:szCs w:val="32"/>
          <w:highlight w:val="none"/>
          <w:u w:val="none" w:color="auto"/>
          <w:lang w:val="en-US" w:eastAsia="zh-CN" w:bidi="ar-SA"/>
        </w:rPr>
        <w:t>等为主导的工业体系</w:t>
      </w:r>
      <w:r>
        <w:rPr>
          <w:rFonts w:hint="eastAsia" w:ascii="BatangChe" w:hAnsi="BatangChe" w:eastAsia="仿宋_GB2312" w:cs="仿宋_GB2312"/>
          <w:color w:val="auto"/>
          <w:kern w:val="32"/>
          <w:sz w:val="32"/>
          <w:szCs w:val="32"/>
          <w:highlight w:val="none"/>
          <w:u w:val="none" w:color="auto"/>
          <w:lang w:val="en-US" w:eastAsia="zh-CN" w:bidi="ar-SA"/>
        </w:rPr>
        <w:t>，培育出一批龙头企业，这些工业“家底”，是浈江工业发展再出发的坚实基石。</w:t>
      </w:r>
      <w:r>
        <w:rPr>
          <w:rFonts w:hint="eastAsia" w:ascii="BatangChe" w:hAnsi="BatangChe" w:eastAsia="仿宋_GB2312" w:cs="仿宋_GB2312"/>
          <w:color w:val="auto"/>
          <w:sz w:val="32"/>
          <w:szCs w:val="32"/>
          <w:highlight w:val="none"/>
          <w:lang w:val="en-US" w:eastAsia="zh-CN"/>
        </w:rPr>
        <w:t>坚持发展实体经济，坚持制造业当家，</w:t>
      </w:r>
      <w:r>
        <w:rPr>
          <w:rFonts w:hint="eastAsia" w:ascii="BatangChe" w:hAnsi="BatangChe" w:eastAsia="仿宋_GB2312" w:cs="仿宋_GB2312"/>
          <w:color w:val="auto"/>
          <w:kern w:val="32"/>
          <w:sz w:val="32"/>
          <w:szCs w:val="32"/>
          <w:highlight w:val="none"/>
          <w:u w:val="none" w:color="auto"/>
          <w:lang w:val="en-US" w:eastAsia="zh-CN" w:bidi="ar-SA"/>
        </w:rPr>
        <w:t>做强做大先进装备制造主导产业和有色金属新材料、新能源电力特色优势产业，形成“一主两优、齐驱并进”的发展路线，持续推动先进装备制造、有色金属新材料、新能源电力“三大百亿级”产业集群建设，释放产能。持续完善“四大产业平台”建设，积极融入大湾区，高效承接产业转移。</w:t>
      </w:r>
      <w:r>
        <w:rPr>
          <w:rFonts w:hint="eastAsia" w:ascii="BatangChe" w:hAnsi="BatangChe" w:eastAsia="仿宋_GB2312" w:cs="仿宋_GB2312"/>
          <w:color w:val="auto"/>
          <w:sz w:val="32"/>
          <w:szCs w:val="32"/>
          <w:highlight w:val="none"/>
          <w:lang w:val="en-US" w:eastAsia="zh-CN"/>
        </w:rPr>
        <w:t>坚持创新驱动，全力支持企业转型升级，朝着智能化、绿色化、融合化方向发展，推进产业延链、技术改造、绿色发展相融合，稳住产业发展基本盘，推动浈江可持续高质量发展。</w:t>
      </w:r>
    </w:p>
    <w:p w14:paraId="27A9731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ascii="BatangChe" w:hAnsi="BatangChe" w:eastAsia="仿宋_GB2312" w:cs="仿宋_GB2312"/>
          <w:color w:val="auto"/>
          <w:kern w:val="32"/>
          <w:sz w:val="32"/>
          <w:szCs w:val="32"/>
          <w:highlight w:val="none"/>
          <w:u w:val="none" w:color="auto"/>
          <w:lang w:val="en-US" w:eastAsia="zh-CN" w:bidi="ar-SA"/>
        </w:rPr>
      </w:pPr>
      <w:r>
        <w:rPr>
          <w:rFonts w:hint="eastAsia" w:ascii="BatangChe" w:hAnsi="BatangChe" w:eastAsia="仿宋_GB2312" w:cs="仿宋_GB2312"/>
          <w:b/>
          <w:bCs/>
          <w:color w:val="auto"/>
          <w:kern w:val="32"/>
          <w:sz w:val="32"/>
          <w:szCs w:val="32"/>
          <w:highlight w:val="none"/>
          <w:u w:val="none" w:color="auto"/>
          <w:lang w:val="en-US" w:eastAsia="zh-CN" w:bidi="ar-SA"/>
        </w:rPr>
        <w:t>——做强主城是浈江高质量发展的使命担当。</w:t>
      </w:r>
      <w:r>
        <w:rPr>
          <w:rFonts w:hint="eastAsia" w:ascii="BatangChe" w:hAnsi="BatangChe" w:eastAsia="仿宋_GB2312" w:cs="仿宋_GB2312"/>
          <w:color w:val="auto"/>
          <w:kern w:val="32"/>
          <w:sz w:val="32"/>
          <w:szCs w:val="32"/>
          <w:highlight w:val="none"/>
          <w:u w:val="none" w:color="auto"/>
          <w:lang w:val="en-US" w:eastAsia="zh-CN" w:bidi="ar-SA"/>
        </w:rPr>
        <w:t>浈江作为韶关市政治、经济、文化中心，拥有全市最多的市场主体、丰富的历史文化资源、完善的公共服务设施，是推动韶关主城崛起的重要战场。围绕建设创新、宜居、美丽、韧性、文明、智慧的现代化人民城市，主动顺应新型城镇化发展和人口流动规律，坚持城市内涵式发展，深入挖掘“韶州古城”文化资源，盘活城区闲置资产资源，加快莲花科创新城建设，推动“产学研”一体化发展，</w:t>
      </w:r>
      <w:r>
        <w:rPr>
          <w:rFonts w:hint="eastAsia" w:ascii="BatangChe" w:hAnsi="BatangChe" w:cs="仿宋_GB2312"/>
          <w:color w:val="auto"/>
          <w:kern w:val="32"/>
          <w:sz w:val="32"/>
          <w:szCs w:val="32"/>
          <w:highlight w:val="none"/>
          <w:u w:val="none" w:color="auto"/>
          <w:lang w:val="en-US" w:eastAsia="zh-CN" w:bidi="ar-SA"/>
        </w:rPr>
        <w:t>更好地服务</w:t>
      </w:r>
      <w:r>
        <w:rPr>
          <w:rFonts w:hint="eastAsia" w:ascii="BatangChe" w:hAnsi="BatangChe" w:eastAsia="仿宋_GB2312" w:cs="仿宋_GB2312"/>
          <w:color w:val="auto"/>
          <w:kern w:val="32"/>
          <w:sz w:val="32"/>
          <w:szCs w:val="32"/>
          <w:highlight w:val="none"/>
          <w:u w:val="none" w:color="auto"/>
          <w:lang w:val="en-US" w:eastAsia="zh-CN" w:bidi="ar-SA"/>
        </w:rPr>
        <w:t>于“做强主城”。聚焦产城人融合，发展壮大都市产业，强化城区规划建设管理，完善市政基础设施和公共服务配套，引导市域人口向中心城区集中，</w:t>
      </w:r>
      <w:r>
        <w:rPr>
          <w:rFonts w:hint="eastAsia" w:ascii="BatangChe" w:hAnsi="BatangChe" w:eastAsia="仿宋_GB2312" w:cs="仿宋_GB2312"/>
          <w:color w:val="auto"/>
          <w:sz w:val="32"/>
          <w:szCs w:val="32"/>
          <w:highlight w:val="none"/>
          <w:lang w:val="en-US" w:eastAsia="zh-CN"/>
        </w:rPr>
        <w:t>形成“以产兴城、以城聚人、以人兴业”的良好格局。</w:t>
      </w:r>
    </w:p>
    <w:p w14:paraId="1CDFCC9A">
      <w:pPr>
        <w:pStyle w:val="5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ascii="BatangChe" w:hAnsi="BatangChe" w:eastAsia="仿宋_GB2312" w:cs="仿宋_GB2312"/>
          <w:color w:val="auto"/>
          <w:kern w:val="32"/>
          <w:sz w:val="32"/>
          <w:szCs w:val="32"/>
          <w:highlight w:val="none"/>
          <w:u w:val="none" w:color="auto"/>
          <w:lang w:val="en-US" w:eastAsia="zh-CN" w:bidi="ar-SA"/>
        </w:rPr>
      </w:pPr>
      <w:r>
        <w:rPr>
          <w:rFonts w:hint="eastAsia" w:ascii="BatangChe" w:hAnsi="BatangChe" w:eastAsia="仿宋_GB2312" w:cs="仿宋_GB2312"/>
          <w:b/>
          <w:bCs/>
          <w:color w:val="auto"/>
          <w:kern w:val="32"/>
          <w:sz w:val="32"/>
          <w:szCs w:val="32"/>
          <w:highlight w:val="none"/>
          <w:u w:val="none" w:color="auto"/>
          <w:lang w:val="en-US" w:eastAsia="zh-CN" w:bidi="ar-SA"/>
        </w:rPr>
        <w:t>——数字兴业是浈江高质量发展的历史机遇。</w:t>
      </w:r>
      <w:r>
        <w:rPr>
          <w:rFonts w:hint="eastAsia" w:ascii="BatangChe" w:hAnsi="BatangChe" w:eastAsia="仿宋_GB2312" w:cs="仿宋_GB2312"/>
          <w:color w:val="auto"/>
          <w:kern w:val="32"/>
          <w:sz w:val="32"/>
          <w:szCs w:val="32"/>
          <w:highlight w:val="none"/>
          <w:u w:val="none" w:color="auto"/>
          <w:lang w:val="en-US" w:eastAsia="zh-CN" w:bidi="ar-SA"/>
        </w:rPr>
        <w:t>当前人工智能时代浪潮已来临，数据已成为全球竞争的核心要素。牢牢把握国家“东数西算”战略机遇，积极融入全国一体化算力网络建设，深刻认识大数据产业是推动韶关高质量发展的胜负手，也是浈江发展借势突围的重要机遇，把大数据产业作为驱动新质生产力的重要抓手，加快粤港澳大湾区韶关数据中心集群浈江片区建设，推动大数据与传统产业深度融合，拓展智能制造、智慧城市、数字浈江等应用场景，催生更多新产业、新业态，推动浈江产业转型升级，打造经济发展新引擎，实现浈江经济社会发展的“</w:t>
      </w:r>
      <w:r>
        <w:rPr>
          <w:rFonts w:hint="eastAsia" w:ascii="BatangChe" w:hAnsi="BatangChe" w:eastAsia="仿宋_GB2312" w:cs="仿宋_GB2312"/>
          <w:b w:val="0"/>
          <w:bCs w:val="0"/>
          <w:color w:val="auto"/>
          <w:kern w:val="32"/>
          <w:sz w:val="32"/>
          <w:szCs w:val="32"/>
          <w:highlight w:val="none"/>
          <w:u w:val="none" w:color="auto"/>
          <w:lang w:val="en-US" w:eastAsia="zh-CN" w:bidi="ar-SA"/>
        </w:rPr>
        <w:t>换道</w:t>
      </w:r>
      <w:r>
        <w:rPr>
          <w:rFonts w:hint="eastAsia" w:ascii="BatangChe" w:hAnsi="BatangChe" w:eastAsia="仿宋_GB2312" w:cs="仿宋_GB2312"/>
          <w:color w:val="auto"/>
          <w:kern w:val="32"/>
          <w:sz w:val="32"/>
          <w:szCs w:val="32"/>
          <w:highlight w:val="none"/>
          <w:u w:val="none" w:color="auto"/>
          <w:lang w:val="en-US" w:eastAsia="zh-CN" w:bidi="ar-SA"/>
        </w:rPr>
        <w:t>超车”。</w:t>
      </w:r>
    </w:p>
    <w:p w14:paraId="692F7F79">
      <w:pPr>
        <w:keepNext w:val="0"/>
        <w:keepLines w:val="0"/>
        <w:pageBreakBefore w:val="0"/>
        <w:widowControl w:val="0"/>
        <w:suppressLineNumbers w:val="0"/>
        <w:kinsoku/>
        <w:overflowPunct/>
        <w:autoSpaceDE/>
        <w:autoSpaceDN/>
        <w:bidi w:val="0"/>
        <w:spacing w:line="560" w:lineRule="exact"/>
        <w:ind w:firstLine="643" w:firstLineChars="200"/>
        <w:jc w:val="left"/>
        <w:rPr>
          <w:rFonts w:hint="eastAsia" w:ascii="BatangChe" w:hAnsi="BatangChe" w:eastAsia="仿宋_GB2312" w:cs="仿宋_GB2312"/>
          <w:b/>
          <w:bCs/>
          <w:color w:val="auto"/>
          <w:kern w:val="32"/>
          <w:sz w:val="32"/>
          <w:szCs w:val="32"/>
          <w:highlight w:val="none"/>
          <w:u w:val="none" w:color="auto"/>
          <w:lang w:val="en-US" w:eastAsia="zh-CN" w:bidi="ar-SA"/>
        </w:rPr>
      </w:pPr>
      <w:r>
        <w:rPr>
          <w:rFonts w:hint="eastAsia" w:ascii="BatangChe" w:hAnsi="BatangChe" w:eastAsia="仿宋_GB2312" w:cs="仿宋_GB2312"/>
          <w:b/>
          <w:bCs/>
          <w:color w:val="auto"/>
          <w:kern w:val="32"/>
          <w:sz w:val="32"/>
          <w:szCs w:val="32"/>
          <w:highlight w:val="none"/>
          <w:u w:val="none" w:color="auto"/>
          <w:lang w:val="en-US" w:eastAsia="zh-CN" w:bidi="ar-SA"/>
        </w:rPr>
        <w:t>——城乡融合是浈江高质量发展的现实要求。</w:t>
      </w:r>
      <w:r>
        <w:rPr>
          <w:rFonts w:hint="eastAsia" w:ascii="BatangChe" w:hAnsi="BatangChe" w:eastAsia="仿宋_GB2312" w:cs="仿宋_GB2312"/>
          <w:color w:val="auto"/>
          <w:kern w:val="32"/>
          <w:sz w:val="32"/>
          <w:szCs w:val="32"/>
          <w:highlight w:val="none"/>
          <w:u w:val="none" w:color="auto"/>
          <w:lang w:val="en-US" w:eastAsia="zh-CN" w:bidi="ar-SA"/>
        </w:rPr>
        <w:t>浈江区作为韶关重要的主城区，存在城区经济活跃但空间有限，农村地区资源丰富但开发不足的城乡二元结构矛盾。坚持实施“百县千镇万村高质量发展工程”，完善城乡区域协调发展机制，坚持“做特镇域”，支持各镇（办）发展主导产业和优势产业，强化产业协同配套，让镇域经济成为县域腾飞的强大引擎，</w:t>
      </w:r>
      <w:r>
        <w:rPr>
          <w:rFonts w:hint="default" w:ascii="BatangChe" w:hAnsi="BatangChe" w:eastAsia="仿宋_GB2312" w:cs="仿宋_GB2312"/>
          <w:color w:val="auto"/>
          <w:kern w:val="32"/>
          <w:sz w:val="32"/>
          <w:szCs w:val="32"/>
          <w:highlight w:val="none"/>
          <w:u w:val="none" w:color="auto"/>
          <w:lang w:val="en-US" w:eastAsia="zh-CN" w:bidi="ar-SA"/>
        </w:rPr>
        <w:t>逐步补齐城乡</w:t>
      </w:r>
      <w:r>
        <w:rPr>
          <w:rFonts w:hint="eastAsia" w:ascii="BatangChe" w:hAnsi="BatangChe" w:eastAsia="仿宋_GB2312" w:cs="仿宋_GB2312"/>
          <w:color w:val="auto"/>
          <w:kern w:val="32"/>
          <w:sz w:val="32"/>
          <w:szCs w:val="32"/>
          <w:highlight w:val="none"/>
          <w:u w:val="none" w:color="auto"/>
          <w:lang w:val="en-US" w:eastAsia="zh-CN" w:bidi="ar-SA"/>
        </w:rPr>
        <w:t>公共服务短板，</w:t>
      </w:r>
      <w:r>
        <w:rPr>
          <w:rFonts w:hint="default" w:ascii="BatangChe" w:hAnsi="BatangChe" w:eastAsia="仿宋_GB2312" w:cs="仿宋_GB2312"/>
          <w:color w:val="auto"/>
          <w:kern w:val="32"/>
          <w:sz w:val="32"/>
          <w:szCs w:val="32"/>
          <w:highlight w:val="none"/>
          <w:u w:val="none" w:color="auto"/>
          <w:lang w:val="en-US" w:eastAsia="zh-CN" w:bidi="ar-SA"/>
        </w:rPr>
        <w:t>加快农业农村现代化，推进农业转移人口市民化，推动形成以城带乡、城乡互补、全面融合、共同繁荣的发展格局</w:t>
      </w:r>
      <w:r>
        <w:rPr>
          <w:rFonts w:hint="eastAsia" w:ascii="BatangChe" w:hAnsi="BatangChe" w:eastAsia="仿宋_GB2312" w:cs="仿宋_GB2312"/>
          <w:color w:val="auto"/>
          <w:kern w:val="32"/>
          <w:sz w:val="32"/>
          <w:szCs w:val="32"/>
          <w:highlight w:val="none"/>
          <w:u w:val="none" w:color="auto"/>
          <w:lang w:val="en-US" w:eastAsia="zh-CN" w:bidi="ar-SA"/>
        </w:rPr>
        <w:t>。</w:t>
      </w:r>
    </w:p>
    <w:p w14:paraId="1F68E38A">
      <w:pPr>
        <w:pStyle w:val="56"/>
        <w:keepNext w:val="0"/>
        <w:keepLines w:val="0"/>
        <w:pageBreakBefore w:val="0"/>
        <w:widowControl w:val="0"/>
        <w:kinsoku/>
        <w:wordWrap/>
        <w:overflowPunct/>
        <w:topLinePunct w:val="0"/>
        <w:autoSpaceDE/>
        <w:autoSpaceDN/>
        <w:bidi w:val="0"/>
        <w:adjustRightInd w:val="0"/>
        <w:snapToGrid w:val="0"/>
        <w:spacing w:line="560" w:lineRule="exact"/>
        <w:ind w:firstLineChars="200"/>
        <w:jc w:val="both"/>
        <w:textAlignment w:val="auto"/>
        <w:rPr>
          <w:rFonts w:hint="eastAsia" w:ascii="BatangChe" w:hAnsi="BatangChe" w:eastAsia="仿宋_GB2312" w:cs="仿宋_GB2312"/>
          <w:color w:val="auto"/>
          <w:kern w:val="32"/>
          <w:sz w:val="32"/>
          <w:szCs w:val="32"/>
          <w:highlight w:val="none"/>
          <w:u w:val="none" w:color="auto"/>
          <w:lang w:val="en-US" w:eastAsia="zh-CN" w:bidi="ar-SA"/>
        </w:rPr>
      </w:pPr>
      <w:r>
        <w:rPr>
          <w:rFonts w:hint="eastAsia" w:ascii="BatangChe" w:hAnsi="BatangChe" w:eastAsia="仿宋_GB2312" w:cs="仿宋_GB2312"/>
          <w:b/>
          <w:bCs/>
          <w:color w:val="auto"/>
          <w:kern w:val="32"/>
          <w:sz w:val="32"/>
          <w:szCs w:val="32"/>
          <w:highlight w:val="none"/>
          <w:u w:val="none" w:color="auto"/>
          <w:lang w:val="en-US" w:eastAsia="zh-CN" w:bidi="ar-SA"/>
        </w:rPr>
        <w:t>——生态优先是浈江高质量发展的必然路径。</w:t>
      </w:r>
      <w:r>
        <w:rPr>
          <w:rFonts w:hint="eastAsia" w:ascii="BatangChe" w:hAnsi="BatangChe" w:eastAsia="仿宋_GB2312" w:cs="仿宋_GB2312"/>
          <w:color w:val="auto"/>
          <w:kern w:val="32"/>
          <w:sz w:val="32"/>
          <w:szCs w:val="32"/>
          <w:highlight w:val="none"/>
          <w:u w:val="none" w:color="auto"/>
          <w:lang w:val="en-US" w:eastAsia="zh-CN" w:bidi="ar-SA"/>
        </w:rPr>
        <w:t>绿色是韶关最大的财富、最大的优势、最大的品牌，也是浈江最动人的发展旋律、最珍贵的民生福祉。坚决践行绿水青山就是金山银山理念，正确处理高质量发展和高水平保护关系，系统性推动城乡扩绿兴绿护绿，</w:t>
      </w:r>
      <w:r>
        <w:rPr>
          <w:rFonts w:hint="default" w:ascii="BatangChe" w:hAnsi="BatangChe" w:eastAsia="仿宋_GB2312" w:cs="仿宋_GB2312"/>
          <w:color w:val="auto"/>
          <w:kern w:val="32"/>
          <w:sz w:val="32"/>
          <w:szCs w:val="32"/>
          <w:highlight w:val="none"/>
          <w:u w:val="none" w:color="auto"/>
          <w:lang w:val="en-US" w:eastAsia="zh-CN" w:bidi="ar-SA"/>
        </w:rPr>
        <w:t>发展循环经济与低碳产业</w:t>
      </w:r>
      <w:r>
        <w:rPr>
          <w:rFonts w:hint="eastAsia" w:ascii="BatangChe" w:hAnsi="BatangChe" w:eastAsia="仿宋_GB2312" w:cs="仿宋_GB2312"/>
          <w:color w:val="auto"/>
          <w:kern w:val="32"/>
          <w:sz w:val="32"/>
          <w:szCs w:val="32"/>
          <w:highlight w:val="none"/>
          <w:u w:val="none" w:color="auto"/>
          <w:lang w:val="en-US" w:eastAsia="zh-CN" w:bidi="ar-SA"/>
        </w:rPr>
        <w:t>，加强生态环境保护，利用丰富的资源优势，抓好生态价值转化，把绿水青山建得更美，把金山银山做得更大。</w:t>
      </w:r>
    </w:p>
    <w:p w14:paraId="7D299760">
      <w:pPr>
        <w:pStyle w:val="56"/>
        <w:keepNext w:val="0"/>
        <w:keepLines w:val="0"/>
        <w:pageBreakBefore w:val="0"/>
        <w:widowControl w:val="0"/>
        <w:kinsoku/>
        <w:wordWrap/>
        <w:overflowPunct/>
        <w:topLinePunct w:val="0"/>
        <w:autoSpaceDE/>
        <w:autoSpaceDN/>
        <w:bidi w:val="0"/>
        <w:adjustRightInd w:val="0"/>
        <w:snapToGrid w:val="0"/>
        <w:spacing w:line="560" w:lineRule="exact"/>
        <w:ind w:firstLineChars="200"/>
        <w:jc w:val="both"/>
        <w:textAlignment w:val="auto"/>
        <w:rPr>
          <w:rFonts w:hint="default" w:ascii="BatangChe" w:hAnsi="BatangChe" w:eastAsia="仿宋_GB2312" w:cs="仿宋_GB2312"/>
          <w:color w:val="auto"/>
          <w:kern w:val="32"/>
          <w:sz w:val="32"/>
          <w:szCs w:val="32"/>
          <w:highlight w:val="none"/>
          <w:u w:val="none" w:color="auto"/>
          <w:lang w:val="en-US" w:eastAsia="zh-CN" w:bidi="ar-SA"/>
        </w:rPr>
      </w:pPr>
    </w:p>
    <w:p w14:paraId="6D5AA525">
      <w:pPr>
        <w:pStyle w:val="4"/>
        <w:shd w:val="clear"/>
        <w:kinsoku/>
        <w:bidi w:val="0"/>
        <w:rPr>
          <w:rFonts w:hint="eastAsia"/>
          <w:color w:val="auto"/>
          <w:highlight w:val="none"/>
          <w:lang w:val="en-US" w:eastAsia="zh-CN"/>
        </w:rPr>
      </w:pPr>
      <w:bookmarkStart w:id="217" w:name="_Toc6571"/>
      <w:bookmarkStart w:id="218" w:name="_Toc1566"/>
      <w:bookmarkStart w:id="219" w:name="_Toc12201"/>
      <w:bookmarkStart w:id="220" w:name="_Toc11653"/>
      <w:bookmarkStart w:id="221" w:name="_Toc12856"/>
      <w:bookmarkStart w:id="222" w:name="_Toc23062"/>
      <w:bookmarkStart w:id="223" w:name="_Toc11884"/>
      <w:bookmarkStart w:id="224" w:name="_Toc4477"/>
      <w:bookmarkStart w:id="225" w:name="_Toc13480"/>
      <w:bookmarkStart w:id="226" w:name="_Toc7165"/>
      <w:bookmarkStart w:id="227" w:name="_Toc1367"/>
      <w:bookmarkStart w:id="228" w:name="_Toc19588"/>
      <w:bookmarkStart w:id="229" w:name="_Toc17367"/>
      <w:bookmarkStart w:id="230" w:name="_Toc27522"/>
      <w:bookmarkStart w:id="231" w:name="_Toc19655"/>
      <w:bookmarkStart w:id="232" w:name="_Toc5948"/>
      <w:bookmarkStart w:id="233" w:name="_Toc12543"/>
      <w:bookmarkStart w:id="234" w:name="_Toc21264"/>
      <w:r>
        <w:rPr>
          <w:rFonts w:hint="eastAsia"/>
          <w:color w:val="auto"/>
          <w:highlight w:val="none"/>
          <w:lang w:val="en-US" w:eastAsia="zh-CN"/>
        </w:rPr>
        <w:t>第五节 主要目标</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6FA6341">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2F50E6E8">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综合研判未来发展趋势和浈江发展条件，衔接</w:t>
      </w:r>
      <w:r>
        <w:rPr>
          <w:rFonts w:hint="eastAsia" w:ascii="Times New Roman" w:hAnsi="Times New Roman" w:cs="Times New Roman"/>
          <w:strike w:val="0"/>
          <w:dstrike w:val="0"/>
          <w:color w:val="auto"/>
          <w:sz w:val="32"/>
          <w:szCs w:val="32"/>
          <w:highlight w:val="none"/>
          <w:lang w:val="en-US" w:eastAsia="zh-CN"/>
        </w:rPr>
        <w:t>2035</w:t>
      </w:r>
      <w:r>
        <w:rPr>
          <w:rFonts w:hint="eastAsia" w:ascii="仿宋_GB2312" w:hAnsi="仿宋_GB2312" w:eastAsia="仿宋_GB2312" w:cs="仿宋_GB2312"/>
          <w:strike w:val="0"/>
          <w:dstrike w:val="0"/>
          <w:color w:val="auto"/>
          <w:sz w:val="32"/>
          <w:szCs w:val="32"/>
          <w:highlight w:val="none"/>
          <w:lang w:val="en-US" w:eastAsia="zh-CN"/>
        </w:rPr>
        <w:t>基本实现社会主义现代化远景目标，坚定不移建设城乡融合发展的新浈江，今后五年要努力实现以下主要目标。</w:t>
      </w:r>
    </w:p>
    <w:p w14:paraId="052F9D61">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——经济发展实力实现新跨越。</w:t>
      </w:r>
      <w:r>
        <w:rPr>
          <w:rFonts w:hint="eastAsia" w:ascii="仿宋_GB2312" w:hAnsi="仿宋_GB2312" w:eastAsia="仿宋_GB2312" w:cs="仿宋_GB2312"/>
          <w:strike w:val="0"/>
          <w:dstrike w:val="0"/>
          <w:color w:val="auto"/>
          <w:sz w:val="32"/>
          <w:szCs w:val="32"/>
          <w:highlight w:val="none"/>
          <w:lang w:val="en-US" w:eastAsia="zh-CN"/>
        </w:rPr>
        <w:t>到</w:t>
      </w:r>
      <w:r>
        <w:rPr>
          <w:rFonts w:hint="eastAsia" w:ascii="Times New Roman" w:hAnsi="Times New Roman" w:cs="Times New Roman"/>
          <w:strike w:val="0"/>
          <w:dstrike w:val="0"/>
          <w:color w:val="auto"/>
          <w:sz w:val="32"/>
          <w:szCs w:val="32"/>
          <w:highlight w:val="none"/>
          <w:lang w:val="en-US" w:eastAsia="zh-CN"/>
        </w:rPr>
        <w:t>2030</w:t>
      </w:r>
      <w:r>
        <w:rPr>
          <w:rFonts w:hint="eastAsia" w:ascii="仿宋_GB2312" w:hAnsi="仿宋_GB2312" w:eastAsia="仿宋_GB2312" w:cs="仿宋_GB2312"/>
          <w:strike w:val="0"/>
          <w:dstrike w:val="0"/>
          <w:color w:val="auto"/>
          <w:sz w:val="32"/>
          <w:szCs w:val="32"/>
          <w:highlight w:val="none"/>
          <w:lang w:val="en-US" w:eastAsia="zh-CN"/>
        </w:rPr>
        <w:t>年，全</w:t>
      </w:r>
      <w:r>
        <w:rPr>
          <w:rFonts w:hint="eastAsia" w:ascii="仿宋_GB2312" w:hAnsi="仿宋_GB2312" w:cs="仿宋_GB2312"/>
          <w:strike w:val="0"/>
          <w:dstrike w:val="0"/>
          <w:color w:val="auto"/>
          <w:sz w:val="32"/>
          <w:szCs w:val="32"/>
          <w:highlight w:val="none"/>
          <w:lang w:val="en-US" w:eastAsia="zh-CN"/>
        </w:rPr>
        <w:t>区</w:t>
      </w:r>
      <w:r>
        <w:rPr>
          <w:rFonts w:hint="eastAsia" w:ascii="仿宋_GB2312" w:hAnsi="仿宋_GB2312" w:eastAsia="仿宋_GB2312" w:cs="仿宋_GB2312"/>
          <w:strike w:val="0"/>
          <w:dstrike w:val="0"/>
          <w:color w:val="auto"/>
          <w:sz w:val="32"/>
          <w:szCs w:val="32"/>
          <w:highlight w:val="none"/>
          <w:lang w:val="en-US" w:eastAsia="zh-CN"/>
        </w:rPr>
        <w:t>地区生产总值年均增长</w:t>
      </w:r>
      <w:r>
        <w:rPr>
          <w:rFonts w:hint="eastAsia" w:ascii="Times New Roman" w:hAnsi="Times New Roman" w:cs="Times New Roman"/>
          <w:strike w:val="0"/>
          <w:dstrike w:val="0"/>
          <w:color w:val="auto"/>
          <w:sz w:val="32"/>
          <w:szCs w:val="32"/>
          <w:highlight w:val="none"/>
          <w:lang w:val="en-US" w:eastAsia="zh-CN"/>
        </w:rPr>
        <w:t>5%</w:t>
      </w:r>
      <w:r>
        <w:rPr>
          <w:rFonts w:hint="eastAsia" w:ascii="仿宋_GB2312" w:hAnsi="仿宋_GB2312" w:eastAsia="仿宋_GB2312" w:cs="仿宋_GB2312"/>
          <w:strike w:val="0"/>
          <w:dstrike w:val="0"/>
          <w:color w:val="auto"/>
          <w:sz w:val="32"/>
          <w:szCs w:val="32"/>
          <w:highlight w:val="none"/>
          <w:lang w:val="en-US" w:eastAsia="zh-CN"/>
        </w:rPr>
        <w:t>，地区生产总值突破</w:t>
      </w:r>
      <w:r>
        <w:rPr>
          <w:rFonts w:hint="eastAsia" w:ascii="Times New Roman" w:hAnsi="Times New Roman" w:cs="Times New Roman"/>
          <w:strike w:val="0"/>
          <w:dstrike w:val="0"/>
          <w:color w:val="auto"/>
          <w:sz w:val="32"/>
          <w:szCs w:val="32"/>
          <w:highlight w:val="none"/>
          <w:lang w:val="en-US" w:eastAsia="zh-CN"/>
        </w:rPr>
        <w:t>300</w:t>
      </w:r>
      <w:r>
        <w:rPr>
          <w:rFonts w:hint="eastAsia" w:ascii="仿宋_GB2312" w:hAnsi="仿宋_GB2312" w:eastAsia="仿宋_GB2312" w:cs="仿宋_GB2312"/>
          <w:strike w:val="0"/>
          <w:dstrike w:val="0"/>
          <w:color w:val="auto"/>
          <w:sz w:val="32"/>
          <w:szCs w:val="32"/>
          <w:highlight w:val="none"/>
          <w:lang w:val="en-US" w:eastAsia="zh-CN"/>
        </w:rPr>
        <w:t>亿元，人均生产总值突破</w:t>
      </w:r>
      <w:r>
        <w:rPr>
          <w:rFonts w:hint="eastAsia" w:ascii="Times New Roman" w:hAnsi="Times New Roman" w:cs="Times New Roman"/>
          <w:strike w:val="0"/>
          <w:dstrike w:val="0"/>
          <w:color w:val="auto"/>
          <w:sz w:val="32"/>
          <w:szCs w:val="32"/>
          <w:highlight w:val="none"/>
          <w:lang w:val="en-US" w:eastAsia="zh-CN"/>
        </w:rPr>
        <w:t>8</w:t>
      </w:r>
      <w:r>
        <w:rPr>
          <w:rFonts w:hint="eastAsia" w:ascii="仿宋_GB2312" w:hAnsi="仿宋_GB2312" w:eastAsia="仿宋_GB2312" w:cs="仿宋_GB2312"/>
          <w:strike w:val="0"/>
          <w:dstrike w:val="0"/>
          <w:color w:val="auto"/>
          <w:sz w:val="32"/>
          <w:szCs w:val="32"/>
          <w:highlight w:val="none"/>
          <w:lang w:val="en-US" w:eastAsia="zh-CN"/>
        </w:rPr>
        <w:t>万元。居民消费对经济增长拉动作用持续增强，</w:t>
      </w:r>
      <w:r>
        <w:rPr>
          <w:rFonts w:hint="eastAsia" w:cs="仿宋_GB2312"/>
          <w:strike w:val="0"/>
          <w:dstrike w:val="0"/>
          <w:color w:val="auto"/>
          <w:sz w:val="32"/>
          <w:szCs w:val="32"/>
          <w:highlight w:val="none"/>
          <w:lang w:val="en-US" w:eastAsia="zh-CN"/>
        </w:rPr>
        <w:t>社会消费品零售总额保持全市第一。</w:t>
      </w:r>
      <w:r>
        <w:rPr>
          <w:rFonts w:hint="eastAsia" w:ascii="仿宋_GB2312" w:hAnsi="仿宋_GB2312" w:eastAsia="仿宋_GB2312" w:cs="仿宋_GB2312"/>
          <w:strike w:val="0"/>
          <w:dstrike w:val="0"/>
          <w:color w:val="auto"/>
          <w:sz w:val="32"/>
          <w:szCs w:val="32"/>
          <w:highlight w:val="none"/>
          <w:lang w:val="en-US" w:eastAsia="zh-CN"/>
        </w:rPr>
        <w:t>投资综合效益显著提升，全面融入全国统一大市场，高质量发展潜力和动能不断释放。</w:t>
      </w:r>
    </w:p>
    <w:p w14:paraId="1C84609C">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——产业体系建设迈上新高度。</w:t>
      </w:r>
      <w:r>
        <w:rPr>
          <w:rFonts w:hint="eastAsia" w:ascii="仿宋_GB2312" w:hAnsi="仿宋_GB2312" w:eastAsia="仿宋_GB2312" w:cs="仿宋_GB2312"/>
          <w:strike w:val="0"/>
          <w:dstrike w:val="0"/>
          <w:color w:val="auto"/>
          <w:sz w:val="32"/>
          <w:szCs w:val="32"/>
          <w:highlight w:val="none"/>
          <w:lang w:val="en-US" w:eastAsia="zh-CN"/>
        </w:rPr>
        <w:t>树牢“无工不富”理念，聚焦做特“一产”、做大“二产”、做优“三产”，</w:t>
      </w:r>
      <w:r>
        <w:rPr>
          <w:rFonts w:hint="eastAsia"/>
          <w:b w:val="0"/>
          <w:bCs w:val="0"/>
          <w:color w:val="auto"/>
          <w:highlight w:val="none"/>
          <w:lang w:val="en-US" w:eastAsia="zh-CN"/>
        </w:rPr>
        <w:t>“三大百亿级”产业集群</w:t>
      </w:r>
      <w:r>
        <w:rPr>
          <w:rFonts w:hint="eastAsia" w:ascii="仿宋_GB2312" w:hAnsi="仿宋_GB2312" w:eastAsia="仿宋_GB2312" w:cs="仿宋_GB2312"/>
          <w:strike w:val="0"/>
          <w:dstrike w:val="0"/>
          <w:color w:val="auto"/>
          <w:sz w:val="32"/>
          <w:szCs w:val="32"/>
          <w:highlight w:val="none"/>
          <w:lang w:val="en-US" w:eastAsia="zh-CN"/>
        </w:rPr>
        <w:t>规模效应与集群优势形成</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打造</w:t>
      </w:r>
      <w:r>
        <w:rPr>
          <w:rFonts w:hint="eastAsia" w:ascii="仿宋_GB2312" w:hAnsi="仿宋_GB2312" w:cs="仿宋_GB2312"/>
          <w:strike w:val="0"/>
          <w:dstrike w:val="0"/>
          <w:color w:val="auto"/>
          <w:sz w:val="32"/>
          <w:szCs w:val="32"/>
          <w:highlight w:val="none"/>
          <w:lang w:val="en-US" w:eastAsia="zh-CN"/>
        </w:rPr>
        <w:t>韶关市</w:t>
      </w:r>
      <w:r>
        <w:rPr>
          <w:rFonts w:hint="eastAsia" w:ascii="仿宋_GB2312" w:hAnsi="仿宋_GB2312" w:eastAsia="仿宋_GB2312" w:cs="仿宋_GB2312"/>
          <w:strike w:val="0"/>
          <w:dstrike w:val="0"/>
          <w:color w:val="auto"/>
          <w:sz w:val="32"/>
          <w:szCs w:val="32"/>
          <w:highlight w:val="none"/>
          <w:lang w:val="en-US" w:eastAsia="zh-CN"/>
        </w:rPr>
        <w:t>传统产业转型升级和新兴产业培育发展高地。创新能力不断增强，科技</w:t>
      </w:r>
      <w:r>
        <w:rPr>
          <w:rFonts w:hint="eastAsia" w:ascii="仿宋_GB2312" w:hAnsi="仿宋_GB2312" w:cs="仿宋_GB2312"/>
          <w:strike w:val="0"/>
          <w:dstrike w:val="0"/>
          <w:color w:val="auto"/>
          <w:sz w:val="32"/>
          <w:szCs w:val="32"/>
          <w:highlight w:val="none"/>
          <w:lang w:val="en-US" w:eastAsia="zh-CN"/>
        </w:rPr>
        <w:t>有效</w:t>
      </w:r>
      <w:r>
        <w:rPr>
          <w:rFonts w:hint="eastAsia" w:ascii="仿宋_GB2312" w:hAnsi="仿宋_GB2312" w:eastAsia="仿宋_GB2312" w:cs="仿宋_GB2312"/>
          <w:strike w:val="0"/>
          <w:dstrike w:val="0"/>
          <w:color w:val="auto"/>
          <w:sz w:val="32"/>
          <w:szCs w:val="32"/>
          <w:highlight w:val="none"/>
          <w:lang w:val="en-US" w:eastAsia="zh-CN"/>
        </w:rPr>
        <w:t>催生新质生产力，科技创新和产业创新深度融合，企业创新主体地位更加突出，培育更多国家级专精特新“小巨人”企业</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创新对经济增长的贡献率进一步提高。</w:t>
      </w:r>
    </w:p>
    <w:p w14:paraId="6D39BB86">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——区域协调发展取得新成效。</w:t>
      </w:r>
      <w:r>
        <w:rPr>
          <w:rFonts w:hint="eastAsia" w:ascii="仿宋_GB2312" w:hAnsi="仿宋_GB2312" w:eastAsia="仿宋_GB2312" w:cs="仿宋_GB2312"/>
          <w:strike w:val="0"/>
          <w:dstrike w:val="0"/>
          <w:color w:val="auto"/>
          <w:sz w:val="32"/>
          <w:szCs w:val="32"/>
          <w:highlight w:val="none"/>
          <w:lang w:val="en-US" w:eastAsia="zh-CN"/>
        </w:rPr>
        <w:t>“百县千镇万村高质量发展工程”取得重大进展，主城区综合承载力和辐射带动力全方位增强，镇域发展活力充分激发，涌现更多经济特色强镇、和美乡村，乡村振兴大步向前。城镇功能品质全面提升，农业转移人口市民化质量显著</w:t>
      </w:r>
      <w:r>
        <w:rPr>
          <w:rFonts w:hint="eastAsia" w:ascii="仿宋_GB2312" w:hAnsi="仿宋_GB2312" w:cs="仿宋_GB2312"/>
          <w:strike w:val="0"/>
          <w:dstrike w:val="0"/>
          <w:color w:val="auto"/>
          <w:sz w:val="32"/>
          <w:szCs w:val="32"/>
          <w:highlight w:val="none"/>
          <w:lang w:val="en-US" w:eastAsia="zh-CN"/>
        </w:rPr>
        <w:t>提高</w:t>
      </w:r>
      <w:r>
        <w:rPr>
          <w:rFonts w:hint="eastAsia" w:ascii="仿宋_GB2312" w:hAnsi="仿宋_GB2312" w:eastAsia="仿宋_GB2312" w:cs="仿宋_GB2312"/>
          <w:strike w:val="0"/>
          <w:dstrike w:val="0"/>
          <w:color w:val="auto"/>
          <w:sz w:val="32"/>
          <w:szCs w:val="32"/>
          <w:highlight w:val="none"/>
          <w:lang w:val="en-US" w:eastAsia="zh-CN"/>
        </w:rPr>
        <w:t>，莲花科创新城建设</w:t>
      </w:r>
      <w:r>
        <w:rPr>
          <w:rFonts w:hint="eastAsia" w:ascii="仿宋_GB2312" w:hAnsi="仿宋_GB2312" w:cs="仿宋_GB2312"/>
          <w:strike w:val="0"/>
          <w:dstrike w:val="0"/>
          <w:color w:val="auto"/>
          <w:sz w:val="32"/>
          <w:szCs w:val="32"/>
          <w:highlight w:val="none"/>
          <w:lang w:val="en-US" w:eastAsia="zh-CN"/>
        </w:rPr>
        <w:t>全面推进</w:t>
      </w:r>
      <w:r>
        <w:rPr>
          <w:rFonts w:hint="eastAsia" w:ascii="仿宋_GB2312" w:hAnsi="仿宋_GB2312" w:eastAsia="仿宋_GB2312" w:cs="仿宋_GB2312"/>
          <w:strike w:val="0"/>
          <w:dstrike w:val="0"/>
          <w:color w:val="auto"/>
          <w:sz w:val="32"/>
          <w:szCs w:val="32"/>
          <w:highlight w:val="none"/>
          <w:lang w:val="en-US" w:eastAsia="zh-CN"/>
        </w:rPr>
        <w:t>，城乡</w:t>
      </w:r>
      <w:r>
        <w:rPr>
          <w:rFonts w:hint="eastAsia" w:ascii="仿宋_GB2312" w:hAnsi="仿宋_GB2312" w:cs="仿宋_GB2312"/>
          <w:strike w:val="0"/>
          <w:dstrike w:val="0"/>
          <w:color w:val="auto"/>
          <w:sz w:val="32"/>
          <w:szCs w:val="32"/>
          <w:highlight w:val="none"/>
          <w:lang w:val="en-US" w:eastAsia="zh-CN"/>
        </w:rPr>
        <w:t>融合</w:t>
      </w:r>
      <w:r>
        <w:rPr>
          <w:rFonts w:hint="eastAsia" w:ascii="仿宋_GB2312" w:hAnsi="仿宋_GB2312" w:eastAsia="仿宋_GB2312" w:cs="仿宋_GB2312"/>
          <w:strike w:val="0"/>
          <w:dstrike w:val="0"/>
          <w:color w:val="auto"/>
          <w:sz w:val="32"/>
          <w:szCs w:val="32"/>
          <w:highlight w:val="none"/>
          <w:lang w:val="en-US" w:eastAsia="zh-CN"/>
        </w:rPr>
        <w:t>发展取得明显成效。</w:t>
      </w:r>
    </w:p>
    <w:p w14:paraId="055F37AF">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——改革创新攻坚实现新突破。</w:t>
      </w:r>
      <w:r>
        <w:rPr>
          <w:rFonts w:hint="eastAsia" w:ascii="仿宋_GB2312" w:hAnsi="仿宋_GB2312" w:eastAsia="仿宋_GB2312" w:cs="仿宋_GB2312"/>
          <w:strike w:val="0"/>
          <w:dstrike w:val="0"/>
          <w:color w:val="auto"/>
          <w:sz w:val="32"/>
          <w:szCs w:val="32"/>
          <w:highlight w:val="none"/>
          <w:lang w:val="en-US" w:eastAsia="zh-CN"/>
        </w:rPr>
        <w:t>推动高质量发展的体制机制更加完善，高水平开放型经济新体制基本形成，重点领域和关键环节改革取得突破性进展，资源资产管理更加规范。深度融入粤港澳大湾区</w:t>
      </w:r>
      <w:r>
        <w:rPr>
          <w:rFonts w:hint="eastAsia" w:ascii="仿宋_GB2312" w:hAnsi="仿宋_GB2312" w:cs="仿宋_GB2312"/>
          <w:strike w:val="0"/>
          <w:dstrike w:val="0"/>
          <w:color w:val="auto"/>
          <w:sz w:val="32"/>
          <w:szCs w:val="32"/>
          <w:highlight w:val="none"/>
          <w:lang w:val="en-US" w:eastAsia="zh-CN"/>
        </w:rPr>
        <w:t>建设</w:t>
      </w:r>
      <w:r>
        <w:rPr>
          <w:rFonts w:hint="eastAsia" w:ascii="仿宋_GB2312" w:hAnsi="仿宋_GB2312" w:eastAsia="仿宋_GB2312" w:cs="仿宋_GB2312"/>
          <w:strike w:val="0"/>
          <w:dstrike w:val="0"/>
          <w:color w:val="auto"/>
          <w:sz w:val="32"/>
          <w:szCs w:val="32"/>
          <w:highlight w:val="none"/>
          <w:lang w:val="en-US" w:eastAsia="zh-CN"/>
        </w:rPr>
        <w:t>，营商环境持续优化，市场主体更加活跃。</w:t>
      </w:r>
    </w:p>
    <w:p w14:paraId="63959421">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——社会文明程度迈上新台阶。</w:t>
      </w:r>
      <w:r>
        <w:rPr>
          <w:rFonts w:hint="eastAsia" w:ascii="仿宋_GB2312" w:hAnsi="仿宋_GB2312" w:eastAsia="仿宋_GB2312" w:cs="仿宋_GB2312"/>
          <w:strike w:val="0"/>
          <w:dstrike w:val="0"/>
          <w:color w:val="auto"/>
          <w:sz w:val="32"/>
          <w:szCs w:val="32"/>
          <w:highlight w:val="none"/>
          <w:lang w:val="en-US" w:eastAsia="zh-CN"/>
        </w:rPr>
        <w:t>文化自信更加坚定，主流思想舆论巩固壮大，社会主义核心价值观广泛践行，文化事业文化产业繁荣发展，</w:t>
      </w:r>
      <w:r>
        <w:rPr>
          <w:rFonts w:hint="eastAsia" w:ascii="仿宋_GB2312" w:hAnsi="仿宋_GB2312" w:cs="仿宋_GB2312"/>
          <w:strike w:val="0"/>
          <w:dstrike w:val="0"/>
          <w:color w:val="auto"/>
          <w:sz w:val="32"/>
          <w:szCs w:val="32"/>
          <w:highlight w:val="none"/>
          <w:lang w:val="en-US" w:eastAsia="zh-CN"/>
        </w:rPr>
        <w:t>现代</w:t>
      </w:r>
      <w:r>
        <w:rPr>
          <w:rFonts w:hint="eastAsia" w:ascii="仿宋_GB2312" w:hAnsi="仿宋_GB2312" w:eastAsia="仿宋_GB2312" w:cs="仿宋_GB2312"/>
          <w:strike w:val="0"/>
          <w:dstrike w:val="0"/>
          <w:color w:val="auto"/>
          <w:sz w:val="32"/>
          <w:szCs w:val="32"/>
          <w:highlight w:val="none"/>
          <w:lang w:val="en-US" w:eastAsia="zh-CN"/>
        </w:rPr>
        <w:t>公共文化服务体系和文化产业体系更加健全，人民群众对美好生活新期望得到更好满足。人民群众精神文化生活更加丰富，</w:t>
      </w:r>
      <w:r>
        <w:rPr>
          <w:rFonts w:hint="eastAsia" w:ascii="仿宋_GB2312" w:hAnsi="仿宋_GB2312" w:cs="仿宋_GB2312"/>
          <w:strike w:val="0"/>
          <w:dstrike w:val="0"/>
          <w:color w:val="auto"/>
          <w:sz w:val="32"/>
          <w:szCs w:val="32"/>
          <w:highlight w:val="none"/>
          <w:lang w:val="en-US" w:eastAsia="zh-CN"/>
        </w:rPr>
        <w:t>浈江</w:t>
      </w:r>
      <w:r>
        <w:rPr>
          <w:rFonts w:hint="eastAsia" w:ascii="仿宋_GB2312" w:hAnsi="仿宋_GB2312" w:eastAsia="仿宋_GB2312" w:cs="仿宋_GB2312"/>
          <w:strike w:val="0"/>
          <w:dstrike w:val="0"/>
          <w:color w:val="auto"/>
          <w:sz w:val="32"/>
          <w:szCs w:val="32"/>
          <w:highlight w:val="none"/>
          <w:lang w:val="en-US" w:eastAsia="zh-CN"/>
        </w:rPr>
        <w:t>文化软实力</w:t>
      </w:r>
      <w:r>
        <w:rPr>
          <w:rFonts w:hint="eastAsia" w:ascii="仿宋_GB2312" w:hAnsi="仿宋_GB2312" w:cs="仿宋_GB2312"/>
          <w:strike w:val="0"/>
          <w:dstrike w:val="0"/>
          <w:color w:val="auto"/>
          <w:sz w:val="32"/>
          <w:szCs w:val="32"/>
          <w:highlight w:val="none"/>
          <w:lang w:val="en-US" w:eastAsia="zh-CN"/>
        </w:rPr>
        <w:t>和</w:t>
      </w:r>
      <w:r>
        <w:rPr>
          <w:rFonts w:hint="eastAsia" w:ascii="仿宋_GB2312" w:hAnsi="仿宋_GB2312" w:eastAsia="仿宋_GB2312" w:cs="仿宋_GB2312"/>
          <w:strike w:val="0"/>
          <w:dstrike w:val="0"/>
          <w:color w:val="auto"/>
          <w:sz w:val="32"/>
          <w:szCs w:val="32"/>
          <w:highlight w:val="none"/>
          <w:lang w:val="en-US" w:eastAsia="zh-CN"/>
        </w:rPr>
        <w:t>影响力显著增强。</w:t>
      </w:r>
    </w:p>
    <w:p w14:paraId="0B3ED49C">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——民生福祉保障得到新增进。</w:t>
      </w:r>
      <w:r>
        <w:rPr>
          <w:rFonts w:hint="eastAsia" w:ascii="仿宋_GB2312" w:hAnsi="仿宋_GB2312" w:eastAsia="仿宋_GB2312" w:cs="仿宋_GB2312"/>
          <w:strike w:val="0"/>
          <w:dstrike w:val="0"/>
          <w:color w:val="auto"/>
          <w:sz w:val="32"/>
          <w:szCs w:val="32"/>
          <w:highlight w:val="none"/>
          <w:lang w:val="en-US" w:eastAsia="zh-CN"/>
        </w:rPr>
        <w:t>基本公共服务均等化水平明显提升，民生投入力度持续加大，高质量就业更加充分，居民收入增长与经济增长同步，构建更为完善的多层次社会保障体系。优化教育资源配置，提升基础教育教学质量，扩大区内高校资源辐射范围，“产学研</w:t>
      </w:r>
      <w:r>
        <w:rPr>
          <w:rFonts w:hint="eastAsia" w:ascii="仿宋_GB2312" w:hAnsi="仿宋_GB2312" w:cs="仿宋_GB2312"/>
          <w:strike w:val="0"/>
          <w:dstrike w:val="0"/>
          <w:color w:val="auto"/>
          <w:sz w:val="32"/>
          <w:szCs w:val="32"/>
          <w:highlight w:val="none"/>
          <w:lang w:val="en-US" w:eastAsia="zh-CN"/>
        </w:rPr>
        <w:t>用</w:t>
      </w:r>
      <w:r>
        <w:rPr>
          <w:rFonts w:hint="eastAsia" w:ascii="仿宋_GB2312" w:hAnsi="仿宋_GB2312" w:eastAsia="仿宋_GB2312" w:cs="仿宋_GB2312"/>
          <w:strike w:val="0"/>
          <w:dstrike w:val="0"/>
          <w:color w:val="auto"/>
          <w:sz w:val="32"/>
          <w:szCs w:val="32"/>
          <w:highlight w:val="none"/>
          <w:lang w:val="en-US" w:eastAsia="zh-CN"/>
        </w:rPr>
        <w:t>”一体发展持续完善。全面提升基层医疗卫生服务效能，不断缩小城乡医疗服务水平差距，社会保障体系更加完善。</w:t>
      </w:r>
    </w:p>
    <w:p w14:paraId="3DBF5ECF">
      <w:pPr>
        <w:shd w:val="clear"/>
        <w:kinsoku/>
        <w:bidi w:val="0"/>
        <w:rPr>
          <w:rFonts w:hint="default"/>
          <w:color w:val="auto"/>
          <w:highlight w:val="none"/>
        </w:rPr>
      </w:pPr>
      <w:r>
        <w:rPr>
          <w:rFonts w:hint="default"/>
          <w:b/>
          <w:bCs/>
          <w:color w:val="auto"/>
          <w:highlight w:val="none"/>
        </w:rPr>
        <w:t>——绿美生态建设成效更加彰显。</w:t>
      </w:r>
      <w:r>
        <w:rPr>
          <w:rFonts w:hint="default"/>
          <w:color w:val="auto"/>
          <w:highlight w:val="none"/>
        </w:rPr>
        <w:t>生态文明体制改革持续深化，降碳、减污、扩绿</w:t>
      </w:r>
      <w:r>
        <w:rPr>
          <w:rFonts w:hint="eastAsia"/>
          <w:color w:val="auto"/>
          <w:highlight w:val="none"/>
          <w:lang w:eastAsia="zh-CN"/>
        </w:rPr>
        <w:t>和</w:t>
      </w:r>
      <w:r>
        <w:rPr>
          <w:rFonts w:hint="default"/>
          <w:color w:val="auto"/>
          <w:highlight w:val="none"/>
        </w:rPr>
        <w:t>增长协同推进，生态环境质量继续走在</w:t>
      </w:r>
      <w:r>
        <w:rPr>
          <w:rFonts w:hint="eastAsia"/>
          <w:color w:val="auto"/>
          <w:highlight w:val="none"/>
          <w:lang w:val="en-US" w:eastAsia="zh-CN"/>
        </w:rPr>
        <w:t>韶关</w:t>
      </w:r>
      <w:r>
        <w:rPr>
          <w:rFonts w:hint="default"/>
          <w:color w:val="auto"/>
          <w:highlight w:val="none"/>
        </w:rPr>
        <w:t>市前列，能耗水平、空气质量、森林覆盖率等生态指标全面达标。国土空间开发保护格局清晰合理、优势互补，生态环境治理深入推进，绿色低碳发展机制建立健全，绿色低碳生产生活方式基本形成。</w:t>
      </w:r>
    </w:p>
    <w:p w14:paraId="17C2FEF7">
      <w:pPr>
        <w:shd w:val="clear"/>
        <w:kinsoku/>
        <w:bidi w:val="0"/>
        <w:rPr>
          <w:rFonts w:hint="eastAsia" w:ascii="仿宋_GB2312" w:hAnsi="仿宋_GB2312" w:eastAsia="仿宋_GB2312" w:cs="仿宋_GB2312"/>
          <w:strike w:val="0"/>
          <w:dstrike w:val="0"/>
          <w:color w:val="auto"/>
          <w:szCs w:val="32"/>
          <w:highlight w:val="none"/>
          <w:lang w:val="en-US" w:eastAsia="zh-CN"/>
        </w:rPr>
      </w:pPr>
      <w:r>
        <w:rPr>
          <w:rFonts w:hint="default" w:ascii="Times New Roman" w:hAnsi="Times New Roman" w:eastAsia="仿宋_GB2312" w:cs="Times New Roman"/>
          <w:b/>
          <w:bCs/>
          <w:strike w:val="0"/>
          <w:dstrike w:val="0"/>
          <w:color w:val="auto"/>
          <w:szCs w:val="32"/>
          <w:highlight w:val="none"/>
          <w:lang w:val="en-US" w:eastAsia="zh-CN"/>
        </w:rPr>
        <w:t>——发展安全基础筑牢新屏障。</w:t>
      </w:r>
      <w:r>
        <w:rPr>
          <w:rFonts w:hint="default" w:ascii="Times New Roman" w:hAnsi="Times New Roman" w:eastAsia="仿宋_GB2312" w:cs="Times New Roman"/>
          <w:b w:val="0"/>
          <w:bCs w:val="0"/>
          <w:strike w:val="0"/>
          <w:dstrike w:val="0"/>
          <w:color w:val="auto"/>
          <w:szCs w:val="32"/>
          <w:highlight w:val="none"/>
          <w:lang w:val="en-US" w:eastAsia="zh-CN"/>
        </w:rPr>
        <w:t>平安浈江、法治浈江建设取得积</w:t>
      </w:r>
      <w:r>
        <w:rPr>
          <w:rFonts w:hint="eastAsia" w:ascii="仿宋_GB2312" w:hAnsi="仿宋_GB2312" w:eastAsia="仿宋_GB2312" w:cs="仿宋_GB2312"/>
          <w:strike w:val="0"/>
          <w:dstrike w:val="0"/>
          <w:color w:val="auto"/>
          <w:szCs w:val="32"/>
          <w:highlight w:val="none"/>
          <w:lang w:val="en-US" w:eastAsia="zh-CN"/>
        </w:rPr>
        <w:t>极进展。防范化解重大风险体制机制</w:t>
      </w:r>
      <w:r>
        <w:rPr>
          <w:rFonts w:hint="eastAsia" w:ascii="仿宋_GB2312" w:hAnsi="仿宋_GB2312" w:cs="仿宋_GB2312"/>
          <w:strike w:val="0"/>
          <w:dstrike w:val="0"/>
          <w:color w:val="auto"/>
          <w:szCs w:val="32"/>
          <w:highlight w:val="none"/>
          <w:lang w:val="en-US" w:eastAsia="zh-CN"/>
        </w:rPr>
        <w:t>更加</w:t>
      </w:r>
      <w:r>
        <w:rPr>
          <w:rFonts w:hint="eastAsia" w:ascii="仿宋_GB2312" w:hAnsi="仿宋_GB2312" w:eastAsia="仿宋_GB2312" w:cs="仿宋_GB2312"/>
          <w:strike w:val="0"/>
          <w:dstrike w:val="0"/>
          <w:color w:val="auto"/>
          <w:szCs w:val="32"/>
          <w:highlight w:val="none"/>
          <w:lang w:val="en-US" w:eastAsia="zh-CN"/>
        </w:rPr>
        <w:t>健全。突发公共事件应急能力显著增强。全域数字化治理加快推进，发展安全保障更加有力，社会大局保持和谐稳定。</w:t>
      </w:r>
    </w:p>
    <w:p w14:paraId="5D084E49">
      <w:pPr>
        <w:shd w:val="clear"/>
        <w:kinsoku/>
        <w:bidi w:val="0"/>
        <w:ind w:leftChars="0" w:firstLine="64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展望未来，从党的二十大召开到二〇三五年，用</w:t>
      </w:r>
      <w:r>
        <w:rPr>
          <w:rFonts w:hint="eastAsia" w:ascii="Times New Roman" w:hAnsi="Times New Roman" w:cs="Times New Roman"/>
          <w:strike w:val="0"/>
          <w:dstrike w:val="0"/>
          <w:color w:val="auto"/>
          <w:sz w:val="32"/>
          <w:szCs w:val="32"/>
          <w:highlight w:val="none"/>
          <w:lang w:val="en-US" w:eastAsia="zh-CN"/>
        </w:rPr>
        <w:t>13</w:t>
      </w:r>
      <w:r>
        <w:rPr>
          <w:rFonts w:hint="eastAsia" w:ascii="仿宋_GB2312" w:hAnsi="仿宋_GB2312" w:eastAsia="仿宋_GB2312" w:cs="仿宋_GB2312"/>
          <w:strike w:val="0"/>
          <w:dstrike w:val="0"/>
          <w:color w:val="auto"/>
          <w:sz w:val="32"/>
          <w:szCs w:val="32"/>
          <w:highlight w:val="none"/>
          <w:lang w:val="en-US" w:eastAsia="zh-CN"/>
        </w:rPr>
        <w:t>年时间基本实现社会主义现代化、建成一个现代化的新浈江。到那时，经济实力、科技实力、综合竞争力大幅提升，人均地区生产总值达到更高水平，治理体系和治理能力现代化基本实现，人民群众生活更加美好，一个山水相依、产业蓬勃、人文荟萃、充满活力的现代化新浈江将逐步实现。</w:t>
      </w:r>
    </w:p>
    <w:p w14:paraId="77ED0058">
      <w:pPr>
        <w:shd w:val="clear"/>
        <w:kinsoku/>
        <w:bidi w:val="0"/>
        <w:rPr>
          <w:rFonts w:hint="eastAsia" w:ascii="仿宋_GB2312" w:hAnsi="仿宋_GB2312" w:eastAsia="仿宋_GB2312" w:cs="仿宋_GB2312"/>
          <w:strike w:val="0"/>
          <w:dstrike w:val="0"/>
          <w:color w:val="auto"/>
          <w:sz w:val="32"/>
          <w:szCs w:val="32"/>
          <w:highlight w:val="none"/>
          <w:lang w:val="en-US" w:eastAsia="zh-CN"/>
        </w:rPr>
        <w:sectPr>
          <w:pgSz w:w="11906" w:h="16839"/>
          <w:pgMar w:top="2098" w:right="1474" w:bottom="1984" w:left="1587" w:header="1020" w:footer="1417" w:gutter="0"/>
          <w:pgNumType w:fmt="numberInDash"/>
          <w:cols w:space="720" w:num="1"/>
          <w:rtlGutter w:val="0"/>
        </w:sectPr>
      </w:pPr>
    </w:p>
    <w:p w14:paraId="005A8A15">
      <w:pPr>
        <w:shd w:val="clear"/>
        <w:kinsoku/>
        <w:ind w:firstLine="0" w:firstLineChars="0"/>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表</w:t>
      </w:r>
      <w:r>
        <w:rPr>
          <w:rFonts w:hint="eastAsia" w:ascii="Times New Roman" w:hAnsi="Times New Roman" w:cs="Times New Roman"/>
          <w:color w:val="auto"/>
          <w:sz w:val="28"/>
          <w:szCs w:val="28"/>
          <w:highlight w:val="none"/>
          <w:lang w:eastAsia="zh-CN"/>
        </w:rPr>
        <w:t>2</w:t>
      </w:r>
      <w:r>
        <w:rPr>
          <w:rFonts w:hint="eastAsia" w:ascii="仿宋_GB2312" w:hAnsi="仿宋_GB2312" w:eastAsia="仿宋_GB2312" w:cs="仿宋_GB2312"/>
          <w:color w:val="auto"/>
          <w:sz w:val="28"/>
          <w:szCs w:val="28"/>
          <w:highlight w:val="none"/>
        </w:rPr>
        <w:t xml:space="preserve"> </w:t>
      </w:r>
      <w:r>
        <w:rPr>
          <w:rFonts w:hint="eastAsia" w:ascii="黑体" w:hAnsi="黑体" w:eastAsia="黑体" w:cs="黑体"/>
          <w:color w:val="auto"/>
          <w:sz w:val="28"/>
          <w:szCs w:val="28"/>
          <w:highlight w:val="none"/>
        </w:rPr>
        <w:t xml:space="preserve"> 韶关市</w:t>
      </w:r>
      <w:r>
        <w:rPr>
          <w:rFonts w:hint="eastAsia" w:ascii="黑体" w:hAnsi="黑体" w:eastAsia="黑体" w:cs="黑体"/>
          <w:color w:val="auto"/>
          <w:sz w:val="28"/>
          <w:szCs w:val="28"/>
          <w:highlight w:val="none"/>
          <w:lang w:val="en-US" w:eastAsia="zh-CN"/>
        </w:rPr>
        <w:t>浈江区</w:t>
      </w:r>
      <w:r>
        <w:rPr>
          <w:rFonts w:hint="eastAsia" w:ascii="黑体" w:hAnsi="黑体" w:eastAsia="黑体" w:cs="黑体"/>
          <w:color w:val="auto"/>
          <w:sz w:val="28"/>
          <w:szCs w:val="28"/>
          <w:highlight w:val="none"/>
          <w:lang w:eastAsia="zh-CN"/>
        </w:rPr>
        <w:t>“</w:t>
      </w:r>
      <w:r>
        <w:rPr>
          <w:rFonts w:hint="eastAsia" w:ascii="黑体" w:hAnsi="黑体" w:eastAsia="黑体" w:cs="黑体"/>
          <w:color w:val="auto"/>
          <w:sz w:val="28"/>
          <w:szCs w:val="28"/>
          <w:highlight w:val="none"/>
        </w:rPr>
        <w:t>十五五</w:t>
      </w:r>
      <w:r>
        <w:rPr>
          <w:rFonts w:hint="eastAsia" w:ascii="黑体" w:hAnsi="黑体" w:eastAsia="黑体" w:cs="黑体"/>
          <w:color w:val="auto"/>
          <w:sz w:val="28"/>
          <w:szCs w:val="28"/>
          <w:highlight w:val="none"/>
          <w:lang w:eastAsia="zh-CN"/>
        </w:rPr>
        <w:t>”</w:t>
      </w:r>
      <w:r>
        <w:rPr>
          <w:rFonts w:hint="eastAsia" w:ascii="黑体" w:hAnsi="黑体" w:eastAsia="黑体" w:cs="黑体"/>
          <w:color w:val="auto"/>
          <w:sz w:val="28"/>
          <w:szCs w:val="28"/>
          <w:highlight w:val="none"/>
        </w:rPr>
        <w:t>时期经济社会发展主要指标表</w:t>
      </w:r>
    </w:p>
    <w:tbl>
      <w:tblPr>
        <w:tblStyle w:val="26"/>
        <w:tblW w:w="49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6"/>
        <w:gridCol w:w="1797"/>
        <w:gridCol w:w="1798"/>
        <w:gridCol w:w="1183"/>
        <w:gridCol w:w="1209"/>
        <w:gridCol w:w="1317"/>
        <w:gridCol w:w="1033"/>
      </w:tblGrid>
      <w:tr w14:paraId="2438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blHeader/>
          <w:jc w:val="center"/>
        </w:trPr>
        <w:tc>
          <w:tcPr>
            <w:tcW w:w="364" w:type="pct"/>
            <w:vMerge w:val="restart"/>
            <w:shd w:val="clear" w:color="auto" w:fill="auto"/>
            <w:noWrap/>
            <w:vAlign w:val="center"/>
          </w:tcPr>
          <w:p w14:paraId="6D71CC00">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t>序号</w:t>
            </w:r>
          </w:p>
        </w:tc>
        <w:tc>
          <w:tcPr>
            <w:tcW w:w="1998" w:type="pct"/>
            <w:gridSpan w:val="2"/>
            <w:vMerge w:val="restart"/>
            <w:shd w:val="clear" w:color="auto" w:fill="auto"/>
            <w:noWrap/>
            <w:vAlign w:val="center"/>
          </w:tcPr>
          <w:p w14:paraId="1EA0ABC7">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t>指标</w:t>
            </w:r>
          </w:p>
        </w:tc>
        <w:tc>
          <w:tcPr>
            <w:tcW w:w="657" w:type="pct"/>
            <w:vMerge w:val="restart"/>
            <w:shd w:val="clear" w:color="auto" w:fill="auto"/>
            <w:noWrap/>
            <w:vAlign w:val="center"/>
          </w:tcPr>
          <w:p w14:paraId="4D06EB5D">
            <w:pPr>
              <w:shd w:val="clear"/>
              <w:kinsoku/>
              <w:spacing w:line="240" w:lineRule="auto"/>
              <w:ind w:firstLine="0" w:firstLineChars="0"/>
              <w:jc w:val="center"/>
              <w:textAlignment w:val="auto"/>
              <w:rPr>
                <w:rFonts w:hint="default" w:ascii="Times New Roman" w:hAnsi="Times New Roman" w:cs="Times New Roman"/>
                <w:b w:val="0"/>
                <w:bCs w:val="0"/>
                <w:strike w:val="0"/>
                <w:dstrike w:val="0"/>
                <w:color w:val="auto"/>
                <w:sz w:val="20"/>
                <w:szCs w:val="20"/>
                <w:highlight w:val="none"/>
                <w:u w:val="none" w:color="auto"/>
                <w:lang w:val="en-US" w:eastAsia="zh-CN"/>
              </w:rPr>
            </w:pPr>
            <w:r>
              <w:rPr>
                <w:rFonts w:hint="eastAsia"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t>2025年</w:t>
            </w:r>
          </w:p>
        </w:tc>
        <w:tc>
          <w:tcPr>
            <w:tcW w:w="1404" w:type="pct"/>
            <w:gridSpan w:val="2"/>
            <w:shd w:val="clear" w:color="auto" w:fill="auto"/>
            <w:noWrap/>
            <w:vAlign w:val="center"/>
          </w:tcPr>
          <w:p w14:paraId="433BE75D">
            <w:pPr>
              <w:keepNext w:val="0"/>
              <w:keepLines w:val="0"/>
              <w:pageBreakBefore w:val="0"/>
              <w:widowControl/>
              <w:shd w:val="clea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黑体" w:cs="Times New Roman"/>
                <w:b w:val="0"/>
                <w:bCs w:val="0"/>
                <w:strike w:val="0"/>
                <w:dstrike w:val="0"/>
                <w:color w:val="auto"/>
                <w:sz w:val="20"/>
                <w:szCs w:val="20"/>
                <w:highlight w:val="none"/>
                <w:u w:val="none" w:color="auto"/>
                <w:lang w:val="en-US" w:eastAsia="zh-CN"/>
              </w:rPr>
              <w:t>“十五五”规划</w:t>
            </w:r>
            <w:r>
              <w:rPr>
                <w:rFonts w:hint="eastAsia"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t>目标</w:t>
            </w:r>
          </w:p>
        </w:tc>
        <w:tc>
          <w:tcPr>
            <w:tcW w:w="574" w:type="pct"/>
            <w:vMerge w:val="restart"/>
            <w:shd w:val="clear" w:color="auto" w:fill="auto"/>
            <w:noWrap/>
            <w:vAlign w:val="center"/>
          </w:tcPr>
          <w:p w14:paraId="0592917A">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t>指标属性</w:t>
            </w:r>
          </w:p>
        </w:tc>
      </w:tr>
      <w:tr w14:paraId="0221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64" w:type="pct"/>
            <w:vMerge w:val="continue"/>
            <w:shd w:val="clear" w:color="auto" w:fill="auto"/>
            <w:noWrap/>
            <w:vAlign w:val="center"/>
          </w:tcPr>
          <w:p w14:paraId="52706B18">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en-US" w:bidi="ar-SA"/>
              </w:rPr>
            </w:pPr>
          </w:p>
        </w:tc>
        <w:tc>
          <w:tcPr>
            <w:tcW w:w="1998" w:type="pct"/>
            <w:gridSpan w:val="2"/>
            <w:vMerge w:val="continue"/>
            <w:shd w:val="clear" w:color="auto" w:fill="auto"/>
            <w:noWrap/>
            <w:vAlign w:val="center"/>
          </w:tcPr>
          <w:p w14:paraId="23788F1E">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en-US" w:bidi="ar-SA"/>
              </w:rPr>
            </w:pPr>
          </w:p>
        </w:tc>
        <w:tc>
          <w:tcPr>
            <w:tcW w:w="657" w:type="pct"/>
            <w:vMerge w:val="continue"/>
            <w:shd w:val="clear" w:color="auto" w:fill="auto"/>
            <w:noWrap/>
            <w:vAlign w:val="center"/>
          </w:tcPr>
          <w:p w14:paraId="1DA683F4">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pPr>
          </w:p>
        </w:tc>
        <w:tc>
          <w:tcPr>
            <w:tcW w:w="672" w:type="pct"/>
            <w:shd w:val="clear" w:color="auto" w:fill="auto"/>
            <w:noWrap/>
            <w:vAlign w:val="center"/>
          </w:tcPr>
          <w:p w14:paraId="496F3AC0">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t>2030年</w:t>
            </w:r>
          </w:p>
        </w:tc>
        <w:tc>
          <w:tcPr>
            <w:tcW w:w="732" w:type="pct"/>
            <w:shd w:val="clear" w:color="auto" w:fill="auto"/>
            <w:noWrap/>
            <w:vAlign w:val="center"/>
          </w:tcPr>
          <w:p w14:paraId="364BD20A">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zh-CN" w:bidi="ar-SA"/>
              </w:rPr>
            </w:pPr>
            <w:r>
              <w:rPr>
                <w:rFonts w:hint="eastAsia" w:ascii="黑体" w:hAnsi="黑体" w:eastAsia="黑体" w:cs="黑体"/>
                <w:color w:val="auto"/>
                <w:kern w:val="0"/>
                <w:sz w:val="20"/>
                <w:szCs w:val="20"/>
                <w:highlight w:val="none"/>
                <w:lang w:bidi="ar"/>
              </w:rPr>
              <w:t>年均增长</w:t>
            </w:r>
            <w:r>
              <w:rPr>
                <w:rFonts w:hint="eastAsia" w:ascii="黑体" w:hAnsi="黑体" w:eastAsia="黑体" w:cs="黑体"/>
                <w:color w:val="auto"/>
                <w:kern w:val="0"/>
                <w:sz w:val="20"/>
                <w:szCs w:val="20"/>
                <w:highlight w:val="none"/>
                <w:lang w:bidi="ar"/>
              </w:rPr>
              <w:br w:type="textWrapping"/>
            </w:r>
            <w:r>
              <w:rPr>
                <w:rFonts w:hint="eastAsia" w:ascii="黑体" w:hAnsi="黑体" w:eastAsia="黑体" w:cs="黑体"/>
                <w:color w:val="auto"/>
                <w:kern w:val="0"/>
                <w:sz w:val="20"/>
                <w:szCs w:val="20"/>
                <w:highlight w:val="none"/>
                <w:lang w:bidi="ar"/>
              </w:rPr>
              <w:t>[累计]</w:t>
            </w:r>
          </w:p>
        </w:tc>
        <w:tc>
          <w:tcPr>
            <w:tcW w:w="574" w:type="pct"/>
            <w:vMerge w:val="continue"/>
            <w:shd w:val="clear" w:color="auto" w:fill="auto"/>
            <w:noWrap/>
            <w:vAlign w:val="center"/>
          </w:tcPr>
          <w:p w14:paraId="1CDC66D6">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黑体" w:cs="Times New Roman"/>
                <w:b w:val="0"/>
                <w:bCs w:val="0"/>
                <w:strike w:val="0"/>
                <w:dstrike w:val="0"/>
                <w:snapToGrid w:val="0"/>
                <w:color w:val="auto"/>
                <w:kern w:val="0"/>
                <w:sz w:val="20"/>
                <w:szCs w:val="20"/>
                <w:highlight w:val="none"/>
                <w:u w:val="none" w:color="auto"/>
                <w:lang w:val="en-US" w:eastAsia="en-US" w:bidi="ar-SA"/>
              </w:rPr>
            </w:pPr>
          </w:p>
        </w:tc>
      </w:tr>
      <w:tr w14:paraId="0185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000" w:type="pct"/>
            <w:gridSpan w:val="7"/>
            <w:shd w:val="clear" w:color="auto" w:fill="auto"/>
            <w:noWrap/>
            <w:vAlign w:val="center"/>
          </w:tcPr>
          <w:p w14:paraId="15489BC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left"/>
              <w:textAlignment w:val="auto"/>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pPr>
            <w:r>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t>一、经济发展</w:t>
            </w:r>
          </w:p>
        </w:tc>
      </w:tr>
      <w:tr w14:paraId="60B6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1445163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1</w:t>
            </w:r>
          </w:p>
        </w:tc>
        <w:tc>
          <w:tcPr>
            <w:tcW w:w="1998" w:type="pct"/>
            <w:gridSpan w:val="2"/>
            <w:shd w:val="clear" w:color="auto" w:fill="auto"/>
            <w:noWrap/>
            <w:vAlign w:val="center"/>
          </w:tcPr>
          <w:p w14:paraId="61C372D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地区生产总值（</w:t>
            </w: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亿元）</w:t>
            </w:r>
          </w:p>
        </w:tc>
        <w:tc>
          <w:tcPr>
            <w:tcW w:w="657" w:type="pct"/>
            <w:shd w:val="clear" w:color="auto" w:fill="auto"/>
            <w:noWrap/>
            <w:vAlign w:val="center"/>
          </w:tcPr>
          <w:p w14:paraId="7949780C">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cs="Times New Roman"/>
                <w:b w:val="0"/>
                <w:bCs w:val="0"/>
                <w:strike w:val="0"/>
                <w:dstrike w:val="0"/>
                <w:snapToGrid w:val="0"/>
                <w:color w:val="auto"/>
                <w:kern w:val="0"/>
                <w:sz w:val="20"/>
                <w:szCs w:val="20"/>
                <w:highlight w:val="none"/>
                <w:u w:val="none" w:color="auto"/>
                <w:lang w:val="en-US" w:eastAsia="zh-CN" w:bidi="ar-SA"/>
              </w:rPr>
              <w:t>235.24</w:t>
            </w:r>
          </w:p>
        </w:tc>
        <w:tc>
          <w:tcPr>
            <w:tcW w:w="672" w:type="pct"/>
            <w:shd w:val="clear" w:color="auto" w:fill="auto"/>
            <w:noWrap/>
            <w:vAlign w:val="center"/>
          </w:tcPr>
          <w:p w14:paraId="0A3D069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cs="Times New Roman"/>
                <w:b w:val="0"/>
                <w:bCs w:val="0"/>
                <w:strike w:val="0"/>
                <w:dstrike w:val="0"/>
                <w:snapToGrid w:val="0"/>
                <w:color w:val="auto"/>
                <w:kern w:val="0"/>
                <w:sz w:val="20"/>
                <w:szCs w:val="20"/>
                <w:highlight w:val="none"/>
                <w:u w:val="none" w:color="auto"/>
                <w:lang w:val="en-US" w:eastAsia="zh-CN" w:bidi="ar-SA"/>
              </w:rPr>
              <w:t>300</w:t>
            </w:r>
          </w:p>
        </w:tc>
        <w:tc>
          <w:tcPr>
            <w:tcW w:w="732" w:type="pct"/>
            <w:shd w:val="clear" w:color="auto" w:fill="auto"/>
            <w:noWrap/>
            <w:vAlign w:val="center"/>
          </w:tcPr>
          <w:p w14:paraId="01E4ED81">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5</w:t>
            </w:r>
            <w:r>
              <w:rPr>
                <w:rFonts w:hint="eastAsia" w:cs="Times New Roman"/>
                <w:b w:val="0"/>
                <w:bCs w:val="0"/>
                <w:strike w:val="0"/>
                <w:dstrike w:val="0"/>
                <w:snapToGrid w:val="0"/>
                <w:color w:val="auto"/>
                <w:kern w:val="0"/>
                <w:sz w:val="20"/>
                <w:szCs w:val="20"/>
                <w:highlight w:val="none"/>
                <w:u w:val="none" w:color="auto"/>
                <w:lang w:val="en-US" w:eastAsia="zh-CN" w:bidi="ar-SA"/>
              </w:rPr>
              <w:t>.0</w:t>
            </w:r>
          </w:p>
        </w:tc>
        <w:tc>
          <w:tcPr>
            <w:tcW w:w="574" w:type="pct"/>
            <w:shd w:val="clear" w:color="auto" w:fill="auto"/>
            <w:noWrap/>
            <w:vAlign w:val="center"/>
          </w:tcPr>
          <w:p w14:paraId="4D9DD57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1E3B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034C60C9">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2</w:t>
            </w:r>
          </w:p>
        </w:tc>
        <w:tc>
          <w:tcPr>
            <w:tcW w:w="1998" w:type="pct"/>
            <w:gridSpan w:val="2"/>
            <w:shd w:val="clear" w:color="auto" w:fill="auto"/>
            <w:noWrap/>
            <w:vAlign w:val="center"/>
          </w:tcPr>
          <w:p w14:paraId="3F02A17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全员劳动生产率增长（%）</w:t>
            </w:r>
          </w:p>
        </w:tc>
        <w:tc>
          <w:tcPr>
            <w:tcW w:w="657" w:type="pct"/>
            <w:shd w:val="clear" w:color="auto" w:fill="auto"/>
            <w:noWrap/>
            <w:vAlign w:val="center"/>
          </w:tcPr>
          <w:p w14:paraId="33EC9688">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cs="Times New Roman"/>
                <w:b w:val="0"/>
                <w:bCs w:val="0"/>
                <w:strike w:val="0"/>
                <w:dstrike w:val="0"/>
                <w:snapToGrid w:val="0"/>
                <w:color w:val="auto"/>
                <w:kern w:val="0"/>
                <w:sz w:val="20"/>
                <w:szCs w:val="20"/>
                <w:highlight w:val="none"/>
                <w:u w:val="none" w:color="auto"/>
                <w:lang w:val="en-US" w:eastAsia="zh-CN" w:bidi="ar-SA"/>
              </w:rPr>
              <w:t>2.5</w:t>
            </w:r>
          </w:p>
        </w:tc>
        <w:tc>
          <w:tcPr>
            <w:tcW w:w="672" w:type="pct"/>
            <w:shd w:val="clear" w:color="auto" w:fill="auto"/>
            <w:noWrap/>
            <w:vAlign w:val="center"/>
          </w:tcPr>
          <w:p w14:paraId="07582A05">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cs="Times New Roman"/>
                <w:b w:val="0"/>
                <w:bCs w:val="0"/>
                <w:strike w:val="0"/>
                <w:dstrike w:val="0"/>
                <w:snapToGrid w:val="0"/>
                <w:color w:val="auto"/>
                <w:kern w:val="0"/>
                <w:sz w:val="20"/>
                <w:szCs w:val="20"/>
                <w:highlight w:val="none"/>
                <w:u w:val="none" w:color="auto"/>
                <w:lang w:val="en-US" w:eastAsia="zh-CN" w:bidi="ar-SA"/>
              </w:rPr>
              <w:t>4.5</w:t>
            </w:r>
          </w:p>
        </w:tc>
        <w:tc>
          <w:tcPr>
            <w:tcW w:w="732" w:type="pct"/>
            <w:shd w:val="clear" w:color="auto" w:fill="auto"/>
            <w:noWrap/>
            <w:vAlign w:val="center"/>
          </w:tcPr>
          <w:p w14:paraId="0DBAAD9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44489C3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686E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00" w:type="pct"/>
            <w:gridSpan w:val="7"/>
            <w:shd w:val="clear" w:color="auto" w:fill="auto"/>
            <w:noWrap/>
            <w:vAlign w:val="center"/>
          </w:tcPr>
          <w:p w14:paraId="7711998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left"/>
              <w:textAlignment w:val="auto"/>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pPr>
            <w:r>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t>二、创新驱动</w:t>
            </w:r>
          </w:p>
        </w:tc>
      </w:tr>
      <w:tr w14:paraId="19B5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612EA0E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3</w:t>
            </w:r>
          </w:p>
        </w:tc>
        <w:tc>
          <w:tcPr>
            <w:tcW w:w="1998" w:type="pct"/>
            <w:gridSpan w:val="2"/>
            <w:shd w:val="clear" w:color="auto" w:fill="auto"/>
            <w:noWrap/>
            <w:vAlign w:val="center"/>
          </w:tcPr>
          <w:p w14:paraId="730ECD2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全社会研发经费投入增长（%）</w:t>
            </w:r>
          </w:p>
        </w:tc>
        <w:tc>
          <w:tcPr>
            <w:tcW w:w="657" w:type="pct"/>
            <w:shd w:val="clear" w:color="auto" w:fill="auto"/>
            <w:noWrap/>
            <w:vAlign w:val="center"/>
          </w:tcPr>
          <w:p w14:paraId="4D58FD7C">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-76.1（2024年数据）</w:t>
            </w:r>
          </w:p>
        </w:tc>
        <w:tc>
          <w:tcPr>
            <w:tcW w:w="672" w:type="pct"/>
            <w:shd w:val="clear" w:color="auto" w:fill="auto"/>
            <w:noWrap/>
            <w:vAlign w:val="center"/>
          </w:tcPr>
          <w:p w14:paraId="578BF71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w:t>
            </w:r>
          </w:p>
        </w:tc>
        <w:tc>
          <w:tcPr>
            <w:tcW w:w="732" w:type="pct"/>
            <w:shd w:val="clear" w:color="auto" w:fill="auto"/>
            <w:noWrap/>
            <w:vAlign w:val="center"/>
          </w:tcPr>
          <w:p w14:paraId="1960824F">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5</w:t>
            </w:r>
          </w:p>
        </w:tc>
        <w:tc>
          <w:tcPr>
            <w:tcW w:w="574" w:type="pct"/>
            <w:shd w:val="clear" w:color="auto" w:fill="auto"/>
            <w:noWrap/>
            <w:vAlign w:val="center"/>
          </w:tcPr>
          <w:p w14:paraId="374D840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5F8F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5C6BB66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4</w:t>
            </w:r>
          </w:p>
        </w:tc>
        <w:tc>
          <w:tcPr>
            <w:tcW w:w="1998" w:type="pct"/>
            <w:gridSpan w:val="2"/>
            <w:shd w:val="clear" w:color="auto" w:fill="auto"/>
            <w:noWrap/>
            <w:vAlign w:val="center"/>
          </w:tcPr>
          <w:p w14:paraId="36F5341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每万人口高价值发明专利拥有量（件）</w:t>
            </w:r>
          </w:p>
        </w:tc>
        <w:tc>
          <w:tcPr>
            <w:tcW w:w="657" w:type="pct"/>
            <w:shd w:val="clear" w:color="auto" w:fill="auto"/>
            <w:noWrap/>
            <w:vAlign w:val="center"/>
          </w:tcPr>
          <w:p w14:paraId="199B5536">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3.76</w:t>
            </w:r>
          </w:p>
        </w:tc>
        <w:tc>
          <w:tcPr>
            <w:tcW w:w="672" w:type="pct"/>
            <w:shd w:val="clear" w:color="auto" w:fill="auto"/>
            <w:noWrap/>
            <w:vAlign w:val="center"/>
          </w:tcPr>
          <w:p w14:paraId="0A89A0B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4.37</w:t>
            </w:r>
          </w:p>
        </w:tc>
        <w:tc>
          <w:tcPr>
            <w:tcW w:w="732" w:type="pct"/>
            <w:shd w:val="clear" w:color="auto" w:fill="auto"/>
            <w:noWrap/>
            <w:vAlign w:val="center"/>
          </w:tcPr>
          <w:p w14:paraId="255A1F2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〔0.61〕</w:t>
            </w:r>
          </w:p>
        </w:tc>
        <w:tc>
          <w:tcPr>
            <w:tcW w:w="574" w:type="pct"/>
            <w:shd w:val="clear" w:color="auto" w:fill="auto"/>
            <w:noWrap/>
            <w:vAlign w:val="center"/>
          </w:tcPr>
          <w:p w14:paraId="6C407ED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6483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000" w:type="pct"/>
            <w:gridSpan w:val="7"/>
            <w:shd w:val="clear" w:color="auto" w:fill="auto"/>
            <w:noWrap/>
            <w:vAlign w:val="center"/>
          </w:tcPr>
          <w:p w14:paraId="15CF2D1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left"/>
              <w:textAlignment w:val="auto"/>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pPr>
            <w:r>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t>三、民生福祉</w:t>
            </w:r>
          </w:p>
        </w:tc>
      </w:tr>
      <w:tr w14:paraId="0C76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64" w:type="pct"/>
            <w:shd w:val="clear" w:color="auto" w:fill="auto"/>
            <w:noWrap/>
            <w:vAlign w:val="center"/>
          </w:tcPr>
          <w:p w14:paraId="79FD8D4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5</w:t>
            </w:r>
          </w:p>
        </w:tc>
        <w:tc>
          <w:tcPr>
            <w:tcW w:w="1998" w:type="pct"/>
            <w:gridSpan w:val="2"/>
            <w:shd w:val="clear" w:color="auto" w:fill="auto"/>
            <w:noWrap/>
            <w:vAlign w:val="center"/>
          </w:tcPr>
          <w:p w14:paraId="15BEDFC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napToGrid w:val="0"/>
                <w:color w:val="auto"/>
                <w:kern w:val="0"/>
                <w:sz w:val="20"/>
                <w:szCs w:val="20"/>
                <w:highlight w:val="none"/>
                <w:lang w:val="en-US" w:eastAsia="en-US" w:bidi="ar"/>
              </w:rPr>
              <w:t>城镇新增就业人数</w:t>
            </w:r>
            <w:r>
              <w:rPr>
                <w:rFonts w:hint="eastAsia" w:ascii="Times New Roman" w:hAnsi="Times New Roman" w:eastAsia="仿宋_GB2312" w:cs="Times New Roman"/>
                <w:b w:val="0"/>
                <w:bCs w:val="0"/>
                <w:snapToGrid w:val="0"/>
                <w:color w:val="auto"/>
                <w:kern w:val="0"/>
                <w:sz w:val="20"/>
                <w:szCs w:val="20"/>
                <w:highlight w:val="none"/>
                <w:lang w:val="en-US" w:eastAsia="zh-CN" w:bidi="ar"/>
              </w:rPr>
              <w:t>（</w:t>
            </w:r>
            <w:r>
              <w:rPr>
                <w:rFonts w:hint="eastAsia" w:ascii="Times New Roman" w:hAnsi="Times New Roman" w:eastAsia="仿宋_GB2312" w:cs="Times New Roman"/>
                <w:b w:val="0"/>
                <w:bCs w:val="0"/>
                <w:snapToGrid w:val="0"/>
                <w:color w:val="auto"/>
                <w:kern w:val="0"/>
                <w:sz w:val="20"/>
                <w:szCs w:val="20"/>
                <w:highlight w:val="none"/>
                <w:lang w:val="en-US" w:eastAsia="en-US" w:bidi="ar"/>
              </w:rPr>
              <w:t>万人</w:t>
            </w:r>
            <w:r>
              <w:rPr>
                <w:rFonts w:hint="eastAsia" w:ascii="Times New Roman" w:hAnsi="Times New Roman" w:eastAsia="仿宋_GB2312" w:cs="Times New Roman"/>
                <w:b w:val="0"/>
                <w:bCs w:val="0"/>
                <w:snapToGrid w:val="0"/>
                <w:color w:val="auto"/>
                <w:kern w:val="0"/>
                <w:sz w:val="20"/>
                <w:szCs w:val="20"/>
                <w:highlight w:val="none"/>
                <w:lang w:val="en-US" w:eastAsia="zh-CN" w:bidi="ar"/>
              </w:rPr>
              <w:t>）</w:t>
            </w:r>
          </w:p>
        </w:tc>
        <w:tc>
          <w:tcPr>
            <w:tcW w:w="657" w:type="pct"/>
            <w:shd w:val="clear" w:color="auto" w:fill="auto"/>
            <w:noWrap/>
            <w:vAlign w:val="center"/>
          </w:tcPr>
          <w:p w14:paraId="743AD9FD">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0.26</w:t>
            </w:r>
          </w:p>
        </w:tc>
        <w:tc>
          <w:tcPr>
            <w:tcW w:w="672" w:type="pct"/>
            <w:shd w:val="clear" w:color="auto" w:fill="auto"/>
            <w:noWrap/>
            <w:vAlign w:val="center"/>
          </w:tcPr>
          <w:p w14:paraId="4AC9AEFD">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仿宋_GB2312"/>
                <w:i w:val="0"/>
                <w:iCs w:val="0"/>
                <w:color w:val="auto"/>
                <w:kern w:val="0"/>
                <w:sz w:val="20"/>
                <w:szCs w:val="20"/>
                <w:highlight w:val="none"/>
                <w:u w:val="none"/>
                <w:lang w:val="en-US" w:eastAsia="zh-CN" w:bidi="ar"/>
              </w:rPr>
              <w:t>完成</w:t>
            </w:r>
            <w:r>
              <w:rPr>
                <w:rFonts w:hint="eastAsia" w:eastAsia="仿宋_GB2312" w:cs="仿宋_GB2312"/>
                <w:i w:val="0"/>
                <w:iCs w:val="0"/>
                <w:color w:val="auto"/>
                <w:kern w:val="0"/>
                <w:sz w:val="20"/>
                <w:szCs w:val="20"/>
                <w:highlight w:val="none"/>
                <w:u w:val="none"/>
                <w:lang w:val="en-US" w:eastAsia="zh-CN" w:bidi="ar"/>
              </w:rPr>
              <w:t>上级</w:t>
            </w:r>
            <w:r>
              <w:rPr>
                <w:rFonts w:hint="eastAsia" w:ascii="Times New Roman" w:hAnsi="Times New Roman" w:eastAsia="仿宋_GB2312" w:cs="仿宋_GB2312"/>
                <w:i w:val="0"/>
                <w:iCs w:val="0"/>
                <w:color w:val="auto"/>
                <w:kern w:val="0"/>
                <w:sz w:val="20"/>
                <w:szCs w:val="20"/>
                <w:highlight w:val="none"/>
                <w:u w:val="none"/>
                <w:lang w:val="en-US" w:eastAsia="zh-CN" w:bidi="ar"/>
              </w:rPr>
              <w:t>下达目标</w:t>
            </w:r>
          </w:p>
        </w:tc>
        <w:tc>
          <w:tcPr>
            <w:tcW w:w="732" w:type="pct"/>
            <w:shd w:val="clear" w:color="auto" w:fill="auto"/>
            <w:noWrap/>
            <w:vAlign w:val="center"/>
          </w:tcPr>
          <w:p w14:paraId="6B25042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w:t>
            </w:r>
          </w:p>
        </w:tc>
        <w:tc>
          <w:tcPr>
            <w:tcW w:w="574" w:type="pct"/>
            <w:shd w:val="clear" w:color="auto" w:fill="auto"/>
            <w:noWrap/>
            <w:vAlign w:val="center"/>
          </w:tcPr>
          <w:p w14:paraId="2BCA530E">
            <w:pPr>
              <w:keepNext w:val="0"/>
              <w:keepLines w:val="0"/>
              <w:widowControl/>
              <w:suppressLineNumbers w:val="0"/>
              <w:shd w:val="clear"/>
              <w:kinsoku/>
              <w:spacing w:line="240" w:lineRule="auto"/>
              <w:ind w:firstLine="0" w:firstLineChars="0"/>
              <w:jc w:val="center"/>
              <w:textAlignment w:val="center"/>
              <w:rPr>
                <w:rFonts w:hint="default"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pPr>
            <w:r>
              <w:rPr>
                <w:rFonts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t>预期性</w:t>
            </w:r>
          </w:p>
        </w:tc>
      </w:tr>
      <w:tr w14:paraId="047E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61C9019F">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6</w:t>
            </w:r>
          </w:p>
        </w:tc>
        <w:tc>
          <w:tcPr>
            <w:tcW w:w="1998" w:type="pct"/>
            <w:gridSpan w:val="2"/>
            <w:shd w:val="clear" w:color="auto" w:fill="auto"/>
            <w:noWrap/>
            <w:vAlign w:val="center"/>
          </w:tcPr>
          <w:p w14:paraId="5F961075">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城乡居民人均可支配收入增长（%）</w:t>
            </w:r>
          </w:p>
        </w:tc>
        <w:tc>
          <w:tcPr>
            <w:tcW w:w="657" w:type="pct"/>
            <w:shd w:val="clear" w:color="auto" w:fill="auto"/>
            <w:noWrap/>
            <w:vAlign w:val="center"/>
          </w:tcPr>
          <w:p w14:paraId="025D4CF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4</w:t>
            </w:r>
          </w:p>
        </w:tc>
        <w:tc>
          <w:tcPr>
            <w:tcW w:w="672" w:type="pct"/>
            <w:shd w:val="clear" w:color="auto" w:fill="auto"/>
            <w:noWrap/>
            <w:vAlign w:val="center"/>
          </w:tcPr>
          <w:p w14:paraId="0BDA931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宋体" w:cs="Times New Roman"/>
                <w:i w:val="0"/>
                <w:iCs w:val="0"/>
                <w:color w:val="auto"/>
                <w:kern w:val="0"/>
                <w:sz w:val="20"/>
                <w:szCs w:val="20"/>
                <w:highlight w:val="none"/>
                <w:u w:val="none"/>
                <w:lang w:val="en-US" w:eastAsia="zh-CN" w:bidi="ar"/>
              </w:rPr>
              <w:t>—</w:t>
            </w:r>
          </w:p>
        </w:tc>
        <w:tc>
          <w:tcPr>
            <w:tcW w:w="732" w:type="pct"/>
            <w:shd w:val="clear" w:color="auto" w:fill="auto"/>
            <w:noWrap/>
            <w:vAlign w:val="center"/>
          </w:tcPr>
          <w:p w14:paraId="148840F8">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与经济</w:t>
            </w:r>
          </w:p>
          <w:p w14:paraId="5592583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仿宋_GB2312"/>
                <w:color w:val="auto"/>
                <w:kern w:val="0"/>
                <w:sz w:val="20"/>
                <w:szCs w:val="20"/>
                <w:highlight w:val="none"/>
                <w:lang w:bidi="ar"/>
              </w:rPr>
              <w:t>增长同步</w:t>
            </w:r>
          </w:p>
        </w:tc>
        <w:tc>
          <w:tcPr>
            <w:tcW w:w="574" w:type="pct"/>
            <w:shd w:val="clear" w:color="auto" w:fill="auto"/>
            <w:noWrap/>
            <w:vAlign w:val="center"/>
          </w:tcPr>
          <w:p w14:paraId="7435B2A0">
            <w:pPr>
              <w:keepNext w:val="0"/>
              <w:keepLines w:val="0"/>
              <w:widowControl/>
              <w:suppressLineNumbers w:val="0"/>
              <w:shd w:val="clear"/>
              <w:kinsoku/>
              <w:spacing w:line="240" w:lineRule="auto"/>
              <w:ind w:firstLine="0" w:firstLineChars="0"/>
              <w:jc w:val="center"/>
              <w:textAlignment w:val="center"/>
              <w:rPr>
                <w:rFonts w:hint="default"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pPr>
            <w:r>
              <w:rPr>
                <w:rFonts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t>预期性</w:t>
            </w:r>
          </w:p>
        </w:tc>
      </w:tr>
      <w:tr w14:paraId="32FE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restart"/>
            <w:shd w:val="clear" w:color="auto" w:fill="auto"/>
            <w:noWrap/>
            <w:vAlign w:val="center"/>
          </w:tcPr>
          <w:p w14:paraId="5A1CB733">
            <w:pPr>
              <w:widowControl/>
              <w:spacing w:line="280" w:lineRule="exact"/>
              <w:ind w:firstLine="0" w:firstLineChars="0"/>
              <w:jc w:val="center"/>
              <w:textAlignment w:val="cente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仿宋_GB2312"/>
                <w:color w:val="auto"/>
                <w:kern w:val="0"/>
                <w:sz w:val="22"/>
                <w:szCs w:val="22"/>
                <w:highlight w:val="none"/>
                <w:lang w:val="en-US" w:eastAsia="zh-CN" w:bidi="ar"/>
              </w:rPr>
              <w:t>7</w:t>
            </w:r>
          </w:p>
        </w:tc>
        <w:tc>
          <w:tcPr>
            <w:tcW w:w="999" w:type="pct"/>
            <w:vMerge w:val="restart"/>
            <w:shd w:val="clear" w:color="auto" w:fill="auto"/>
            <w:noWrap/>
            <w:vAlign w:val="center"/>
          </w:tcPr>
          <w:p w14:paraId="355F04AF">
            <w:pPr>
              <w:widowControl/>
              <w:spacing w:line="280" w:lineRule="exact"/>
              <w:ind w:firstLine="0" w:firstLineChars="0"/>
              <w:jc w:val="left"/>
              <w:textAlignment w:val="center"/>
              <w:rPr>
                <w:rFonts w:hint="default" w:ascii="Times New Roman" w:hAnsi="Times New Roman" w:cs="Times New Roman"/>
                <w:color w:val="auto"/>
                <w:kern w:val="0"/>
                <w:sz w:val="20"/>
                <w:szCs w:val="20"/>
                <w:highlight w:val="none"/>
                <w:lang w:bidi="ar"/>
              </w:rPr>
            </w:pPr>
            <w:r>
              <w:rPr>
                <w:rFonts w:hint="eastAsia" w:hAnsi="宋体" w:cs="仿宋_GB2312"/>
                <w:color w:val="auto"/>
                <w:sz w:val="20"/>
                <w:szCs w:val="20"/>
                <w:highlight w:val="none"/>
                <w:lang w:eastAsia="zh-CN"/>
              </w:rPr>
              <w:t>每千人口拥有医护人员数</w:t>
            </w:r>
          </w:p>
        </w:tc>
        <w:tc>
          <w:tcPr>
            <w:tcW w:w="999" w:type="pct"/>
            <w:shd w:val="clear" w:color="auto" w:fill="auto"/>
            <w:noWrap/>
            <w:vAlign w:val="center"/>
          </w:tcPr>
          <w:p w14:paraId="698FF193">
            <w:pPr>
              <w:widowControl/>
              <w:ind w:firstLine="0" w:firstLineChars="0"/>
              <w:jc w:val="left"/>
              <w:textAlignment w:val="center"/>
              <w:rPr>
                <w:rFonts w:hint="eastAsia" w:hAnsi="宋体" w:cs="仿宋_GB2312"/>
                <w:color w:val="auto"/>
                <w:sz w:val="20"/>
                <w:szCs w:val="20"/>
                <w:highlight w:val="none"/>
                <w:lang w:eastAsia="zh-CN"/>
              </w:rPr>
            </w:pPr>
            <w:r>
              <w:rPr>
                <w:rFonts w:hint="default" w:ascii="Times New Roman" w:hAnsi="Times New Roman" w:cs="Times New Roman"/>
                <w:color w:val="auto"/>
                <w:kern w:val="0"/>
                <w:sz w:val="20"/>
                <w:szCs w:val="20"/>
                <w:highlight w:val="none"/>
                <w:lang w:bidi="ar"/>
              </w:rPr>
              <w:t>执业医师数（人）</w:t>
            </w:r>
          </w:p>
        </w:tc>
        <w:tc>
          <w:tcPr>
            <w:tcW w:w="657" w:type="pct"/>
            <w:shd w:val="clear" w:color="auto" w:fill="auto"/>
            <w:noWrap/>
            <w:vAlign w:val="center"/>
          </w:tcPr>
          <w:p w14:paraId="7BDBC384">
            <w:pPr>
              <w:widowControl/>
              <w:spacing w:line="280" w:lineRule="exact"/>
              <w:ind w:firstLine="0" w:firstLineChars="0"/>
              <w:jc w:val="center"/>
              <w:textAlignment w:val="center"/>
              <w:rPr>
                <w:rFonts w:hint="eastAsia"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3.19</w:t>
            </w:r>
          </w:p>
        </w:tc>
        <w:tc>
          <w:tcPr>
            <w:tcW w:w="672" w:type="pct"/>
            <w:shd w:val="clear" w:color="auto" w:fill="auto"/>
            <w:noWrap/>
            <w:vAlign w:val="center"/>
          </w:tcPr>
          <w:p w14:paraId="7EE9C124">
            <w:pPr>
              <w:widowControl/>
              <w:spacing w:line="280" w:lineRule="exact"/>
              <w:ind w:firstLine="400" w:firstLineChars="20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s="Times New Roman"/>
                <w:b w:val="0"/>
                <w:bCs w:val="0"/>
                <w:strike w:val="0"/>
                <w:dstrike w:val="0"/>
                <w:snapToGrid w:val="0"/>
                <w:color w:val="auto"/>
                <w:kern w:val="0"/>
                <w:sz w:val="20"/>
                <w:szCs w:val="20"/>
                <w:highlight w:val="none"/>
                <w:u w:val="none" w:color="auto"/>
                <w:lang w:val="en-US" w:eastAsia="zh-CN" w:bidi="ar-SA"/>
              </w:rPr>
              <w:t>3.7</w:t>
            </w:r>
          </w:p>
        </w:tc>
        <w:tc>
          <w:tcPr>
            <w:tcW w:w="732" w:type="pct"/>
            <w:shd w:val="clear" w:color="auto" w:fill="auto"/>
            <w:noWrap/>
            <w:vAlign w:val="center"/>
          </w:tcPr>
          <w:p w14:paraId="52D7C516">
            <w:pPr>
              <w:widowControl/>
              <w:spacing w:line="280" w:lineRule="exact"/>
              <w:ind w:firstLine="400" w:firstLineChars="200"/>
              <w:jc w:val="left"/>
              <w:textAlignment w:val="center"/>
              <w:rPr>
                <w:rFonts w:hint="eastAsia" w:cs="仿宋_GB2312"/>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w:t>
            </w:r>
          </w:p>
        </w:tc>
        <w:tc>
          <w:tcPr>
            <w:tcW w:w="574" w:type="pct"/>
            <w:shd w:val="clear" w:color="auto" w:fill="auto"/>
            <w:noWrap/>
            <w:vAlign w:val="center"/>
          </w:tcPr>
          <w:p w14:paraId="34F90BC5">
            <w:pPr>
              <w:widowControl/>
              <w:spacing w:line="280" w:lineRule="exact"/>
              <w:ind w:firstLine="0" w:firstLineChars="0"/>
              <w:jc w:val="center"/>
              <w:textAlignment w:val="center"/>
              <w:rPr>
                <w:rFonts w:hint="eastAsia" w:cs="仿宋_GB2312"/>
                <w:color w:val="auto"/>
                <w:kern w:val="0"/>
                <w:sz w:val="20"/>
                <w:szCs w:val="20"/>
                <w:highlight w:val="none"/>
                <w:lang w:bidi="ar"/>
              </w:rPr>
            </w:pPr>
            <w:r>
              <w:rPr>
                <w:rFonts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t>预期性</w:t>
            </w:r>
          </w:p>
        </w:tc>
      </w:tr>
      <w:tr w14:paraId="2E62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continue"/>
            <w:shd w:val="clear" w:color="auto" w:fill="auto"/>
            <w:noWrap/>
            <w:vAlign w:val="center"/>
          </w:tcPr>
          <w:p w14:paraId="035A6A5A">
            <w:pPr>
              <w:widowControl/>
              <w:spacing w:line="280" w:lineRule="exact"/>
              <w:ind w:firstLine="400" w:firstLineChars="200"/>
              <w:jc w:val="left"/>
              <w:textAlignment w:val="cente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p>
        </w:tc>
        <w:tc>
          <w:tcPr>
            <w:tcW w:w="999" w:type="pct"/>
            <w:vMerge w:val="continue"/>
            <w:shd w:val="clear" w:color="auto" w:fill="auto"/>
            <w:noWrap/>
            <w:vAlign w:val="center"/>
          </w:tcPr>
          <w:p w14:paraId="49283077">
            <w:pPr>
              <w:widowControl/>
              <w:spacing w:line="280" w:lineRule="exact"/>
              <w:ind w:firstLine="400" w:firstLineChars="200"/>
              <w:jc w:val="left"/>
              <w:textAlignment w:val="center"/>
              <w:rPr>
                <w:rFonts w:hint="default" w:ascii="Times New Roman" w:hAnsi="Times New Roman" w:cs="Times New Roman"/>
                <w:color w:val="auto"/>
                <w:kern w:val="0"/>
                <w:sz w:val="20"/>
                <w:szCs w:val="20"/>
                <w:highlight w:val="none"/>
                <w:lang w:bidi="ar"/>
              </w:rPr>
            </w:pPr>
          </w:p>
        </w:tc>
        <w:tc>
          <w:tcPr>
            <w:tcW w:w="999" w:type="pct"/>
            <w:shd w:val="clear" w:color="auto" w:fill="auto"/>
            <w:noWrap/>
            <w:vAlign w:val="center"/>
          </w:tcPr>
          <w:p w14:paraId="50807386">
            <w:pPr>
              <w:widowControl/>
              <w:spacing w:line="240" w:lineRule="auto"/>
              <w:ind w:firstLine="0" w:firstLineChars="0"/>
              <w:jc w:val="left"/>
              <w:textAlignment w:val="cente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cs="Times New Roman"/>
                <w:color w:val="auto"/>
                <w:kern w:val="0"/>
                <w:sz w:val="20"/>
                <w:szCs w:val="20"/>
                <w:highlight w:val="none"/>
                <w:lang w:bidi="ar"/>
              </w:rPr>
              <w:t>注册护士数（人）</w:t>
            </w:r>
          </w:p>
        </w:tc>
        <w:tc>
          <w:tcPr>
            <w:tcW w:w="657" w:type="pct"/>
            <w:shd w:val="clear" w:color="auto" w:fill="auto"/>
            <w:noWrap/>
            <w:vAlign w:val="center"/>
          </w:tcPr>
          <w:p w14:paraId="22E63735">
            <w:pPr>
              <w:widowControl/>
              <w:spacing w:line="280" w:lineRule="exact"/>
              <w:ind w:firstLine="0" w:firstLineChars="0"/>
              <w:jc w:val="center"/>
              <w:textAlignment w:val="center"/>
              <w:rPr>
                <w:rFonts w:hint="eastAsia"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3.86</w:t>
            </w:r>
          </w:p>
        </w:tc>
        <w:tc>
          <w:tcPr>
            <w:tcW w:w="672" w:type="pct"/>
            <w:shd w:val="clear" w:color="auto" w:fill="auto"/>
            <w:noWrap/>
            <w:vAlign w:val="center"/>
          </w:tcPr>
          <w:p w14:paraId="2233015D">
            <w:pPr>
              <w:widowControl/>
              <w:spacing w:line="280" w:lineRule="exact"/>
              <w:ind w:firstLine="400" w:firstLineChars="200"/>
              <w:jc w:val="both"/>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eastAsia" w:cs="Times New Roman"/>
                <w:b w:val="0"/>
                <w:bCs w:val="0"/>
                <w:strike w:val="0"/>
                <w:dstrike w:val="0"/>
                <w:snapToGrid w:val="0"/>
                <w:color w:val="auto"/>
                <w:kern w:val="0"/>
                <w:sz w:val="20"/>
                <w:szCs w:val="20"/>
                <w:highlight w:val="none"/>
                <w:u w:val="none" w:color="auto"/>
                <w:lang w:val="en-US" w:eastAsia="zh-CN" w:bidi="ar-SA"/>
              </w:rPr>
              <w:t>4.6</w:t>
            </w:r>
          </w:p>
        </w:tc>
        <w:tc>
          <w:tcPr>
            <w:tcW w:w="732" w:type="pct"/>
            <w:shd w:val="clear" w:color="auto" w:fill="auto"/>
            <w:noWrap/>
            <w:vAlign w:val="center"/>
          </w:tcPr>
          <w:p w14:paraId="4B227AD2">
            <w:pPr>
              <w:widowControl/>
              <w:spacing w:line="280" w:lineRule="exact"/>
              <w:ind w:firstLine="400" w:firstLineChars="200"/>
              <w:jc w:val="left"/>
              <w:textAlignment w:val="center"/>
              <w:rPr>
                <w:rFonts w:hint="eastAsia" w:cs="仿宋_GB2312"/>
                <w:color w:val="auto"/>
                <w:kern w:val="0"/>
                <w:sz w:val="20"/>
                <w:szCs w:val="20"/>
                <w:highlight w:val="none"/>
                <w:lang w:bidi="ar"/>
              </w:rPr>
            </w:pPr>
            <w:r>
              <w:rPr>
                <w:rFonts w:hint="default" w:ascii="Times New Roman" w:hAnsi="Times New Roman" w:eastAsia="宋体" w:cs="Times New Roman"/>
                <w:i w:val="0"/>
                <w:iCs w:val="0"/>
                <w:color w:val="auto"/>
                <w:kern w:val="0"/>
                <w:sz w:val="20"/>
                <w:szCs w:val="20"/>
                <w:highlight w:val="none"/>
                <w:u w:val="none"/>
                <w:lang w:val="en-US" w:eastAsia="zh-CN" w:bidi="ar"/>
              </w:rPr>
              <w:t>—</w:t>
            </w:r>
          </w:p>
        </w:tc>
        <w:tc>
          <w:tcPr>
            <w:tcW w:w="574" w:type="pct"/>
            <w:shd w:val="clear" w:color="auto" w:fill="auto"/>
            <w:noWrap/>
            <w:vAlign w:val="center"/>
          </w:tcPr>
          <w:p w14:paraId="63A1D5A0">
            <w:pPr>
              <w:widowControl/>
              <w:spacing w:line="280" w:lineRule="exact"/>
              <w:ind w:firstLine="0" w:firstLineChars="0"/>
              <w:jc w:val="center"/>
              <w:textAlignment w:val="center"/>
              <w:rPr>
                <w:rFonts w:hint="eastAsia" w:cs="仿宋_GB2312"/>
                <w:color w:val="auto"/>
                <w:kern w:val="0"/>
                <w:sz w:val="20"/>
                <w:szCs w:val="20"/>
                <w:highlight w:val="none"/>
                <w:lang w:bidi="ar"/>
              </w:rPr>
            </w:pPr>
            <w:r>
              <w:rPr>
                <w:rFonts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t>预期性</w:t>
            </w:r>
          </w:p>
        </w:tc>
      </w:tr>
      <w:tr w14:paraId="1F7B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5B3142B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8</w:t>
            </w:r>
          </w:p>
        </w:tc>
        <w:tc>
          <w:tcPr>
            <w:tcW w:w="1998" w:type="pct"/>
            <w:gridSpan w:val="2"/>
            <w:shd w:val="clear" w:color="auto" w:fill="auto"/>
            <w:noWrap/>
            <w:vAlign w:val="center"/>
          </w:tcPr>
          <w:p w14:paraId="23BC78C9">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养老机构护理型床位占比（%）</w:t>
            </w:r>
          </w:p>
        </w:tc>
        <w:tc>
          <w:tcPr>
            <w:tcW w:w="657" w:type="pct"/>
            <w:shd w:val="clear" w:color="auto" w:fill="auto"/>
            <w:noWrap/>
            <w:vAlign w:val="center"/>
          </w:tcPr>
          <w:p w14:paraId="434DB15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64</w:t>
            </w:r>
          </w:p>
        </w:tc>
        <w:tc>
          <w:tcPr>
            <w:tcW w:w="672" w:type="pct"/>
            <w:shd w:val="clear" w:color="auto" w:fill="auto"/>
            <w:noWrap/>
            <w:vAlign w:val="center"/>
          </w:tcPr>
          <w:p w14:paraId="540CA31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80</w:t>
            </w:r>
          </w:p>
        </w:tc>
        <w:tc>
          <w:tcPr>
            <w:tcW w:w="732" w:type="pct"/>
            <w:shd w:val="clear" w:color="auto" w:fill="auto"/>
            <w:noWrap/>
            <w:vAlign w:val="center"/>
          </w:tcPr>
          <w:p w14:paraId="6D6C672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372FA04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51AE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5BC41E9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9</w:t>
            </w:r>
          </w:p>
        </w:tc>
        <w:tc>
          <w:tcPr>
            <w:tcW w:w="1998" w:type="pct"/>
            <w:gridSpan w:val="2"/>
            <w:shd w:val="clear" w:color="auto" w:fill="auto"/>
            <w:noWrap/>
            <w:vAlign w:val="center"/>
          </w:tcPr>
          <w:p w14:paraId="350FD8C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仿宋_GB2312"/>
                <w:color w:val="auto"/>
                <w:kern w:val="0"/>
                <w:sz w:val="20"/>
                <w:szCs w:val="20"/>
                <w:highlight w:val="none"/>
                <w:lang w:bidi="ar"/>
              </w:rPr>
              <w:t>3岁以下婴幼儿入托率</w:t>
            </w:r>
            <w:r>
              <w:rPr>
                <w:rFonts w:hint="eastAsia" w:cs="仿宋_GB2312"/>
                <w:color w:val="auto"/>
                <w:kern w:val="0"/>
                <w:sz w:val="20"/>
                <w:szCs w:val="20"/>
                <w:highlight w:val="none"/>
                <w:lang w:eastAsia="zh-CN" w:bidi="ar"/>
              </w:rPr>
              <w:t>提高</w:t>
            </w:r>
            <w:r>
              <w:rPr>
                <w:rFonts w:hint="eastAsia" w:cs="仿宋_GB2312"/>
                <w:color w:val="auto"/>
                <w:kern w:val="0"/>
                <w:sz w:val="20"/>
                <w:szCs w:val="20"/>
                <w:highlight w:val="none"/>
                <w:lang w:bidi="ar"/>
              </w:rPr>
              <w:t>（</w:t>
            </w:r>
            <w:r>
              <w:rPr>
                <w:rFonts w:hint="eastAsia" w:cs="仿宋_GB2312"/>
                <w:color w:val="auto"/>
                <w:kern w:val="0"/>
                <w:sz w:val="20"/>
                <w:szCs w:val="20"/>
                <w:highlight w:val="none"/>
                <w:lang w:eastAsia="zh-CN" w:bidi="ar"/>
              </w:rPr>
              <w:t>百分点</w:t>
            </w:r>
            <w:r>
              <w:rPr>
                <w:rFonts w:hint="eastAsia" w:cs="仿宋_GB2312"/>
                <w:color w:val="auto"/>
                <w:kern w:val="0"/>
                <w:sz w:val="20"/>
                <w:szCs w:val="20"/>
                <w:highlight w:val="none"/>
                <w:lang w:bidi="ar"/>
              </w:rPr>
              <w:t>）</w:t>
            </w:r>
          </w:p>
        </w:tc>
        <w:tc>
          <w:tcPr>
            <w:tcW w:w="657" w:type="pct"/>
            <w:shd w:val="clear" w:color="auto" w:fill="auto"/>
            <w:noWrap/>
            <w:vAlign w:val="center"/>
          </w:tcPr>
          <w:p w14:paraId="0667B4B6">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672" w:type="pct"/>
            <w:shd w:val="clear" w:color="auto" w:fill="auto"/>
            <w:noWrap/>
            <w:vAlign w:val="center"/>
          </w:tcPr>
          <w:p w14:paraId="21CCA00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732" w:type="pct"/>
            <w:shd w:val="clear" w:color="auto" w:fill="auto"/>
            <w:noWrap/>
            <w:vAlign w:val="center"/>
          </w:tcPr>
          <w:p w14:paraId="6488FAB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〔5〕</w:t>
            </w:r>
          </w:p>
        </w:tc>
        <w:tc>
          <w:tcPr>
            <w:tcW w:w="574" w:type="pct"/>
            <w:shd w:val="clear" w:color="auto" w:fill="auto"/>
            <w:noWrap/>
            <w:vAlign w:val="center"/>
          </w:tcPr>
          <w:p w14:paraId="0D1BEEF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5AD5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58D8BED1">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10</w:t>
            </w:r>
          </w:p>
        </w:tc>
        <w:tc>
          <w:tcPr>
            <w:tcW w:w="1998" w:type="pct"/>
            <w:gridSpan w:val="2"/>
            <w:shd w:val="clear" w:color="auto" w:fill="auto"/>
            <w:noWrap/>
            <w:vAlign w:val="center"/>
          </w:tcPr>
          <w:p w14:paraId="6DEE0248">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eastAsia" w:ascii="Times New Roman" w:hAnsi="Times New Roman" w:eastAsia="仿宋_GB2312" w:cs="Times New Roman"/>
                <w:b w:val="0"/>
                <w:bCs w:val="0"/>
                <w:strike w:val="0"/>
                <w:snapToGrid w:val="0"/>
                <w:color w:val="auto"/>
                <w:kern w:val="0"/>
                <w:sz w:val="20"/>
                <w:szCs w:val="20"/>
                <w:highlight w:val="none"/>
                <w:lang w:val="en-US" w:eastAsia="en-US" w:bidi="ar"/>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人均预期寿命（岁）</w:t>
            </w:r>
          </w:p>
        </w:tc>
        <w:tc>
          <w:tcPr>
            <w:tcW w:w="657" w:type="pct"/>
            <w:shd w:val="clear" w:color="auto" w:fill="auto"/>
            <w:noWrap/>
            <w:vAlign w:val="center"/>
          </w:tcPr>
          <w:p w14:paraId="7DE377EF">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83.16</w:t>
            </w:r>
          </w:p>
        </w:tc>
        <w:tc>
          <w:tcPr>
            <w:tcW w:w="672" w:type="pct"/>
            <w:shd w:val="clear" w:color="auto" w:fill="auto"/>
            <w:noWrap/>
            <w:vAlign w:val="center"/>
          </w:tcPr>
          <w:p w14:paraId="0786DF2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cs="Times New Roman"/>
                <w:color w:val="auto"/>
                <w:sz w:val="20"/>
                <w:szCs w:val="20"/>
                <w:highlight w:val="none"/>
                <w:lang w:val="en-US" w:eastAsia="zh-CN"/>
              </w:rPr>
              <w:t>80以上</w:t>
            </w:r>
          </w:p>
        </w:tc>
        <w:tc>
          <w:tcPr>
            <w:tcW w:w="732" w:type="pct"/>
            <w:shd w:val="clear" w:color="auto" w:fill="auto"/>
            <w:noWrap/>
            <w:vAlign w:val="center"/>
          </w:tcPr>
          <w:p w14:paraId="0457F41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cs="Times New Roman"/>
                <w:b w:val="0"/>
                <w:bCs w:val="0"/>
                <w:strike w:val="0"/>
                <w:dstrike w:val="0"/>
                <w:snapToGrid w:val="0"/>
                <w:color w:val="auto"/>
                <w:kern w:val="0"/>
                <w:sz w:val="20"/>
                <w:szCs w:val="20"/>
                <w:highlight w:val="none"/>
                <w:u w:val="none" w:color="auto"/>
                <w:lang w:val="en-US" w:eastAsia="zh-CN" w:bidi="ar-SA"/>
              </w:rPr>
            </w:pPr>
            <w:r>
              <w:rPr>
                <w:rFonts w:hint="eastAsia"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34D41F5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5733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000" w:type="pct"/>
            <w:gridSpan w:val="7"/>
            <w:shd w:val="clear" w:color="auto" w:fill="auto"/>
            <w:noWrap/>
            <w:vAlign w:val="center"/>
          </w:tcPr>
          <w:p w14:paraId="59ECDE34">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left"/>
              <w:textAlignment w:val="auto"/>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pPr>
            <w:r>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t>四、城乡区域</w:t>
            </w:r>
          </w:p>
        </w:tc>
      </w:tr>
      <w:tr w14:paraId="7FBE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7F016F9C">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11</w:t>
            </w:r>
          </w:p>
        </w:tc>
        <w:tc>
          <w:tcPr>
            <w:tcW w:w="1998" w:type="pct"/>
            <w:gridSpan w:val="2"/>
            <w:shd w:val="clear" w:color="auto" w:fill="auto"/>
            <w:noWrap/>
            <w:vAlign w:val="center"/>
          </w:tcPr>
          <w:p w14:paraId="2BF9662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常住人口城镇化率（%）</w:t>
            </w:r>
          </w:p>
        </w:tc>
        <w:tc>
          <w:tcPr>
            <w:tcW w:w="657" w:type="pct"/>
            <w:shd w:val="clear" w:color="auto" w:fill="auto"/>
            <w:noWrap/>
            <w:vAlign w:val="center"/>
          </w:tcPr>
          <w:p w14:paraId="1C40588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87.2</w:t>
            </w:r>
          </w:p>
        </w:tc>
        <w:tc>
          <w:tcPr>
            <w:tcW w:w="672" w:type="pct"/>
            <w:shd w:val="clear" w:color="auto" w:fill="auto"/>
            <w:noWrap/>
            <w:vAlign w:val="center"/>
          </w:tcPr>
          <w:p w14:paraId="3760C36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87.5</w:t>
            </w:r>
          </w:p>
        </w:tc>
        <w:tc>
          <w:tcPr>
            <w:tcW w:w="732" w:type="pct"/>
            <w:shd w:val="clear" w:color="auto" w:fill="auto"/>
            <w:noWrap/>
            <w:vAlign w:val="center"/>
          </w:tcPr>
          <w:p w14:paraId="035EB0B7">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75D5524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39C5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2B6B8BF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12</w:t>
            </w:r>
          </w:p>
        </w:tc>
        <w:tc>
          <w:tcPr>
            <w:tcW w:w="1998" w:type="pct"/>
            <w:gridSpan w:val="2"/>
            <w:shd w:val="clear" w:color="auto" w:fill="auto"/>
            <w:noWrap/>
            <w:vAlign w:val="center"/>
          </w:tcPr>
          <w:p w14:paraId="19CCBB2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城乡居民人均可支配收入比值</w:t>
            </w:r>
          </w:p>
        </w:tc>
        <w:tc>
          <w:tcPr>
            <w:tcW w:w="657" w:type="pct"/>
            <w:shd w:val="clear" w:color="auto" w:fill="auto"/>
            <w:noWrap/>
            <w:vAlign w:val="center"/>
          </w:tcPr>
          <w:p w14:paraId="680DDAC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eastAsia="仿宋_GB2312" w:cs="Times New Roman"/>
                <w:b w:val="0"/>
                <w:bCs w:val="0"/>
                <w:strike w:val="0"/>
                <w:dstrike w:val="0"/>
                <w:snapToGrid w:val="0"/>
                <w:color w:val="auto"/>
                <w:kern w:val="0"/>
                <w:sz w:val="20"/>
                <w:szCs w:val="20"/>
                <w:highlight w:val="none"/>
                <w:u w:val="none" w:color="auto"/>
                <w:lang w:val="en-US" w:eastAsia="zh-CN" w:bidi="ar-SA"/>
              </w:rPr>
              <w:t>1.83</w:t>
            </w:r>
          </w:p>
        </w:tc>
        <w:tc>
          <w:tcPr>
            <w:tcW w:w="672" w:type="pct"/>
            <w:shd w:val="clear" w:color="auto" w:fill="auto"/>
            <w:noWrap/>
            <w:vAlign w:val="center"/>
          </w:tcPr>
          <w:p w14:paraId="508FF626">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cs="Times New Roman"/>
                <w:b w:val="0"/>
                <w:bCs w:val="0"/>
                <w:strike w:val="0"/>
                <w:dstrike w:val="0"/>
                <w:snapToGrid w:val="0"/>
                <w:color w:val="auto"/>
                <w:kern w:val="0"/>
                <w:sz w:val="20"/>
                <w:szCs w:val="20"/>
                <w:highlight w:val="none"/>
                <w:u w:val="none" w:color="auto"/>
                <w:lang w:val="en-US" w:eastAsia="zh-CN" w:bidi="ar-SA"/>
              </w:rPr>
              <w:t>1.67</w:t>
            </w:r>
          </w:p>
        </w:tc>
        <w:tc>
          <w:tcPr>
            <w:tcW w:w="732" w:type="pct"/>
            <w:shd w:val="clear" w:color="auto" w:fill="auto"/>
            <w:noWrap/>
            <w:vAlign w:val="center"/>
          </w:tcPr>
          <w:p w14:paraId="03A7F84F">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3529CEA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预期性</w:t>
            </w:r>
          </w:p>
        </w:tc>
      </w:tr>
      <w:tr w14:paraId="253D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000" w:type="pct"/>
            <w:gridSpan w:val="7"/>
            <w:shd w:val="clear" w:color="auto" w:fill="auto"/>
            <w:noWrap/>
            <w:vAlign w:val="center"/>
          </w:tcPr>
          <w:p w14:paraId="5CC0DF3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left"/>
              <w:textAlignment w:val="auto"/>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pPr>
            <w:r>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t>五、绿色低碳</w:t>
            </w:r>
          </w:p>
        </w:tc>
      </w:tr>
      <w:tr w14:paraId="594C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64" w:type="pct"/>
            <w:shd w:val="clear" w:color="auto" w:fill="auto"/>
            <w:noWrap/>
            <w:vAlign w:val="center"/>
          </w:tcPr>
          <w:p w14:paraId="2A77D6B8">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13</w:t>
            </w:r>
          </w:p>
        </w:tc>
        <w:tc>
          <w:tcPr>
            <w:tcW w:w="1998" w:type="pct"/>
            <w:gridSpan w:val="2"/>
            <w:shd w:val="clear" w:color="auto" w:fill="auto"/>
            <w:noWrap/>
            <w:vAlign w:val="center"/>
          </w:tcPr>
          <w:p w14:paraId="62313296">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单位 GDP 二氧化碳排放降低（%）</w:t>
            </w:r>
          </w:p>
        </w:tc>
        <w:tc>
          <w:tcPr>
            <w:tcW w:w="657" w:type="pct"/>
            <w:shd w:val="clear" w:color="auto" w:fill="auto"/>
            <w:noWrap/>
            <w:vAlign w:val="center"/>
          </w:tcPr>
          <w:p w14:paraId="7ED102FB">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仿宋_GB2312" w:cs="Times New Roman"/>
                <w:strike w:val="0"/>
                <w:dstrike w:val="0"/>
                <w:color w:val="auto"/>
                <w:sz w:val="20"/>
                <w:szCs w:val="20"/>
                <w:highlight w:val="none"/>
                <w:u w:val="none" w:color="auto"/>
                <w:lang w:val="en-US" w:eastAsia="zh-CN"/>
              </w:rPr>
            </w:pPr>
            <w:r>
              <w:rPr>
                <w:rFonts w:hint="eastAsia" w:eastAsia="仿宋_GB2312" w:cs="Times New Roman"/>
                <w:strike w:val="0"/>
                <w:dstrike w:val="0"/>
                <w:color w:val="auto"/>
                <w:sz w:val="20"/>
                <w:szCs w:val="20"/>
                <w:highlight w:val="none"/>
                <w:u w:val="none" w:color="auto"/>
                <w:lang w:val="en-US" w:eastAsia="zh-CN"/>
              </w:rPr>
              <w:t>14.41（2024</w:t>
            </w:r>
          </w:p>
          <w:p w14:paraId="0E234ADF">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仿宋_GB2312" w:cs="Times New Roman"/>
                <w:strike w:val="0"/>
                <w:dstrike w:val="0"/>
                <w:color w:val="auto"/>
                <w:sz w:val="20"/>
                <w:szCs w:val="20"/>
                <w:highlight w:val="none"/>
                <w:u w:val="none" w:color="auto"/>
                <w:lang w:val="en-US" w:eastAsia="zh-CN"/>
              </w:rPr>
            </w:pPr>
            <w:r>
              <w:rPr>
                <w:rFonts w:hint="eastAsia" w:eastAsia="仿宋_GB2312" w:cs="Times New Roman"/>
                <w:strike w:val="0"/>
                <w:dstrike w:val="0"/>
                <w:color w:val="auto"/>
                <w:sz w:val="20"/>
                <w:szCs w:val="20"/>
                <w:highlight w:val="none"/>
                <w:u w:val="none" w:color="auto"/>
                <w:lang w:val="en-US" w:eastAsia="zh-CN"/>
              </w:rPr>
              <w:t>年数据）</w:t>
            </w:r>
          </w:p>
        </w:tc>
        <w:tc>
          <w:tcPr>
            <w:tcW w:w="672" w:type="pct"/>
            <w:shd w:val="clear" w:color="auto" w:fill="auto"/>
            <w:noWrap/>
            <w:vAlign w:val="center"/>
          </w:tcPr>
          <w:p w14:paraId="6BEBD484">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strike w:val="0"/>
                <w:dstrike w:val="0"/>
                <w:color w:val="auto"/>
                <w:sz w:val="20"/>
                <w:szCs w:val="20"/>
                <w:highlight w:val="none"/>
                <w:u w:val="none" w:color="auto"/>
                <w:lang w:val="en-US" w:eastAsia="zh-CN"/>
              </w:rPr>
            </w:pPr>
            <w:r>
              <w:rPr>
                <w:rFonts w:hint="default" w:ascii="Times New Roman" w:hAnsi="Times New Roman" w:eastAsia="仿宋_GB2312" w:cs="Times New Roman"/>
                <w:strike w:val="0"/>
                <w:dstrike w:val="0"/>
                <w:color w:val="auto"/>
                <w:sz w:val="20"/>
                <w:szCs w:val="20"/>
                <w:highlight w:val="none"/>
                <w:u w:val="none" w:color="auto"/>
                <w:lang w:val="en-US" w:eastAsia="zh-CN"/>
              </w:rPr>
              <w:t>完成</w:t>
            </w:r>
            <w:r>
              <w:rPr>
                <w:rFonts w:hint="eastAsia" w:eastAsia="仿宋_GB2312" w:cs="Times New Roman"/>
                <w:strike w:val="0"/>
                <w:dstrike w:val="0"/>
                <w:color w:val="auto"/>
                <w:sz w:val="20"/>
                <w:szCs w:val="20"/>
                <w:highlight w:val="none"/>
                <w:u w:val="none" w:color="auto"/>
                <w:lang w:val="en-US" w:eastAsia="zh-CN"/>
              </w:rPr>
              <w:t>上级</w:t>
            </w:r>
            <w:r>
              <w:rPr>
                <w:rFonts w:hint="default" w:ascii="Times New Roman" w:hAnsi="Times New Roman" w:eastAsia="仿宋_GB2312" w:cs="Times New Roman"/>
                <w:strike w:val="0"/>
                <w:dstrike w:val="0"/>
                <w:color w:val="auto"/>
                <w:sz w:val="20"/>
                <w:szCs w:val="20"/>
                <w:highlight w:val="none"/>
                <w:u w:val="none" w:color="auto"/>
                <w:lang w:val="en-US" w:eastAsia="zh-CN"/>
              </w:rPr>
              <w:t>下达目标</w:t>
            </w:r>
          </w:p>
        </w:tc>
        <w:tc>
          <w:tcPr>
            <w:tcW w:w="732" w:type="pct"/>
            <w:shd w:val="clear" w:color="auto" w:fill="auto"/>
            <w:noWrap/>
            <w:vAlign w:val="center"/>
          </w:tcPr>
          <w:p w14:paraId="33AE8FAE">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100DA8A5">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00CF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64" w:type="pct"/>
            <w:shd w:val="clear" w:color="auto" w:fill="auto"/>
            <w:noWrap/>
            <w:vAlign w:val="center"/>
          </w:tcPr>
          <w:p w14:paraId="5107053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14</w:t>
            </w:r>
          </w:p>
        </w:tc>
        <w:tc>
          <w:tcPr>
            <w:tcW w:w="1998" w:type="pct"/>
            <w:gridSpan w:val="2"/>
            <w:shd w:val="clear" w:color="auto" w:fill="auto"/>
            <w:noWrap/>
            <w:vAlign w:val="center"/>
          </w:tcPr>
          <w:p w14:paraId="14F3B1C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eastAsia" w:cs="仿宋_GB2312"/>
                <w:color w:val="auto"/>
                <w:kern w:val="0"/>
                <w:sz w:val="20"/>
                <w:szCs w:val="20"/>
                <w:highlight w:val="none"/>
                <w:lang w:bidi="ar"/>
              </w:rPr>
              <w:t>非化石能源占能源消费总量比重（%）</w:t>
            </w:r>
          </w:p>
        </w:tc>
        <w:tc>
          <w:tcPr>
            <w:tcW w:w="657" w:type="pct"/>
            <w:shd w:val="clear" w:color="auto" w:fill="auto"/>
            <w:noWrap/>
            <w:vAlign w:val="center"/>
          </w:tcPr>
          <w:p w14:paraId="0E303AF7">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eastAsia="仿宋_GB2312" w:cs="Times New Roman"/>
                <w:strike w:val="0"/>
                <w:dstrike w:val="0"/>
                <w:color w:val="auto"/>
                <w:sz w:val="20"/>
                <w:szCs w:val="20"/>
                <w:highlight w:val="none"/>
                <w:u w:val="none" w:color="auto"/>
                <w:lang w:val="en-US" w:eastAsia="zh-CN"/>
              </w:rPr>
              <w:t>15.96</w:t>
            </w:r>
          </w:p>
        </w:tc>
        <w:tc>
          <w:tcPr>
            <w:tcW w:w="672" w:type="pct"/>
            <w:shd w:val="clear" w:color="auto" w:fill="auto"/>
            <w:noWrap/>
            <w:vAlign w:val="center"/>
          </w:tcPr>
          <w:p w14:paraId="72FD4FB6">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strike w:val="0"/>
                <w:dstrike w:val="0"/>
                <w:color w:val="auto"/>
                <w:sz w:val="20"/>
                <w:szCs w:val="20"/>
                <w:highlight w:val="none"/>
                <w:u w:val="none" w:color="auto"/>
                <w:lang w:val="en-US" w:eastAsia="zh-CN"/>
              </w:rPr>
              <w:t>完成上级下达目标</w:t>
            </w:r>
          </w:p>
        </w:tc>
        <w:tc>
          <w:tcPr>
            <w:tcW w:w="732" w:type="pct"/>
            <w:shd w:val="clear" w:color="auto" w:fill="auto"/>
            <w:noWrap/>
            <w:vAlign w:val="center"/>
          </w:tcPr>
          <w:p w14:paraId="43400419">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strike w:val="0"/>
                <w:dstrike w:val="0"/>
                <w:color w:val="auto"/>
                <w:sz w:val="20"/>
                <w:szCs w:val="20"/>
                <w:highlight w:val="none"/>
                <w:u w:val="none" w:color="auto"/>
                <w:lang w:val="en-US" w:eastAsia="zh-CN"/>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66E03046">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63D3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1D6D992D">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15</w:t>
            </w:r>
          </w:p>
        </w:tc>
        <w:tc>
          <w:tcPr>
            <w:tcW w:w="1998" w:type="pct"/>
            <w:gridSpan w:val="2"/>
            <w:shd w:val="clear" w:color="auto" w:fill="auto"/>
            <w:noWrap/>
            <w:vAlign w:val="center"/>
          </w:tcPr>
          <w:p w14:paraId="5F1087D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城市细颗粒物（PM</w:t>
            </w: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2</w:t>
            </w: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5</w:t>
            </w: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）浓度（微克/立方米）</w:t>
            </w:r>
          </w:p>
        </w:tc>
        <w:tc>
          <w:tcPr>
            <w:tcW w:w="657" w:type="pct"/>
            <w:shd w:val="clear" w:color="auto" w:fill="auto"/>
            <w:noWrap/>
            <w:vAlign w:val="center"/>
          </w:tcPr>
          <w:p w14:paraId="0AE257CC">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仿宋_GB2312" w:cs="Times New Roman"/>
                <w:strike w:val="0"/>
                <w:dstrike w:val="0"/>
                <w:color w:val="auto"/>
                <w:sz w:val="20"/>
                <w:szCs w:val="20"/>
                <w:highlight w:val="none"/>
                <w:u w:val="none" w:color="auto"/>
                <w:lang w:val="en-US" w:eastAsia="zh-CN"/>
              </w:rPr>
            </w:pPr>
            <w:r>
              <w:rPr>
                <w:rFonts w:hint="eastAsia" w:eastAsia="仿宋_GB2312" w:cs="Times New Roman"/>
                <w:strike w:val="0"/>
                <w:dstrike w:val="0"/>
                <w:color w:val="auto"/>
                <w:sz w:val="20"/>
                <w:szCs w:val="20"/>
                <w:highlight w:val="none"/>
                <w:u w:val="none" w:color="auto"/>
                <w:lang w:val="en-US" w:eastAsia="zh-CN"/>
              </w:rPr>
              <w:t>24</w:t>
            </w:r>
          </w:p>
        </w:tc>
        <w:tc>
          <w:tcPr>
            <w:tcW w:w="672" w:type="pct"/>
            <w:shd w:val="clear" w:color="auto" w:fill="auto"/>
            <w:noWrap/>
            <w:vAlign w:val="center"/>
          </w:tcPr>
          <w:p w14:paraId="271E4C5C">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strike w:val="0"/>
                <w:dstrike w:val="0"/>
                <w:color w:val="auto"/>
                <w:sz w:val="20"/>
                <w:szCs w:val="20"/>
                <w:highlight w:val="none"/>
                <w:u w:val="none" w:color="auto"/>
                <w:lang w:val="en-US" w:eastAsia="zh-CN"/>
              </w:rPr>
            </w:pPr>
            <w:r>
              <w:rPr>
                <w:rFonts w:hint="default" w:ascii="Times New Roman" w:hAnsi="Times New Roman" w:eastAsia="仿宋_GB2312" w:cs="Times New Roman"/>
                <w:strike w:val="0"/>
                <w:dstrike w:val="0"/>
                <w:color w:val="auto"/>
                <w:sz w:val="20"/>
                <w:szCs w:val="20"/>
                <w:highlight w:val="none"/>
                <w:u w:val="none" w:color="auto"/>
                <w:lang w:val="en-US" w:eastAsia="zh-CN"/>
              </w:rPr>
              <w:t>完成上级下达目标</w:t>
            </w:r>
          </w:p>
        </w:tc>
        <w:tc>
          <w:tcPr>
            <w:tcW w:w="732" w:type="pct"/>
            <w:shd w:val="clear" w:color="auto" w:fill="auto"/>
            <w:noWrap/>
            <w:vAlign w:val="center"/>
          </w:tcPr>
          <w:p w14:paraId="4D736D71">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strike w:val="0"/>
                <w:dstrike w:val="0"/>
                <w:color w:val="auto"/>
                <w:sz w:val="20"/>
                <w:szCs w:val="20"/>
                <w:highlight w:val="none"/>
                <w:u w:val="none" w:color="auto"/>
                <w:lang w:val="en-US" w:eastAsia="zh-CN"/>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4991736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13C7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64" w:type="pct"/>
            <w:shd w:val="clear" w:color="auto" w:fill="auto"/>
            <w:noWrap/>
            <w:vAlign w:val="center"/>
          </w:tcPr>
          <w:p w14:paraId="548E918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16</w:t>
            </w:r>
          </w:p>
        </w:tc>
        <w:tc>
          <w:tcPr>
            <w:tcW w:w="1998" w:type="pct"/>
            <w:gridSpan w:val="2"/>
            <w:shd w:val="clear" w:color="auto" w:fill="auto"/>
            <w:noWrap/>
            <w:vAlign w:val="center"/>
          </w:tcPr>
          <w:p w14:paraId="383C445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仿宋_GB2312"/>
                <w:color w:val="auto"/>
                <w:kern w:val="0"/>
                <w:sz w:val="20"/>
                <w:szCs w:val="20"/>
                <w:highlight w:val="none"/>
                <w:lang w:bidi="ar"/>
              </w:rPr>
              <w:t>优良水体比例（%）</w:t>
            </w:r>
          </w:p>
        </w:tc>
        <w:tc>
          <w:tcPr>
            <w:tcW w:w="657" w:type="pct"/>
            <w:shd w:val="clear" w:color="auto" w:fill="auto"/>
            <w:noWrap/>
            <w:vAlign w:val="center"/>
          </w:tcPr>
          <w:p w14:paraId="2C347358">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仿宋_GB2312" w:cs="Times New Roman"/>
                <w:strike w:val="0"/>
                <w:dstrike w:val="0"/>
                <w:color w:val="auto"/>
                <w:sz w:val="20"/>
                <w:szCs w:val="20"/>
                <w:highlight w:val="none"/>
                <w:u w:val="none" w:color="auto"/>
                <w:lang w:val="en-US" w:eastAsia="zh-CN"/>
              </w:rPr>
            </w:pPr>
            <w:r>
              <w:rPr>
                <w:rFonts w:hint="eastAsia" w:eastAsia="仿宋_GB2312" w:cs="Times New Roman"/>
                <w:strike w:val="0"/>
                <w:dstrike w:val="0"/>
                <w:color w:val="auto"/>
                <w:sz w:val="20"/>
                <w:szCs w:val="20"/>
                <w:highlight w:val="none"/>
                <w:u w:val="none" w:color="auto"/>
                <w:lang w:val="en-US" w:eastAsia="zh-CN"/>
              </w:rPr>
              <w:t>100</w:t>
            </w:r>
          </w:p>
        </w:tc>
        <w:tc>
          <w:tcPr>
            <w:tcW w:w="672" w:type="pct"/>
            <w:shd w:val="clear" w:color="auto" w:fill="auto"/>
            <w:noWrap/>
            <w:vAlign w:val="center"/>
          </w:tcPr>
          <w:p w14:paraId="60F2FFA8">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strike w:val="0"/>
                <w:dstrike w:val="0"/>
                <w:color w:val="auto"/>
                <w:sz w:val="20"/>
                <w:szCs w:val="20"/>
                <w:highlight w:val="none"/>
                <w:u w:val="none" w:color="auto"/>
                <w:lang w:val="en-US" w:eastAsia="zh-CN"/>
              </w:rPr>
            </w:pPr>
            <w:r>
              <w:rPr>
                <w:rFonts w:hint="eastAsia" w:eastAsia="仿宋_GB2312" w:cs="Times New Roman"/>
                <w:strike w:val="0"/>
                <w:dstrike w:val="0"/>
                <w:color w:val="auto"/>
                <w:sz w:val="20"/>
                <w:szCs w:val="20"/>
                <w:highlight w:val="none"/>
                <w:u w:val="none" w:color="auto"/>
                <w:lang w:val="en-US" w:eastAsia="zh-CN"/>
              </w:rPr>
              <w:t>100</w:t>
            </w:r>
          </w:p>
        </w:tc>
        <w:tc>
          <w:tcPr>
            <w:tcW w:w="732" w:type="pct"/>
            <w:shd w:val="clear" w:color="auto" w:fill="auto"/>
            <w:noWrap/>
            <w:vAlign w:val="center"/>
          </w:tcPr>
          <w:p w14:paraId="45F5CC7F">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strike w:val="0"/>
                <w:dstrike w:val="0"/>
                <w:color w:val="auto"/>
                <w:sz w:val="20"/>
                <w:szCs w:val="20"/>
                <w:highlight w:val="none"/>
                <w:u w:val="none" w:color="auto"/>
                <w:lang w:val="en-US" w:eastAsia="zh-CN"/>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6592A2C8">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0ACB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64" w:type="pct"/>
            <w:shd w:val="clear" w:color="auto" w:fill="auto"/>
            <w:noWrap/>
            <w:vAlign w:val="center"/>
          </w:tcPr>
          <w:p w14:paraId="0D808A9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17</w:t>
            </w:r>
          </w:p>
        </w:tc>
        <w:tc>
          <w:tcPr>
            <w:tcW w:w="1998" w:type="pct"/>
            <w:gridSpan w:val="2"/>
            <w:shd w:val="clear" w:color="auto" w:fill="auto"/>
            <w:noWrap/>
            <w:vAlign w:val="center"/>
          </w:tcPr>
          <w:p w14:paraId="2EACAF86">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eastAsia" w:cs="仿宋_GB2312"/>
                <w:color w:val="auto"/>
                <w:kern w:val="0"/>
                <w:sz w:val="20"/>
                <w:szCs w:val="20"/>
                <w:highlight w:val="none"/>
                <w:lang w:bidi="ar"/>
              </w:rPr>
              <w:t>森林覆盖率（%）</w:t>
            </w:r>
          </w:p>
        </w:tc>
        <w:tc>
          <w:tcPr>
            <w:tcW w:w="657" w:type="pct"/>
            <w:shd w:val="clear" w:color="auto" w:fill="auto"/>
            <w:noWrap/>
            <w:vAlign w:val="center"/>
          </w:tcPr>
          <w:p w14:paraId="2FC48526">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eastAsia="仿宋_GB2312" w:cs="Times New Roman"/>
                <w:strike w:val="0"/>
                <w:dstrike w:val="0"/>
                <w:color w:val="auto"/>
                <w:sz w:val="20"/>
                <w:szCs w:val="20"/>
                <w:highlight w:val="none"/>
                <w:u w:val="none" w:color="auto"/>
                <w:lang w:val="en-US" w:eastAsia="zh-CN"/>
              </w:rPr>
              <w:t>60.93</w:t>
            </w:r>
          </w:p>
        </w:tc>
        <w:tc>
          <w:tcPr>
            <w:tcW w:w="672" w:type="pct"/>
            <w:shd w:val="clear" w:color="auto" w:fill="auto"/>
            <w:noWrap/>
            <w:vAlign w:val="center"/>
          </w:tcPr>
          <w:p w14:paraId="76D97A3E">
            <w:pPr>
              <w:pStyle w:val="48"/>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eastAsia="仿宋_GB2312" w:cs="Times New Roman"/>
                <w:strike w:val="0"/>
                <w:dstrike w:val="0"/>
                <w:color w:val="auto"/>
                <w:sz w:val="20"/>
                <w:szCs w:val="20"/>
                <w:highlight w:val="none"/>
                <w:u w:val="none" w:color="auto"/>
                <w:lang w:val="en-US" w:eastAsia="zh-CN"/>
              </w:rPr>
              <w:t>提质增效</w:t>
            </w:r>
          </w:p>
        </w:tc>
        <w:tc>
          <w:tcPr>
            <w:tcW w:w="732" w:type="pct"/>
            <w:shd w:val="clear" w:color="auto" w:fill="auto"/>
            <w:noWrap/>
            <w:vAlign w:val="center"/>
          </w:tcPr>
          <w:p w14:paraId="367DFAC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23A53C25">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3ECF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000" w:type="pct"/>
            <w:gridSpan w:val="7"/>
            <w:shd w:val="clear" w:color="auto" w:fill="auto"/>
            <w:noWrap/>
            <w:vAlign w:val="center"/>
          </w:tcPr>
          <w:p w14:paraId="45190F6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left"/>
              <w:textAlignment w:val="auto"/>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pPr>
            <w:r>
              <w:rPr>
                <w:rFonts w:hint="eastAsia" w:ascii="楷体_GB2312" w:hAnsi="楷体_GB2312" w:eastAsia="楷体_GB2312" w:cs="楷体_GB2312"/>
                <w:b/>
                <w:bCs/>
                <w:strike w:val="0"/>
                <w:dstrike w:val="0"/>
                <w:snapToGrid w:val="0"/>
                <w:color w:val="auto"/>
                <w:kern w:val="0"/>
                <w:sz w:val="20"/>
                <w:szCs w:val="20"/>
                <w:highlight w:val="none"/>
                <w:u w:val="none" w:color="auto"/>
                <w:shd w:val="clear" w:color="auto" w:fill="auto"/>
                <w:lang w:val="en-US" w:eastAsia="zh-CN" w:bidi="ar-SA"/>
              </w:rPr>
              <w:t>六、安全保障</w:t>
            </w:r>
          </w:p>
        </w:tc>
      </w:tr>
      <w:tr w14:paraId="065D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14D15AA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18</w:t>
            </w:r>
          </w:p>
        </w:tc>
        <w:tc>
          <w:tcPr>
            <w:tcW w:w="1998" w:type="pct"/>
            <w:gridSpan w:val="2"/>
            <w:shd w:val="clear" w:color="auto" w:fill="auto"/>
            <w:noWrap/>
            <w:vAlign w:val="center"/>
          </w:tcPr>
          <w:p w14:paraId="0F6B597B">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both"/>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粮食综合生产能力（万吨）</w:t>
            </w:r>
          </w:p>
        </w:tc>
        <w:tc>
          <w:tcPr>
            <w:tcW w:w="657" w:type="pct"/>
            <w:shd w:val="clear" w:color="auto" w:fill="auto"/>
            <w:noWrap/>
            <w:vAlign w:val="center"/>
          </w:tcPr>
          <w:p w14:paraId="59CFA97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2.03</w:t>
            </w:r>
          </w:p>
        </w:tc>
        <w:tc>
          <w:tcPr>
            <w:tcW w:w="672" w:type="pct"/>
            <w:shd w:val="clear" w:color="auto" w:fill="auto"/>
            <w:noWrap/>
            <w:vAlign w:val="center"/>
          </w:tcPr>
          <w:p w14:paraId="594A39A0">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稳定增长</w:t>
            </w:r>
          </w:p>
        </w:tc>
        <w:tc>
          <w:tcPr>
            <w:tcW w:w="732" w:type="pct"/>
            <w:shd w:val="clear" w:color="auto" w:fill="auto"/>
            <w:noWrap/>
            <w:vAlign w:val="center"/>
          </w:tcPr>
          <w:p w14:paraId="1D297B6E">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3B4E02FA">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en-US"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4EE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shd w:val="clear" w:color="auto" w:fill="auto"/>
            <w:noWrap/>
            <w:vAlign w:val="center"/>
          </w:tcPr>
          <w:p w14:paraId="1D828ED2">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default"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b w:val="0"/>
                <w:bCs w:val="0"/>
                <w:strike w:val="0"/>
                <w:dstrike w:val="0"/>
                <w:snapToGrid w:val="0"/>
                <w:color w:val="auto"/>
                <w:kern w:val="0"/>
                <w:sz w:val="20"/>
                <w:szCs w:val="20"/>
                <w:highlight w:val="none"/>
                <w:u w:val="none" w:color="auto"/>
                <w:lang w:val="en-US" w:eastAsia="zh-CN" w:bidi="ar-SA"/>
              </w:rPr>
              <w:t>19</w:t>
            </w:r>
          </w:p>
        </w:tc>
        <w:tc>
          <w:tcPr>
            <w:tcW w:w="1998" w:type="pct"/>
            <w:gridSpan w:val="2"/>
            <w:shd w:val="clear" w:color="auto" w:fill="auto"/>
            <w:noWrap/>
            <w:vAlign w:val="center"/>
          </w:tcPr>
          <w:p w14:paraId="34FF6F69">
            <w:pPr>
              <w:widowControl/>
              <w:spacing w:line="280" w:lineRule="exact"/>
              <w:ind w:firstLine="0" w:firstLineChars="0"/>
              <w:textAlignment w:val="cente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仿宋_GB2312"/>
                <w:color w:val="auto"/>
                <w:kern w:val="0"/>
                <w:sz w:val="20"/>
                <w:szCs w:val="20"/>
                <w:highlight w:val="none"/>
                <w:lang w:bidi="ar"/>
              </w:rPr>
              <w:t>能源综合生产能力（万吨标准煤）</w:t>
            </w:r>
          </w:p>
        </w:tc>
        <w:tc>
          <w:tcPr>
            <w:tcW w:w="657" w:type="pct"/>
            <w:shd w:val="clear" w:color="auto" w:fill="auto"/>
            <w:noWrap/>
            <w:vAlign w:val="center"/>
          </w:tcPr>
          <w:p w14:paraId="46AE5DE8">
            <w:pPr>
              <w:widowControl/>
              <w:spacing w:line="280" w:lineRule="exact"/>
              <w:ind w:firstLine="0" w:firstLineChars="0"/>
              <w:jc w:val="center"/>
              <w:textAlignment w:val="center"/>
              <w:rPr>
                <w:rFonts w:hint="eastAsia" w:cs="Times New Roman"/>
                <w:b w:val="0"/>
                <w:bCs w:val="0"/>
                <w:strike w:val="0"/>
                <w:dstrike w:val="0"/>
                <w:snapToGrid w:val="0"/>
                <w:color w:val="auto"/>
                <w:kern w:val="0"/>
                <w:sz w:val="20"/>
                <w:szCs w:val="20"/>
                <w:highlight w:val="none"/>
                <w:u w:val="none" w:color="auto"/>
                <w:lang w:val="en-US" w:eastAsia="zh-CN" w:bidi="ar-SA"/>
              </w:rPr>
            </w:pPr>
            <w:r>
              <w:rPr>
                <w:rFonts w:hint="eastAsia" w:eastAsia="仿宋_GB2312" w:cs="Times New Roman"/>
                <w:strike w:val="0"/>
                <w:dstrike w:val="0"/>
                <w:color w:val="auto"/>
                <w:sz w:val="20"/>
                <w:szCs w:val="20"/>
                <w:highlight w:val="none"/>
                <w:u w:val="none" w:color="auto"/>
                <w:lang w:val="en-US" w:eastAsia="zh-CN"/>
              </w:rPr>
              <w:t>22.85</w:t>
            </w:r>
          </w:p>
        </w:tc>
        <w:tc>
          <w:tcPr>
            <w:tcW w:w="672" w:type="pct"/>
            <w:shd w:val="clear" w:color="auto" w:fill="auto"/>
            <w:noWrap/>
            <w:vAlign w:val="center"/>
          </w:tcPr>
          <w:p w14:paraId="6BB94E06">
            <w:pPr>
              <w:widowControl/>
              <w:spacing w:line="280" w:lineRule="exact"/>
              <w:ind w:firstLine="0" w:firstLineChars="0"/>
              <w:jc w:val="center"/>
              <w:textAlignment w:val="cente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eastAsia" w:cs="Times New Roman"/>
                <w:strike w:val="0"/>
                <w:dstrike w:val="0"/>
                <w:color w:val="auto"/>
                <w:sz w:val="20"/>
                <w:szCs w:val="20"/>
                <w:highlight w:val="none"/>
                <w:u w:val="none" w:color="auto"/>
                <w:lang w:val="en-US" w:eastAsia="zh-CN"/>
              </w:rPr>
              <w:t>稳定增长</w:t>
            </w:r>
          </w:p>
        </w:tc>
        <w:tc>
          <w:tcPr>
            <w:tcW w:w="732" w:type="pct"/>
            <w:shd w:val="clear" w:color="auto" w:fill="auto"/>
            <w:noWrap/>
            <w:vAlign w:val="center"/>
          </w:tcPr>
          <w:p w14:paraId="472FF017">
            <w:pPr>
              <w:widowControl/>
              <w:spacing w:line="280" w:lineRule="exact"/>
              <w:ind w:left="0" w:leftChars="0" w:firstLine="0" w:firstLineChars="0"/>
              <w:jc w:val="center"/>
              <w:textAlignment w:val="center"/>
              <w:rPr>
                <w:rFonts w:hint="eastAsia" w:hAnsi="宋体" w:cs="仿宋_GB2312"/>
                <w:color w:val="auto"/>
                <w:sz w:val="20"/>
                <w:szCs w:val="20"/>
                <w:highlight w:val="none"/>
                <w:lang w:val="en-US" w:eastAsia="zh-CN"/>
              </w:rPr>
            </w:pPr>
            <w:r>
              <w:rPr>
                <w:rFonts w:hint="eastAsia"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w:t>
            </w:r>
          </w:p>
        </w:tc>
        <w:tc>
          <w:tcPr>
            <w:tcW w:w="574" w:type="pct"/>
            <w:shd w:val="clear" w:color="auto" w:fill="auto"/>
            <w:noWrap/>
            <w:vAlign w:val="center"/>
          </w:tcPr>
          <w:p w14:paraId="341EB698">
            <w:pPr>
              <w:widowControl/>
              <w:spacing w:line="280" w:lineRule="exact"/>
              <w:ind w:firstLine="0" w:firstLineChars="0"/>
              <w:jc w:val="center"/>
              <w:textAlignment w:val="cente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pPr>
            <w:r>
              <w:rPr>
                <w:rFonts w:hint="default" w:ascii="Times New Roman" w:hAnsi="Times New Roman" w:eastAsia="仿宋_GB2312" w:cs="Times New Roman"/>
                <w:b w:val="0"/>
                <w:bCs w:val="0"/>
                <w:strike w:val="0"/>
                <w:dstrike w:val="0"/>
                <w:snapToGrid w:val="0"/>
                <w:color w:val="auto"/>
                <w:kern w:val="0"/>
                <w:sz w:val="20"/>
                <w:szCs w:val="20"/>
                <w:highlight w:val="none"/>
                <w:u w:val="none" w:color="auto"/>
                <w:lang w:val="en-US" w:eastAsia="zh-CN" w:bidi="ar-SA"/>
              </w:rPr>
              <w:t>约束性</w:t>
            </w:r>
          </w:p>
        </w:tc>
      </w:tr>
      <w:tr w14:paraId="737B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64" w:type="pct"/>
            <w:shd w:val="clear" w:color="auto" w:fill="auto"/>
            <w:noWrap/>
            <w:vAlign w:val="center"/>
          </w:tcPr>
          <w:p w14:paraId="7A556F33">
            <w:pPr>
              <w:keepNext w:val="0"/>
              <w:keepLines w:val="0"/>
              <w:pageBreakBefore w:val="0"/>
              <w:widowControl/>
              <w:shd w:val="clea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val="0"/>
                <w:bCs w:val="0"/>
                <w:strike w:val="0"/>
                <w:dstrike w:val="0"/>
                <w:snapToGrid w:val="0"/>
                <w:color w:val="auto"/>
                <w:kern w:val="0"/>
                <w:sz w:val="20"/>
                <w:szCs w:val="20"/>
                <w:highlight w:val="none"/>
                <w:u w:val="none" w:color="auto"/>
                <w:lang w:val="en-US" w:eastAsia="zh-CN" w:bidi="ar-SA"/>
              </w:rPr>
            </w:pPr>
            <w:r>
              <w:rPr>
                <w:rFonts w:hint="eastAsia" w:asciiTheme="minorEastAsia" w:hAnsiTheme="minorEastAsia" w:eastAsiaTheme="minorEastAsia" w:cstheme="minorEastAsia"/>
                <w:b w:val="0"/>
                <w:bCs w:val="0"/>
                <w:strike w:val="0"/>
                <w:dstrike w:val="0"/>
                <w:snapToGrid w:val="0"/>
                <w:color w:val="auto"/>
                <w:kern w:val="0"/>
                <w:sz w:val="21"/>
                <w:szCs w:val="21"/>
                <w:highlight w:val="none"/>
                <w:u w:val="none" w:color="auto"/>
                <w:lang w:val="en-US" w:eastAsia="zh-CN" w:bidi="ar-SA"/>
              </w:rPr>
              <w:t>注：</w:t>
            </w:r>
          </w:p>
        </w:tc>
        <w:tc>
          <w:tcPr>
            <w:tcW w:w="4635" w:type="pct"/>
            <w:gridSpan w:val="6"/>
            <w:shd w:val="clear" w:color="auto" w:fill="auto"/>
            <w:noWrap/>
            <w:vAlign w:val="center"/>
          </w:tcPr>
          <w:p w14:paraId="78E69528">
            <w:pPr>
              <w:keepNext w:val="0"/>
              <w:keepLines w:val="0"/>
              <w:widowControl/>
              <w:numPr>
                <w:ilvl w:val="0"/>
                <w:numId w:val="0"/>
              </w:numPr>
              <w:suppressLineNumbers w:val="0"/>
              <w:shd w:val="clear"/>
              <w:kinsoku/>
              <w:spacing w:line="240" w:lineRule="auto"/>
              <w:ind w:firstLine="0" w:firstLineChars="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b w:val="0"/>
                <w:bCs w:val="0"/>
                <w:snapToGrid w:val="0"/>
                <w:color w:val="auto"/>
                <w:kern w:val="0"/>
                <w:sz w:val="21"/>
                <w:szCs w:val="21"/>
                <w:highlight w:val="none"/>
                <w:lang w:val="en-US" w:eastAsia="en-US" w:bidi="ar"/>
              </w:rPr>
              <w:t>1.</w:t>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 xml:space="preserve"> </w:t>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eastAsia="zh-CN" w:bidi="ar"/>
              </w:rPr>
              <w:t>内为累计数</w:t>
            </w:r>
            <w:r>
              <w:rPr>
                <w:rFonts w:hint="eastAsia" w:asciiTheme="minorEastAsia" w:hAnsiTheme="minorEastAsia" w:eastAsiaTheme="minorEastAsia" w:cstheme="minorEastAsia"/>
                <w:b w:val="0"/>
                <w:bCs w:val="0"/>
                <w:color w:val="auto"/>
                <w:kern w:val="0"/>
                <w:sz w:val="21"/>
                <w:szCs w:val="21"/>
                <w:highlight w:val="none"/>
                <w:lang w:bidi="ar"/>
              </w:rPr>
              <w:t>。</w:t>
            </w:r>
          </w:p>
          <w:p w14:paraId="134F26B6">
            <w:pPr>
              <w:keepNext w:val="0"/>
              <w:keepLines w:val="0"/>
              <w:widowControl/>
              <w:suppressLineNumbers w:val="0"/>
              <w:shd w:val="clear"/>
              <w:kinsoku/>
              <w:spacing w:line="240" w:lineRule="auto"/>
              <w:ind w:firstLine="0" w:firstLineChars="0"/>
              <w:jc w:val="left"/>
              <w:textAlignment w:val="center"/>
              <w:rPr>
                <w:rFonts w:hint="default" w:ascii="Times New Roman" w:hAnsi="Times New Roman" w:eastAsia="仿宋_GB2312" w:cs="Times New Roman"/>
                <w:b w:val="0"/>
                <w:bCs w:val="0"/>
                <w:i w:val="0"/>
                <w:iCs w:val="0"/>
                <w:strike w:val="0"/>
                <w:dstrike w:val="0"/>
                <w:snapToGrid w:val="0"/>
                <w:color w:val="auto"/>
                <w:kern w:val="0"/>
                <w:sz w:val="20"/>
                <w:szCs w:val="20"/>
                <w:highlight w:val="none"/>
                <w:u w:val="none" w:color="auto"/>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2.约束性指标目标按上级下达目标确定。</w:t>
            </w:r>
          </w:p>
        </w:tc>
      </w:tr>
    </w:tbl>
    <w:p w14:paraId="3B856DA8">
      <w:pPr>
        <w:shd w:val="clear"/>
        <w:kinsoku/>
        <w:ind w:firstLine="0" w:firstLineChars="0"/>
        <w:jc w:val="center"/>
        <w:rPr>
          <w:rFonts w:hint="eastAsia" w:ascii="黑体" w:hAnsi="黑体" w:eastAsia="黑体" w:cs="黑体"/>
          <w:color w:val="auto"/>
          <w:highlight w:val="none"/>
        </w:rPr>
      </w:pPr>
    </w:p>
    <w:p w14:paraId="286A78FA">
      <w:pPr>
        <w:shd w:val="clear"/>
        <w:tabs>
          <w:tab w:val="left" w:pos="4160"/>
        </w:tabs>
        <w:kinsoku/>
        <w:ind w:firstLine="0" w:firstLineChars="0"/>
        <w:jc w:val="center"/>
        <w:rPr>
          <w:rFonts w:hint="eastAsia" w:ascii="黑体" w:hAnsi="黑体" w:eastAsia="黑体" w:cs="黑体"/>
          <w:b/>
          <w:bCs/>
          <w:color w:val="auto"/>
          <w:sz w:val="36"/>
          <w:szCs w:val="36"/>
          <w:highlight w:val="none"/>
        </w:rPr>
      </w:pPr>
    </w:p>
    <w:p w14:paraId="2094AFF3">
      <w:pPr>
        <w:shd w:val="clear"/>
        <w:kinsoku/>
        <w:ind w:firstLine="0" w:firstLineChars="0"/>
        <w:jc w:val="center"/>
        <w:rPr>
          <w:rFonts w:hint="eastAsia" w:ascii="黑体" w:hAnsi="黑体" w:eastAsia="黑体" w:cs="黑体"/>
          <w:color w:val="auto"/>
          <w:highlight w:val="none"/>
        </w:rPr>
      </w:pPr>
    </w:p>
    <w:p w14:paraId="6146A367">
      <w:pPr>
        <w:shd w:val="clear"/>
        <w:kinsoku/>
        <w:ind w:firstLine="0" w:firstLineChars="0"/>
        <w:jc w:val="center"/>
        <w:rPr>
          <w:rFonts w:hint="eastAsia" w:ascii="黑体" w:hAnsi="黑体" w:eastAsia="黑体" w:cs="黑体"/>
          <w:color w:val="auto"/>
          <w:highlight w:val="none"/>
        </w:rPr>
        <w:sectPr>
          <w:footerReference r:id="rId11" w:type="default"/>
          <w:footerReference r:id="rId12" w:type="even"/>
          <w:pgSz w:w="11906" w:h="16838"/>
          <w:pgMar w:top="2098" w:right="1474" w:bottom="1984" w:left="1587" w:header="1020" w:footer="1417" w:gutter="0"/>
          <w:pgNumType w:fmt="numberInDash"/>
          <w:cols w:space="0" w:num="1"/>
          <w:rtlGutter w:val="0"/>
          <w:docGrid w:type="lines" w:linePitch="439" w:charSpace="0"/>
        </w:sectPr>
      </w:pPr>
    </w:p>
    <w:bookmarkEnd w:id="122"/>
    <w:bookmarkEnd w:id="123"/>
    <w:bookmarkEnd w:id="124"/>
    <w:bookmarkEnd w:id="125"/>
    <w:bookmarkEnd w:id="126"/>
    <w:p w14:paraId="0BDDBAEF">
      <w:pPr>
        <w:pStyle w:val="3"/>
        <w:shd w:val="clear"/>
        <w:kinsoku/>
        <w:bidi w:val="0"/>
        <w:rPr>
          <w:rFonts w:hint="default"/>
          <w:color w:val="auto"/>
          <w:highlight w:val="none"/>
          <w:lang w:val="en-US" w:eastAsia="zh-CN"/>
        </w:rPr>
      </w:pPr>
      <w:bookmarkStart w:id="235" w:name="_Toc21756"/>
      <w:bookmarkStart w:id="236" w:name="_Toc23499"/>
      <w:bookmarkStart w:id="237" w:name="_Toc16984"/>
      <w:bookmarkStart w:id="238" w:name="_Toc17744"/>
      <w:bookmarkStart w:id="239" w:name="_Toc18820"/>
      <w:bookmarkStart w:id="240" w:name="_Toc20536"/>
      <w:bookmarkStart w:id="241" w:name="_Toc22820"/>
      <w:bookmarkStart w:id="242" w:name="_Toc14346"/>
      <w:bookmarkStart w:id="243" w:name="_Toc15484"/>
      <w:bookmarkStart w:id="244" w:name="_Toc24122"/>
      <w:bookmarkStart w:id="245" w:name="_Toc11865"/>
      <w:bookmarkStart w:id="246" w:name="_Toc21330"/>
      <w:bookmarkStart w:id="247" w:name="_Toc4876"/>
      <w:bookmarkStart w:id="248" w:name="_Toc5729"/>
      <w:bookmarkStart w:id="249" w:name="_Toc15546"/>
      <w:bookmarkStart w:id="250" w:name="_Toc20834"/>
      <w:bookmarkStart w:id="251" w:name="_Toc17204"/>
      <w:bookmarkStart w:id="252" w:name="_Toc18169"/>
      <w:bookmarkStart w:id="253" w:name="_Toc25594"/>
      <w:bookmarkStart w:id="254" w:name="_Toc30023"/>
      <w:bookmarkStart w:id="255" w:name="_Toc29506"/>
      <w:bookmarkStart w:id="256" w:name="_Toc30987"/>
      <w:bookmarkStart w:id="257" w:name="_Toc15298"/>
      <w:bookmarkStart w:id="258" w:name="_Toc19212"/>
      <w:bookmarkStart w:id="259" w:name="_Toc21961"/>
      <w:bookmarkStart w:id="260" w:name="_Toc22241"/>
      <w:r>
        <w:rPr>
          <w:rFonts w:hint="eastAsia"/>
          <w:color w:val="auto"/>
          <w:highlight w:val="none"/>
          <w:lang w:val="en-US" w:eastAsia="zh-CN"/>
        </w:rPr>
        <w:t>第二章 深化融湾区域合作，打造区域联动发展新格局</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6D7932FD">
      <w:pPr>
        <w:shd w:val="clear"/>
        <w:kinsoku/>
        <w:bidi w:val="0"/>
        <w:rPr>
          <w:rFonts w:hint="eastAsia"/>
          <w:color w:val="auto"/>
          <w:highlight w:val="none"/>
          <w:lang w:val="en-US" w:eastAsia="zh-CN"/>
        </w:rPr>
      </w:pPr>
      <w:bookmarkStart w:id="261" w:name="_Toc12788"/>
      <w:bookmarkStart w:id="262" w:name="_Toc24779"/>
      <w:bookmarkStart w:id="263" w:name="_Toc24979"/>
      <w:bookmarkStart w:id="264" w:name="_Toc19097"/>
    </w:p>
    <w:p w14:paraId="69C98288">
      <w:pPr>
        <w:shd w:val="clear"/>
        <w:kinsoku/>
        <w:bidi w:val="0"/>
        <w:rPr>
          <w:rFonts w:hint="eastAsia"/>
          <w:color w:val="auto"/>
          <w:highlight w:val="none"/>
          <w:lang w:val="en-US" w:eastAsia="zh-CN"/>
        </w:rPr>
      </w:pPr>
      <w:r>
        <w:rPr>
          <w:rFonts w:hint="eastAsia"/>
          <w:color w:val="auto"/>
          <w:highlight w:val="none"/>
          <w:lang w:val="en-US" w:eastAsia="zh-CN"/>
        </w:rPr>
        <w:t>聚焦产业转移、交通提升、服务能力、寮浈共建等重点方向，提升产业承接能力、交通通达能力、政务服务能力、消费供给能力，助力打造全面融入湾区、链接华南华中的枢纽型节点城市，为实现全省区域协调发展贡献浈江力量。</w:t>
      </w:r>
    </w:p>
    <w:p w14:paraId="7F7B5F33">
      <w:pPr>
        <w:shd w:val="clear"/>
        <w:kinsoku/>
        <w:bidi w:val="0"/>
        <w:rPr>
          <w:rFonts w:hint="eastAsia"/>
          <w:color w:val="auto"/>
          <w:highlight w:val="none"/>
          <w:lang w:val="en-US" w:eastAsia="zh-CN"/>
        </w:rPr>
      </w:pPr>
    </w:p>
    <w:p w14:paraId="764A92DF">
      <w:pPr>
        <w:pStyle w:val="4"/>
        <w:shd w:val="clear"/>
        <w:kinsoku/>
        <w:bidi w:val="0"/>
        <w:rPr>
          <w:rFonts w:hint="eastAsia"/>
          <w:color w:val="auto"/>
          <w:highlight w:val="none"/>
          <w:lang w:val="en-US" w:eastAsia="zh-CN"/>
        </w:rPr>
      </w:pPr>
      <w:bookmarkStart w:id="265" w:name="_Toc22781"/>
      <w:bookmarkStart w:id="266" w:name="_Toc8784"/>
      <w:bookmarkStart w:id="267" w:name="_Toc31150"/>
      <w:bookmarkStart w:id="268" w:name="_Toc20845"/>
      <w:bookmarkStart w:id="269" w:name="_Toc109"/>
      <w:bookmarkStart w:id="270" w:name="_Toc9042"/>
      <w:bookmarkStart w:id="271" w:name="_Toc31846"/>
      <w:bookmarkStart w:id="272" w:name="_Toc14230"/>
      <w:bookmarkStart w:id="273" w:name="_Toc12821"/>
      <w:bookmarkStart w:id="274" w:name="_Toc8123"/>
      <w:bookmarkStart w:id="275" w:name="_Toc10949"/>
      <w:bookmarkStart w:id="276" w:name="_Toc23323"/>
      <w:bookmarkStart w:id="277" w:name="_Toc4271"/>
      <w:bookmarkStart w:id="278" w:name="_Toc7431"/>
      <w:bookmarkStart w:id="279" w:name="_Toc28407"/>
      <w:bookmarkStart w:id="280" w:name="_Toc20587"/>
      <w:bookmarkStart w:id="281" w:name="_Toc13893"/>
      <w:bookmarkStart w:id="282" w:name="_Toc29313"/>
      <w:r>
        <w:rPr>
          <w:rFonts w:hint="default"/>
          <w:color w:val="auto"/>
          <w:highlight w:val="none"/>
          <w:lang w:val="en-US" w:eastAsia="zh-CN"/>
        </w:rPr>
        <w:t>第</w:t>
      </w:r>
      <w:r>
        <w:rPr>
          <w:rFonts w:hint="eastAsia"/>
          <w:color w:val="auto"/>
          <w:highlight w:val="none"/>
          <w:lang w:val="en-US" w:eastAsia="zh-CN"/>
        </w:rPr>
        <w:t>一</w:t>
      </w:r>
      <w:r>
        <w:rPr>
          <w:rFonts w:hint="default"/>
          <w:color w:val="auto"/>
          <w:highlight w:val="none"/>
          <w:lang w:val="en-US" w:eastAsia="zh-CN"/>
        </w:rPr>
        <w:t xml:space="preserve">节 </w:t>
      </w:r>
      <w:r>
        <w:rPr>
          <w:rFonts w:hint="eastAsia"/>
          <w:color w:val="auto"/>
          <w:highlight w:val="none"/>
          <w:lang w:val="en-US" w:eastAsia="zh-CN"/>
        </w:rPr>
        <w:t>加快推进</w:t>
      </w:r>
      <w:bookmarkEnd w:id="261"/>
      <w:bookmarkEnd w:id="262"/>
      <w:bookmarkEnd w:id="263"/>
      <w:bookmarkEnd w:id="264"/>
      <w:bookmarkEnd w:id="265"/>
      <w:bookmarkEnd w:id="266"/>
      <w:bookmarkEnd w:id="267"/>
      <w:r>
        <w:rPr>
          <w:rFonts w:hint="eastAsia"/>
          <w:color w:val="auto"/>
          <w:highlight w:val="none"/>
          <w:lang w:val="en-US" w:eastAsia="zh-CN"/>
        </w:rPr>
        <w:t>产业融湾</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289A9BB">
      <w:pPr>
        <w:shd w:val="clear"/>
        <w:kinsoku/>
        <w:autoSpaceDE/>
        <w:autoSpaceDN/>
        <w:bidi w:val="0"/>
        <w:ind w:firstLine="643"/>
        <w:rPr>
          <w:rFonts w:hint="eastAsia" w:ascii="仿宋_GB2312" w:hAnsi="仿宋_GB2312" w:cs="仿宋_GB2312"/>
          <w:b w:val="0"/>
          <w:bCs w:val="0"/>
          <w:color w:val="auto"/>
          <w:highlight w:val="none"/>
          <w:lang w:val="en-US" w:eastAsia="zh-CN"/>
        </w:rPr>
      </w:pPr>
    </w:p>
    <w:p w14:paraId="0395600E">
      <w:pPr>
        <w:shd w:val="clear"/>
        <w:kinsoku/>
        <w:autoSpaceDE/>
        <w:autoSpaceDN/>
        <w:bidi w:val="0"/>
        <w:ind w:firstLine="643"/>
        <w:rPr>
          <w:rFonts w:hint="eastAsia" w:ascii="仿宋_GB2312" w:hAnsi="仿宋_GB2312" w:cs="仿宋_GB2312"/>
          <w:b w:val="0"/>
          <w:bCs w:val="0"/>
          <w:color w:val="auto"/>
          <w:highlight w:val="none"/>
          <w:lang w:val="en-US" w:eastAsia="zh-CN"/>
        </w:rPr>
      </w:pPr>
      <w:r>
        <w:rPr>
          <w:rFonts w:hint="eastAsia" w:ascii="仿宋_GB2312" w:hAnsi="仿宋_GB2312" w:cs="仿宋_GB2312"/>
          <w:b w:val="0"/>
          <w:bCs w:val="0"/>
          <w:color w:val="auto"/>
          <w:highlight w:val="none"/>
          <w:lang w:val="en-US" w:eastAsia="zh-CN"/>
        </w:rPr>
        <w:t>发挥浈江产业体系、土地要素、能源供给、文旅资源等优势，提升产业融湾效能。围绕产业定位，主动对接大湾区产业布局调整需求，聚焦先进装备制造、先进材料、低空经济、大数据等重点产业链，深入实施“强链、补链、延链”工程，增强产业有序转移承接能力。做精做特现代农业，以优质农产品供给湾区需求。依托韶州古城、红色文旅、商贸配套、康养休闲等独特优势，打造粤港澳大湾区康养旅游首选地。积极探索“湾区研发+浈江制造”“湾区孵化+浈江产业化”“湾区需求+浈江消费”等协同模式，实现与大湾区产业精准对接、深度融合。</w:t>
      </w:r>
    </w:p>
    <w:p w14:paraId="3679270F">
      <w:pPr>
        <w:shd w:val="clear"/>
        <w:kinsoku/>
        <w:autoSpaceDE/>
        <w:autoSpaceDN/>
        <w:bidi w:val="0"/>
        <w:ind w:firstLine="643"/>
        <w:rPr>
          <w:rFonts w:hint="eastAsia" w:ascii="仿宋_GB2312" w:hAnsi="仿宋_GB2312" w:cs="仿宋_GB2312"/>
          <w:b w:val="0"/>
          <w:bCs w:val="0"/>
          <w:color w:val="auto"/>
          <w:highlight w:val="none"/>
          <w:lang w:val="en-US" w:eastAsia="zh-CN"/>
        </w:rPr>
      </w:pPr>
    </w:p>
    <w:p w14:paraId="7B4B382E">
      <w:pPr>
        <w:pStyle w:val="4"/>
        <w:kinsoku/>
        <w:rPr>
          <w:rFonts w:hint="default"/>
          <w:color w:val="auto"/>
          <w:highlight w:val="none"/>
          <w:lang w:val="en-US" w:eastAsia="zh-CN"/>
        </w:rPr>
      </w:pPr>
      <w:bookmarkStart w:id="283" w:name="_Toc25499"/>
      <w:bookmarkStart w:id="284" w:name="_Toc5622"/>
      <w:bookmarkStart w:id="285" w:name="_Toc8044"/>
      <w:bookmarkStart w:id="286" w:name="_Toc22143"/>
      <w:bookmarkStart w:id="287" w:name="_Toc32741"/>
      <w:bookmarkStart w:id="288" w:name="_Toc10041"/>
      <w:bookmarkStart w:id="289" w:name="_Toc13645"/>
      <w:bookmarkStart w:id="290" w:name="_Toc19650"/>
      <w:bookmarkStart w:id="291" w:name="_Toc26081"/>
      <w:bookmarkStart w:id="292" w:name="_Toc24489"/>
      <w:bookmarkStart w:id="293" w:name="_Toc4551"/>
      <w:bookmarkStart w:id="294" w:name="_Toc2490"/>
      <w:bookmarkStart w:id="295" w:name="_Toc15949"/>
      <w:bookmarkStart w:id="296" w:name="_Toc8023"/>
      <w:bookmarkStart w:id="297" w:name="_Toc30697"/>
      <w:r>
        <w:rPr>
          <w:rFonts w:hint="eastAsia"/>
          <w:color w:val="auto"/>
          <w:highlight w:val="none"/>
          <w:lang w:val="en-US" w:eastAsia="zh-CN"/>
        </w:rPr>
        <w:t>第二节 持续完善交通融湾</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44239E67">
      <w:pPr>
        <w:shd w:val="clear"/>
        <w:kinsoku/>
        <w:bidi w:val="0"/>
        <w:rPr>
          <w:rFonts w:hint="eastAsia" w:ascii="BatangChe" w:hAnsi="BatangChe" w:cs="仿宋_GB2312"/>
          <w:color w:val="auto"/>
          <w:sz w:val="32"/>
          <w:szCs w:val="32"/>
          <w:highlight w:val="none"/>
          <w:lang w:val="en-US" w:eastAsia="zh-CN"/>
        </w:rPr>
      </w:pPr>
    </w:p>
    <w:p w14:paraId="33141CFB">
      <w:pPr>
        <w:shd w:val="clear"/>
        <w:kinsoku/>
        <w:bidi w:val="0"/>
        <w:rPr>
          <w:rFonts w:hint="eastAsia" w:ascii="BatangChe" w:hAnsi="BatangChe" w:eastAsia="仿宋_GB2312" w:cs="仿宋_GB2312"/>
          <w:color w:val="auto"/>
          <w:sz w:val="32"/>
          <w:szCs w:val="32"/>
          <w:highlight w:val="none"/>
        </w:rPr>
      </w:pPr>
      <w:r>
        <w:rPr>
          <w:rFonts w:hint="eastAsia" w:ascii="BatangChe" w:hAnsi="BatangChe" w:cs="仿宋_GB2312"/>
          <w:color w:val="auto"/>
          <w:sz w:val="32"/>
          <w:szCs w:val="32"/>
          <w:highlight w:val="none"/>
          <w:lang w:val="en-US" w:eastAsia="zh-CN"/>
        </w:rPr>
        <w:t>依托京广铁路、赣韶铁路骨架，增强物流站点货物吞吐能力，提升浈江海铁联运服务能级。</w:t>
      </w:r>
      <w:r>
        <w:rPr>
          <w:rFonts w:hint="eastAsia" w:ascii="BatangChe" w:hAnsi="BatangChe" w:eastAsia="仿宋_GB2312" w:cs="仿宋_GB2312"/>
          <w:color w:val="auto"/>
          <w:sz w:val="32"/>
          <w:szCs w:val="32"/>
          <w:highlight w:val="none"/>
        </w:rPr>
        <w:t>积极配合省市重大交通项目建设，协助推进京港澳高速公路韶关南段改扩建、韶关北环高速公路黄浪水互通等工程，打通连接粤港澳大湾区核心城市的快速通道，强化</w:t>
      </w:r>
      <w:r>
        <w:rPr>
          <w:rFonts w:hint="eastAsia" w:ascii="BatangChe" w:hAnsi="BatangChe" w:cs="仿宋_GB2312"/>
          <w:color w:val="auto"/>
          <w:sz w:val="32"/>
          <w:szCs w:val="32"/>
          <w:highlight w:val="none"/>
          <w:lang w:val="en-US" w:eastAsia="zh-CN"/>
        </w:rPr>
        <w:t>区域公路</w:t>
      </w:r>
      <w:r>
        <w:rPr>
          <w:rFonts w:hint="eastAsia" w:ascii="BatangChe" w:hAnsi="BatangChe" w:eastAsia="仿宋_GB2312" w:cs="仿宋_GB2312"/>
          <w:color w:val="auto"/>
          <w:sz w:val="32"/>
          <w:szCs w:val="32"/>
          <w:highlight w:val="none"/>
        </w:rPr>
        <w:t>网络支撑。</w:t>
      </w:r>
      <w:r>
        <w:rPr>
          <w:rFonts w:hint="eastAsia" w:ascii="BatangChe" w:hAnsi="BatangChe" w:cs="仿宋_GB2312"/>
          <w:color w:val="auto"/>
          <w:sz w:val="32"/>
          <w:szCs w:val="32"/>
          <w:highlight w:val="none"/>
          <w:lang w:val="en-US" w:eastAsia="zh-CN"/>
        </w:rPr>
        <w:t>利用毗邻丹霞机场优势，发展民用航空培训，建设航空物流基地。</w:t>
      </w:r>
      <w:r>
        <w:rPr>
          <w:rFonts w:hint="eastAsia" w:ascii="BatangChe" w:hAnsi="BatangChe" w:eastAsia="仿宋_GB2312" w:cs="仿宋_GB2312"/>
          <w:color w:val="auto"/>
          <w:sz w:val="32"/>
          <w:szCs w:val="32"/>
          <w:highlight w:val="none"/>
        </w:rPr>
        <w:t>以北江航道扩能升级上延工程为契机，实施桥梁“拆四建三”重大项目，</w:t>
      </w:r>
      <w:r>
        <w:rPr>
          <w:rFonts w:hint="eastAsia" w:ascii="BatangChe" w:hAnsi="BatangChe" w:cs="仿宋_GB2312"/>
          <w:color w:val="auto"/>
          <w:sz w:val="32"/>
          <w:szCs w:val="32"/>
          <w:highlight w:val="none"/>
          <w:lang w:val="en-US" w:eastAsia="zh-CN"/>
        </w:rPr>
        <w:t>提升北江航道航运等级。</w:t>
      </w:r>
      <w:r>
        <w:rPr>
          <w:rFonts w:hint="eastAsia" w:ascii="BatangChe" w:hAnsi="BatangChe" w:eastAsia="仿宋_GB2312" w:cs="仿宋_GB2312"/>
          <w:color w:val="auto"/>
          <w:sz w:val="32"/>
          <w:szCs w:val="32"/>
          <w:highlight w:val="none"/>
        </w:rPr>
        <w:t>整合铁路、公路、</w:t>
      </w:r>
      <w:r>
        <w:rPr>
          <w:rFonts w:hint="eastAsia" w:ascii="BatangChe" w:hAnsi="BatangChe" w:cs="仿宋_GB2312"/>
          <w:color w:val="auto"/>
          <w:sz w:val="32"/>
          <w:szCs w:val="32"/>
          <w:highlight w:val="none"/>
          <w:lang w:val="en-US" w:eastAsia="zh-CN"/>
        </w:rPr>
        <w:t>航空、</w:t>
      </w:r>
      <w:r>
        <w:rPr>
          <w:rFonts w:hint="eastAsia" w:ascii="BatangChe" w:hAnsi="BatangChe" w:eastAsia="仿宋_GB2312" w:cs="仿宋_GB2312"/>
          <w:color w:val="auto"/>
          <w:sz w:val="32"/>
          <w:szCs w:val="32"/>
          <w:highlight w:val="none"/>
        </w:rPr>
        <w:t>水运资源，构建“公铁协同、</w:t>
      </w:r>
      <w:r>
        <w:rPr>
          <w:rFonts w:hint="eastAsia" w:ascii="BatangChe" w:hAnsi="BatangChe" w:cs="仿宋_GB2312"/>
          <w:color w:val="auto"/>
          <w:sz w:val="32"/>
          <w:szCs w:val="32"/>
          <w:highlight w:val="none"/>
          <w:lang w:val="en-US" w:eastAsia="zh-CN"/>
        </w:rPr>
        <w:t>空</w:t>
      </w:r>
      <w:r>
        <w:rPr>
          <w:rFonts w:hint="eastAsia" w:ascii="BatangChe" w:hAnsi="BatangChe" w:eastAsia="仿宋_GB2312" w:cs="仿宋_GB2312"/>
          <w:color w:val="auto"/>
          <w:sz w:val="32"/>
          <w:szCs w:val="32"/>
          <w:highlight w:val="none"/>
        </w:rPr>
        <w:t>水为辅”的</w:t>
      </w:r>
      <w:r>
        <w:rPr>
          <w:rFonts w:hint="eastAsia" w:ascii="BatangChe" w:hAnsi="BatangChe" w:cs="仿宋_GB2312"/>
          <w:color w:val="auto"/>
          <w:sz w:val="32"/>
          <w:szCs w:val="32"/>
          <w:highlight w:val="none"/>
          <w:lang w:val="en-US" w:eastAsia="zh-CN"/>
        </w:rPr>
        <w:t>立体</w:t>
      </w:r>
      <w:r>
        <w:rPr>
          <w:rFonts w:hint="eastAsia" w:ascii="BatangChe" w:hAnsi="BatangChe" w:eastAsia="仿宋_GB2312" w:cs="仿宋_GB2312"/>
          <w:color w:val="auto"/>
          <w:sz w:val="32"/>
          <w:szCs w:val="32"/>
          <w:highlight w:val="none"/>
        </w:rPr>
        <w:t>联运体系，降低物流成本，提升区域通达性。</w:t>
      </w:r>
    </w:p>
    <w:p w14:paraId="1A97FD84">
      <w:pPr>
        <w:shd w:val="clear"/>
        <w:kinsoku/>
        <w:bidi w:val="0"/>
        <w:rPr>
          <w:rFonts w:hint="default" w:ascii="BatangChe" w:hAnsi="BatangChe" w:eastAsia="仿宋_GB2312" w:cs="仿宋_GB2312"/>
          <w:color w:val="auto"/>
          <w:sz w:val="32"/>
          <w:szCs w:val="32"/>
          <w:highlight w:val="none"/>
          <w:lang w:val="en-US" w:eastAsia="zh-CN"/>
        </w:rPr>
      </w:pPr>
    </w:p>
    <w:p w14:paraId="0A00AEB2">
      <w:pPr>
        <w:pStyle w:val="4"/>
        <w:kinsoku/>
        <w:rPr>
          <w:rFonts w:hint="default"/>
          <w:color w:val="auto"/>
          <w:highlight w:val="none"/>
          <w:lang w:val="en-US" w:eastAsia="zh-CN"/>
        </w:rPr>
      </w:pPr>
      <w:bookmarkStart w:id="298" w:name="_Toc20300"/>
      <w:bookmarkStart w:id="299" w:name="_Toc12031"/>
      <w:bookmarkStart w:id="300" w:name="_Toc11618"/>
      <w:bookmarkStart w:id="301" w:name="_Toc25378"/>
      <w:bookmarkStart w:id="302" w:name="_Toc5974"/>
      <w:bookmarkStart w:id="303" w:name="_Toc17530"/>
      <w:bookmarkStart w:id="304" w:name="_Toc762"/>
      <w:bookmarkStart w:id="305" w:name="_Toc6580"/>
      <w:bookmarkStart w:id="306" w:name="_Toc10400"/>
      <w:bookmarkStart w:id="307" w:name="_Toc21616"/>
      <w:bookmarkStart w:id="308" w:name="_Toc16346"/>
      <w:bookmarkStart w:id="309" w:name="_Toc25616"/>
      <w:bookmarkStart w:id="310" w:name="_Toc10517"/>
      <w:bookmarkStart w:id="311" w:name="_Toc4978"/>
      <w:bookmarkStart w:id="312" w:name="_Toc3535"/>
      <w:r>
        <w:rPr>
          <w:rFonts w:hint="eastAsia"/>
          <w:color w:val="auto"/>
          <w:highlight w:val="none"/>
          <w:lang w:val="en-US" w:eastAsia="zh-CN"/>
        </w:rPr>
        <w:t>第三节 主动对接机制融湾</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42A44ECA">
      <w:pPr>
        <w:shd w:val="clear"/>
        <w:kinsoku/>
        <w:bidi w:val="0"/>
        <w:rPr>
          <w:rFonts w:hint="eastAsia"/>
          <w:b w:val="0"/>
          <w:bCs w:val="0"/>
          <w:color w:val="auto"/>
          <w:highlight w:val="none"/>
          <w:lang w:val="en-US" w:eastAsia="zh-CN"/>
        </w:rPr>
      </w:pPr>
    </w:p>
    <w:p w14:paraId="423D385B">
      <w:pPr>
        <w:shd w:val="clear"/>
        <w:kinsoku/>
        <w:bidi w:val="0"/>
        <w:rPr>
          <w:rFonts w:hint="default"/>
          <w:b w:val="0"/>
          <w:bCs w:val="0"/>
          <w:color w:val="auto"/>
          <w:highlight w:val="none"/>
          <w:lang w:val="en-US" w:eastAsia="zh-CN"/>
        </w:rPr>
      </w:pPr>
      <w:r>
        <w:rPr>
          <w:rFonts w:hint="eastAsia"/>
          <w:b w:val="0"/>
          <w:bCs w:val="0"/>
          <w:color w:val="auto"/>
          <w:highlight w:val="none"/>
          <w:lang w:val="en-US" w:eastAsia="zh-CN"/>
        </w:rPr>
        <w:t>深化产业共建双向赋能，</w:t>
      </w:r>
      <w:r>
        <w:rPr>
          <w:rFonts w:hint="eastAsia"/>
          <w:color w:val="auto"/>
          <w:highlight w:val="none"/>
          <w:lang w:val="en-US" w:eastAsia="zh-CN"/>
        </w:rPr>
        <w:t>加快推进寮浈共建项目建设，全力推动共建标准厂房二期项目招商去化，加快实施寮浈数智特色综合体项目建设，深化两地园区资源共享、优势互补、合作共赢。支持浈江企业在东莞设立前沿招商、研发机构，主动“入湾”对接资金、技术、人才等优质资源。引导东莞要素资源向浈江花卉、畜禽、水产等现代农业集聚，合作共建生态农产品“生产—加工—销售”城乡互补一体化产业链。高质量运营浈江（寮步）科创人才飞地，为区内企业在大湾区设立研发中心、开拓市场提供人才支撑和服务保障，构建“湾企进山、山企入湾”的双向互动发展格局。</w:t>
      </w:r>
      <w:r>
        <w:rPr>
          <w:rFonts w:hint="eastAsia"/>
          <w:b w:val="0"/>
          <w:bCs w:val="0"/>
          <w:color w:val="auto"/>
          <w:highlight w:val="none"/>
          <w:lang w:val="en-US" w:eastAsia="zh-CN"/>
        </w:rPr>
        <w:t>全面学习东莞政务服务改革经验，推动“一件事”集成办从有到优，“跨域通办”同事同标，提升湾区服务“软联通”能力。</w:t>
      </w:r>
    </w:p>
    <w:p w14:paraId="24F7780B">
      <w:pPr>
        <w:kinsoku/>
        <w:ind w:firstLine="0" w:firstLineChars="0"/>
        <w:rPr>
          <w:rFonts w:hint="eastAsia"/>
          <w:color w:val="auto"/>
          <w:highlight w:val="none"/>
          <w:lang w:val="en-US" w:eastAsia="zh-CN"/>
        </w:rPr>
      </w:pPr>
      <w:bookmarkStart w:id="313" w:name="_Toc13302"/>
    </w:p>
    <w:p w14:paraId="7FA3896A">
      <w:pPr>
        <w:kinsoku/>
        <w:ind w:firstLine="0" w:firstLineChars="0"/>
        <w:rPr>
          <w:rFonts w:hint="eastAsia"/>
          <w:color w:val="auto"/>
          <w:highlight w:val="none"/>
          <w:lang w:val="en-US" w:eastAsia="zh-CN"/>
        </w:rPr>
        <w:sectPr>
          <w:headerReference r:id="rId13" w:type="default"/>
          <w:footerReference r:id="rId14" w:type="default"/>
          <w:pgSz w:w="11906" w:h="16839"/>
          <w:pgMar w:top="2098" w:right="1474" w:bottom="1984" w:left="1587" w:header="1020" w:footer="1417" w:gutter="0"/>
          <w:pgNumType w:fmt="numberInDash"/>
          <w:cols w:space="720" w:num="1"/>
          <w:rtlGutter w:val="0"/>
        </w:sectPr>
      </w:pPr>
    </w:p>
    <w:p w14:paraId="36AD0012">
      <w:pPr>
        <w:pStyle w:val="3"/>
        <w:shd w:val="clear"/>
        <w:kinsoku/>
        <w:bidi w:val="0"/>
        <w:rPr>
          <w:rFonts w:hint="eastAsia"/>
          <w:b w:val="0"/>
          <w:bCs/>
          <w:color w:val="auto"/>
          <w:highlight w:val="none"/>
          <w:lang w:val="en-US" w:eastAsia="zh-CN"/>
        </w:rPr>
      </w:pPr>
      <w:bookmarkStart w:id="314" w:name="_Toc5051"/>
      <w:bookmarkStart w:id="315" w:name="_Toc30394"/>
      <w:bookmarkStart w:id="316" w:name="_Toc12768"/>
      <w:bookmarkStart w:id="317" w:name="_Toc6102"/>
      <w:bookmarkStart w:id="318" w:name="_Toc20514"/>
      <w:bookmarkStart w:id="319" w:name="_Toc14316"/>
      <w:bookmarkStart w:id="320" w:name="_Toc8785"/>
      <w:bookmarkStart w:id="321" w:name="_Toc16029"/>
      <w:bookmarkStart w:id="322" w:name="_Toc25694"/>
      <w:bookmarkStart w:id="323" w:name="_Toc908"/>
      <w:bookmarkStart w:id="324" w:name="_Toc25879"/>
      <w:bookmarkStart w:id="325" w:name="_Toc30820"/>
      <w:bookmarkStart w:id="326" w:name="_Toc7543"/>
      <w:bookmarkStart w:id="327" w:name="_Toc10933"/>
      <w:bookmarkStart w:id="328" w:name="_Toc3718"/>
      <w:bookmarkStart w:id="329" w:name="_Toc6681"/>
      <w:bookmarkStart w:id="330" w:name="_Toc15270"/>
      <w:r>
        <w:rPr>
          <w:rFonts w:hint="eastAsia"/>
          <w:b w:val="0"/>
          <w:bCs/>
          <w:color w:val="auto"/>
          <w:highlight w:val="none"/>
          <w:lang w:val="en-US" w:eastAsia="zh-CN"/>
        </w:rPr>
        <w:t xml:space="preserve">第三章 </w:t>
      </w:r>
      <w:bookmarkEnd w:id="257"/>
      <w:bookmarkEnd w:id="258"/>
      <w:bookmarkEnd w:id="259"/>
      <w:bookmarkEnd w:id="260"/>
      <w:bookmarkStart w:id="331" w:name="_Toc28052"/>
      <w:r>
        <w:rPr>
          <w:rFonts w:hint="eastAsia"/>
          <w:b w:val="0"/>
          <w:bCs/>
          <w:color w:val="auto"/>
          <w:highlight w:val="none"/>
          <w:lang w:val="en-US" w:eastAsia="zh-CN"/>
        </w:rPr>
        <w:t>建设现代化产业体系，打造新型工业化战略重地</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bookmarkEnd w:id="331"/>
    <w:p w14:paraId="137F5E86">
      <w:pPr>
        <w:shd w:val="clear"/>
        <w:kinsoku/>
        <w:bidi w:val="0"/>
        <w:rPr>
          <w:rFonts w:hint="eastAsia" w:cs="仿宋_GB2312"/>
          <w:strike w:val="0"/>
          <w:dstrike w:val="0"/>
          <w:color w:val="auto"/>
          <w:sz w:val="32"/>
          <w:szCs w:val="32"/>
          <w:highlight w:val="none"/>
          <w:lang w:val="en-US" w:eastAsia="zh-CN"/>
        </w:rPr>
      </w:pPr>
      <w:bookmarkStart w:id="332" w:name="_Toc28749"/>
      <w:bookmarkStart w:id="333" w:name="_Toc17779"/>
    </w:p>
    <w:p w14:paraId="2C37EE88">
      <w:pPr>
        <w:shd w:val="clear"/>
        <w:kinsoku/>
        <w:bidi w:val="0"/>
        <w:rPr>
          <w:rFonts w:hint="eastAsia" w:ascii="Times New Roman" w:hAnsi="Times New Roman" w:eastAsia="仿宋_GB2312" w:cs="仿宋_GB2312"/>
          <w:strike w:val="0"/>
          <w:dstrike w:val="0"/>
          <w:color w:val="auto"/>
          <w:sz w:val="32"/>
          <w:szCs w:val="32"/>
          <w:highlight w:val="none"/>
          <w:lang w:val="en-US" w:eastAsia="zh-CN"/>
        </w:rPr>
      </w:pPr>
      <w:r>
        <w:rPr>
          <w:rFonts w:hint="eastAsia" w:cs="仿宋_GB2312"/>
          <w:strike w:val="0"/>
          <w:dstrike w:val="0"/>
          <w:color w:val="auto"/>
          <w:sz w:val="32"/>
          <w:szCs w:val="32"/>
          <w:highlight w:val="none"/>
          <w:lang w:val="en-US" w:eastAsia="zh-CN"/>
        </w:rPr>
        <w:t>围绕打造</w:t>
      </w:r>
      <w:r>
        <w:rPr>
          <w:rFonts w:hint="eastAsia" w:ascii="Times New Roman" w:hAnsi="Times New Roman" w:eastAsia="仿宋_GB2312" w:cs="仿宋_GB2312"/>
          <w:strike w:val="0"/>
          <w:dstrike w:val="0"/>
          <w:color w:val="auto"/>
          <w:sz w:val="32"/>
          <w:szCs w:val="32"/>
          <w:highlight w:val="none"/>
          <w:lang w:val="en-US" w:eastAsia="zh-CN"/>
        </w:rPr>
        <w:t>韶关新型工业化战略重地</w:t>
      </w:r>
      <w:r>
        <w:rPr>
          <w:rFonts w:hint="eastAsia" w:cs="仿宋_GB2312"/>
          <w:strike w:val="0"/>
          <w:dstrike w:val="0"/>
          <w:color w:val="auto"/>
          <w:sz w:val="32"/>
          <w:szCs w:val="32"/>
          <w:highlight w:val="none"/>
          <w:lang w:val="en-US" w:eastAsia="zh-CN"/>
        </w:rPr>
        <w:t>的发展定位</w:t>
      </w:r>
      <w:r>
        <w:rPr>
          <w:rFonts w:hint="eastAsia" w:ascii="Times New Roman" w:hAnsi="Times New Roman" w:eastAsia="仿宋_GB2312" w:cs="仿宋_GB2312"/>
          <w:strike w:val="0"/>
          <w:dstrike w:val="0"/>
          <w:color w:val="auto"/>
          <w:sz w:val="32"/>
          <w:szCs w:val="32"/>
          <w:highlight w:val="none"/>
          <w:lang w:val="en-US" w:eastAsia="zh-CN"/>
        </w:rPr>
        <w:t>，坚持实体经济为本、制造业当家</w:t>
      </w:r>
      <w:r>
        <w:rPr>
          <w:rFonts w:hint="eastAsia" w:cs="仿宋_GB2312"/>
          <w:strike w:val="0"/>
          <w:dstrike w:val="0"/>
          <w:color w:val="auto"/>
          <w:sz w:val="32"/>
          <w:szCs w:val="32"/>
          <w:highlight w:val="none"/>
          <w:lang w:val="en-US" w:eastAsia="zh-CN"/>
        </w:rPr>
        <w:t>。</w:t>
      </w:r>
      <w:r>
        <w:rPr>
          <w:rFonts w:hint="eastAsia" w:ascii="Times New Roman" w:hAnsi="Times New Roman" w:eastAsia="仿宋_GB2312" w:cs="仿宋_GB2312"/>
          <w:strike w:val="0"/>
          <w:dstrike w:val="0"/>
          <w:color w:val="auto"/>
          <w:sz w:val="32"/>
          <w:szCs w:val="32"/>
          <w:highlight w:val="none"/>
          <w:lang w:val="en-US" w:eastAsia="zh-CN"/>
        </w:rPr>
        <w:t>锚定智能化、绿色化、融合化方向，</w:t>
      </w:r>
      <w:r>
        <w:rPr>
          <w:rFonts w:hint="eastAsia" w:cs="仿宋_GB2312"/>
          <w:strike w:val="0"/>
          <w:dstrike w:val="0"/>
          <w:color w:val="auto"/>
          <w:sz w:val="32"/>
          <w:szCs w:val="32"/>
          <w:highlight w:val="none"/>
          <w:lang w:val="en-US" w:eastAsia="zh-CN"/>
        </w:rPr>
        <w:t>大力发展</w:t>
      </w:r>
      <w:r>
        <w:rPr>
          <w:rFonts w:hint="eastAsia" w:ascii="Times New Roman" w:hAnsi="Times New Roman" w:cs="仿宋_GB2312"/>
          <w:strike w:val="0"/>
          <w:dstrike w:val="0"/>
          <w:color w:val="auto"/>
          <w:sz w:val="32"/>
          <w:szCs w:val="32"/>
          <w:highlight w:val="none"/>
          <w:lang w:val="en-US" w:eastAsia="zh-CN"/>
        </w:rPr>
        <w:t>“</w:t>
      </w:r>
      <w:r>
        <w:rPr>
          <w:rFonts w:hint="eastAsia" w:ascii="Times New Roman" w:hAnsi="Times New Roman" w:cs="Times New Roman"/>
          <w:strike w:val="0"/>
          <w:dstrike w:val="0"/>
          <w:color w:val="auto"/>
          <w:sz w:val="32"/>
          <w:szCs w:val="32"/>
          <w:highlight w:val="none"/>
          <w:lang w:val="en-US" w:eastAsia="zh-CN"/>
        </w:rPr>
        <w:t>1</w:t>
      </w:r>
      <w:r>
        <w:rPr>
          <w:rFonts w:hint="eastAsia" w:ascii="Times New Roman" w:hAnsi="Times New Roman"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3</w:t>
      </w:r>
      <w:r>
        <w:rPr>
          <w:rFonts w:hint="eastAsia" w:cs="仿宋_GB2312"/>
          <w:strike w:val="0"/>
          <w:dstrike w:val="0"/>
          <w:color w:val="auto"/>
          <w:sz w:val="32"/>
          <w:szCs w:val="32"/>
          <w:highlight w:val="none"/>
          <w:lang w:val="en-US" w:eastAsia="zh-CN"/>
        </w:rPr>
        <w:t>+</w:t>
      </w:r>
      <w:r>
        <w:rPr>
          <w:rFonts w:hint="eastAsia" w:cs="Times New Roman"/>
          <w:strike w:val="0"/>
          <w:dstrike w:val="0"/>
          <w:color w:val="auto"/>
          <w:sz w:val="32"/>
          <w:szCs w:val="32"/>
          <w:highlight w:val="none"/>
          <w:lang w:val="en-US" w:eastAsia="zh-CN"/>
        </w:rPr>
        <w:t>4</w:t>
      </w:r>
      <w:r>
        <w:rPr>
          <w:rFonts w:hint="eastAsia" w:ascii="Times New Roman" w:hAnsi="Times New Roman" w:cs="仿宋_GB2312"/>
          <w:strike w:val="0"/>
          <w:dstrike w:val="0"/>
          <w:color w:val="auto"/>
          <w:sz w:val="32"/>
          <w:szCs w:val="32"/>
          <w:highlight w:val="none"/>
          <w:lang w:val="en-US" w:eastAsia="zh-CN"/>
        </w:rPr>
        <w:t>”</w:t>
      </w:r>
      <w:r>
        <w:rPr>
          <w:rFonts w:hint="eastAsia" w:cs="仿宋_GB2312"/>
          <w:strike w:val="0"/>
          <w:dstrike w:val="0"/>
          <w:color w:val="auto"/>
          <w:sz w:val="32"/>
          <w:szCs w:val="32"/>
          <w:highlight w:val="none"/>
          <w:lang w:val="en-US" w:eastAsia="zh-CN"/>
        </w:rPr>
        <w:t>产业格局</w:t>
      </w:r>
      <w:r>
        <w:rPr>
          <w:rFonts w:hint="eastAsia" w:ascii="Times New Roman" w:hAnsi="Times New Roman" w:cs="仿宋_GB2312"/>
          <w:strike w:val="0"/>
          <w:dstrike w:val="0"/>
          <w:color w:val="auto"/>
          <w:sz w:val="32"/>
          <w:szCs w:val="32"/>
          <w:highlight w:val="none"/>
          <w:lang w:val="en-US" w:eastAsia="zh-CN"/>
        </w:rPr>
        <w:t>，</w:t>
      </w:r>
      <w:r>
        <w:rPr>
          <w:rFonts w:hint="eastAsia" w:cs="仿宋_GB2312"/>
          <w:strike w:val="0"/>
          <w:dstrike w:val="0"/>
          <w:color w:val="auto"/>
          <w:sz w:val="32"/>
          <w:szCs w:val="32"/>
          <w:highlight w:val="none"/>
          <w:lang w:val="en-US" w:eastAsia="zh-CN"/>
        </w:rPr>
        <w:t>重点培育大数据首位产业，构建先进装备制造、有色金属新材料、新能源电力三大百亿级产业集群，强化四大平台建设，</w:t>
      </w:r>
      <w:r>
        <w:rPr>
          <w:rFonts w:hint="eastAsia" w:ascii="Times New Roman" w:hAnsi="Times New Roman" w:eastAsia="仿宋_GB2312" w:cs="仿宋_GB2312"/>
          <w:strike w:val="0"/>
          <w:dstrike w:val="0"/>
          <w:color w:val="auto"/>
          <w:sz w:val="32"/>
          <w:szCs w:val="32"/>
          <w:highlight w:val="none"/>
          <w:lang w:val="en-US" w:eastAsia="zh-CN"/>
        </w:rPr>
        <w:t>力争“十五五”末期，规上工业产值</w:t>
      </w:r>
      <w:r>
        <w:rPr>
          <w:rFonts w:hint="eastAsia" w:cs="仿宋_GB2312"/>
          <w:strike w:val="0"/>
          <w:dstrike w:val="0"/>
          <w:color w:val="auto"/>
          <w:sz w:val="32"/>
          <w:szCs w:val="32"/>
          <w:highlight w:val="none"/>
          <w:lang w:val="en-US" w:eastAsia="zh-CN"/>
        </w:rPr>
        <w:t>突破</w:t>
      </w:r>
      <w:r>
        <w:rPr>
          <w:rFonts w:hint="eastAsia" w:ascii="Times New Roman" w:hAnsi="Times New Roman" w:cs="Times New Roman"/>
          <w:strike w:val="0"/>
          <w:dstrike w:val="0"/>
          <w:color w:val="auto"/>
          <w:sz w:val="32"/>
          <w:szCs w:val="32"/>
          <w:highlight w:val="none"/>
          <w:lang w:val="en-US" w:eastAsia="zh-CN"/>
        </w:rPr>
        <w:t>300</w:t>
      </w:r>
      <w:r>
        <w:rPr>
          <w:rFonts w:hint="eastAsia" w:ascii="Times New Roman" w:hAnsi="Times New Roman" w:eastAsia="仿宋_GB2312" w:cs="仿宋_GB2312"/>
          <w:strike w:val="0"/>
          <w:dstrike w:val="0"/>
          <w:color w:val="auto"/>
          <w:sz w:val="32"/>
          <w:szCs w:val="32"/>
          <w:highlight w:val="none"/>
          <w:lang w:val="en-US" w:eastAsia="zh-CN"/>
        </w:rPr>
        <w:t>亿元。</w:t>
      </w:r>
    </w:p>
    <w:p w14:paraId="785C8606">
      <w:pPr>
        <w:shd w:val="clear"/>
        <w:kinsoku/>
        <w:bidi w:val="0"/>
        <w:rPr>
          <w:rFonts w:hint="eastAsia" w:ascii="Times New Roman" w:hAnsi="Times New Roman" w:eastAsia="仿宋_GB2312" w:cs="仿宋_GB2312"/>
          <w:strike w:val="0"/>
          <w:dstrike w:val="0"/>
          <w:color w:val="auto"/>
          <w:sz w:val="32"/>
          <w:szCs w:val="32"/>
          <w:highlight w:val="none"/>
          <w:lang w:val="en-US" w:eastAsia="zh-CN"/>
        </w:rPr>
      </w:pPr>
    </w:p>
    <w:bookmarkEnd w:id="332"/>
    <w:bookmarkEnd w:id="333"/>
    <w:p w14:paraId="7AD79F1A">
      <w:pPr>
        <w:pStyle w:val="4"/>
        <w:shd w:val="clear"/>
        <w:kinsoku/>
        <w:ind w:firstLineChars="0"/>
        <w:rPr>
          <w:rFonts w:hint="eastAsia"/>
          <w:color w:val="auto"/>
          <w:highlight w:val="none"/>
          <w:lang w:val="en-US" w:eastAsia="zh-CN"/>
        </w:rPr>
      </w:pPr>
      <w:bookmarkStart w:id="334" w:name="_Toc8526"/>
      <w:bookmarkStart w:id="335" w:name="_Toc10364"/>
      <w:bookmarkStart w:id="336" w:name="_Toc23116"/>
      <w:bookmarkStart w:id="337" w:name="_Toc16336"/>
      <w:bookmarkStart w:id="338" w:name="_Toc30935"/>
      <w:r>
        <w:rPr>
          <w:rFonts w:hint="eastAsia"/>
          <w:b w:val="0"/>
          <w:bCs w:val="0"/>
          <w:color w:val="auto"/>
          <w:highlight w:val="none"/>
          <w:lang w:val="en-US" w:eastAsia="zh-CN"/>
        </w:rPr>
        <w:t>第一节 建设韶关数据中心集群算力主中心</w:t>
      </w:r>
      <w:bookmarkEnd w:id="334"/>
      <w:bookmarkEnd w:id="335"/>
      <w:bookmarkEnd w:id="336"/>
      <w:bookmarkEnd w:id="337"/>
      <w:bookmarkEnd w:id="338"/>
    </w:p>
    <w:p w14:paraId="44A4DF9C">
      <w:pPr>
        <w:shd w:val="clear"/>
        <w:kinsoku/>
        <w:bidi w:val="0"/>
        <w:ind w:firstLine="643"/>
        <w:rPr>
          <w:rFonts w:hint="eastAsia"/>
          <w:b/>
          <w:bCs/>
          <w:color w:val="auto"/>
          <w:highlight w:val="none"/>
          <w:lang w:val="en-US" w:eastAsia="zh-CN"/>
        </w:rPr>
      </w:pPr>
    </w:p>
    <w:p w14:paraId="2E367D45">
      <w:pPr>
        <w:shd w:val="clear"/>
        <w:kinsoku/>
        <w:bidi w:val="0"/>
        <w:ind w:firstLine="643"/>
        <w:rPr>
          <w:rFonts w:hint="eastAsia" w:eastAsia="仿宋_GB2312" w:cs="仿宋_GB2312"/>
          <w:color w:val="auto"/>
          <w:highlight w:val="none"/>
          <w:lang w:eastAsia="zh-CN"/>
        </w:rPr>
      </w:pPr>
      <w:r>
        <w:rPr>
          <w:rFonts w:hint="eastAsia"/>
          <w:b/>
          <w:bCs/>
          <w:color w:val="auto"/>
          <w:highlight w:val="none"/>
          <w:lang w:val="en-US" w:eastAsia="zh-CN"/>
        </w:rPr>
        <w:t>强化算力底座建设。</w:t>
      </w:r>
      <w:r>
        <w:rPr>
          <w:rFonts w:hint="eastAsia" w:cs="仿宋_GB2312"/>
          <w:color w:val="auto"/>
          <w:highlight w:val="none"/>
        </w:rPr>
        <w:t>推进</w:t>
      </w:r>
      <w:r>
        <w:rPr>
          <w:rFonts w:hint="eastAsia" w:cs="仿宋_GB2312"/>
          <w:color w:val="auto"/>
          <w:highlight w:val="none"/>
          <w:lang w:eastAsia="zh-CN"/>
        </w:rPr>
        <w:t>韶关集群浈江片区</w:t>
      </w:r>
      <w:r>
        <w:rPr>
          <w:rFonts w:hint="eastAsia" w:cs="仿宋_GB2312"/>
          <w:color w:val="auto"/>
          <w:highlight w:val="none"/>
        </w:rPr>
        <w:t>起步区扩区</w:t>
      </w:r>
      <w:r>
        <w:rPr>
          <w:rFonts w:hint="eastAsia" w:cs="仿宋_GB2312"/>
          <w:color w:val="auto"/>
          <w:highlight w:val="none"/>
          <w:lang w:eastAsia="zh-CN"/>
        </w:rPr>
        <w:t>韶塘片区开发建设</w:t>
      </w:r>
      <w:r>
        <w:rPr>
          <w:rFonts w:hint="eastAsia" w:cs="仿宋_GB2312"/>
          <w:color w:val="auto"/>
          <w:highlight w:val="none"/>
        </w:rPr>
        <w:t>，做好新增项目用地保障，打造算力</w:t>
      </w:r>
      <w:r>
        <w:rPr>
          <w:rFonts w:hint="eastAsia" w:cs="仿宋_GB2312"/>
          <w:color w:val="auto"/>
          <w:highlight w:val="none"/>
          <w:lang w:eastAsia="zh-CN"/>
        </w:rPr>
        <w:t>软</w:t>
      </w:r>
      <w:r>
        <w:rPr>
          <w:rFonts w:hint="eastAsia" w:cs="仿宋_GB2312"/>
          <w:color w:val="auto"/>
          <w:highlight w:val="none"/>
          <w:lang w:val="en-US" w:eastAsia="zh-CN"/>
        </w:rPr>
        <w:t>硬件</w:t>
      </w:r>
      <w:r>
        <w:rPr>
          <w:rFonts w:hint="eastAsia" w:cs="仿宋_GB2312"/>
          <w:color w:val="auto"/>
          <w:highlight w:val="none"/>
        </w:rPr>
        <w:t>设施核心承载区。</w:t>
      </w:r>
      <w:r>
        <w:rPr>
          <w:rFonts w:hint="eastAsia" w:cs="仿宋_GB2312"/>
          <w:color w:val="auto"/>
          <w:highlight w:val="none"/>
          <w:lang w:val="en-US" w:eastAsia="zh-CN"/>
        </w:rPr>
        <w:t>提升</w:t>
      </w:r>
      <w:r>
        <w:rPr>
          <w:rFonts w:hint="eastAsia" w:cs="仿宋_GB2312"/>
          <w:color w:val="auto"/>
          <w:highlight w:val="none"/>
        </w:rPr>
        <w:t>电信、移动、联通</w:t>
      </w:r>
      <w:r>
        <w:rPr>
          <w:rFonts w:hint="eastAsia" w:cs="仿宋_GB2312"/>
          <w:color w:val="auto"/>
          <w:highlight w:val="none"/>
          <w:lang w:eastAsia="zh-CN"/>
        </w:rPr>
        <w:t>、</w:t>
      </w:r>
      <w:r>
        <w:rPr>
          <w:rFonts w:hint="eastAsia" w:cs="仿宋_GB2312"/>
          <w:color w:val="auto"/>
          <w:highlight w:val="none"/>
          <w:lang w:val="en-US" w:eastAsia="zh-CN"/>
        </w:rPr>
        <w:t>腾讯</w:t>
      </w:r>
      <w:r>
        <w:rPr>
          <w:rFonts w:hint="eastAsia" w:cs="仿宋_GB2312"/>
          <w:color w:val="auto"/>
          <w:highlight w:val="none"/>
        </w:rPr>
        <w:t>等已建项目</w:t>
      </w:r>
      <w:r>
        <w:rPr>
          <w:rFonts w:hint="eastAsia" w:cs="仿宋_GB2312"/>
          <w:color w:val="auto"/>
          <w:highlight w:val="none"/>
          <w:lang w:val="en-US" w:eastAsia="zh-CN"/>
        </w:rPr>
        <w:t>服务器</w:t>
      </w:r>
      <w:r>
        <w:rPr>
          <w:rFonts w:hint="eastAsia" w:cs="仿宋_GB2312"/>
          <w:color w:val="auto"/>
          <w:highlight w:val="none"/>
        </w:rPr>
        <w:t>上架</w:t>
      </w:r>
      <w:r>
        <w:rPr>
          <w:rFonts w:hint="eastAsia" w:cs="仿宋_GB2312"/>
          <w:color w:val="auto"/>
          <w:highlight w:val="none"/>
          <w:lang w:val="en-US" w:eastAsia="zh-CN"/>
        </w:rPr>
        <w:t>率。</w:t>
      </w:r>
      <w:r>
        <w:rPr>
          <w:rFonts w:hint="eastAsia" w:cs="仿宋_GB2312"/>
          <w:color w:val="auto"/>
          <w:highlight w:val="none"/>
        </w:rPr>
        <w:t>推动签约项目加快</w:t>
      </w:r>
      <w:r>
        <w:rPr>
          <w:rFonts w:hint="eastAsia" w:cs="仿宋_GB2312"/>
          <w:color w:val="auto"/>
          <w:highlight w:val="none"/>
          <w:lang w:val="en-US" w:eastAsia="zh-CN"/>
        </w:rPr>
        <w:t>建成</w:t>
      </w:r>
      <w:r>
        <w:rPr>
          <w:rFonts w:hint="eastAsia" w:cs="仿宋_GB2312"/>
          <w:color w:val="auto"/>
          <w:highlight w:val="none"/>
        </w:rPr>
        <w:t>投产，重点打造面向互联网、云计算领域的超大型云数据中心</w:t>
      </w:r>
      <w:r>
        <w:rPr>
          <w:rFonts w:hint="eastAsia" w:cs="仿宋_GB2312"/>
          <w:color w:val="auto"/>
          <w:highlight w:val="none"/>
          <w:lang w:eastAsia="zh-CN"/>
        </w:rPr>
        <w:t>。</w:t>
      </w:r>
      <w:r>
        <w:rPr>
          <w:rFonts w:hint="eastAsia" w:cs="仿宋_GB2312"/>
          <w:color w:val="auto"/>
          <w:highlight w:val="none"/>
        </w:rPr>
        <w:t>精准对接互联网、智能驾驶、人工智能等领域算力需求企业，开展靶向招商，吸引企业在浈江自建或租用算力设施。</w:t>
      </w:r>
      <w:r>
        <w:rPr>
          <w:rFonts w:hint="eastAsia" w:cs="仿宋_GB2312"/>
          <w:color w:val="auto"/>
          <w:highlight w:val="none"/>
          <w:lang w:val="en-US" w:eastAsia="zh-CN"/>
        </w:rPr>
        <w:t>协同</w:t>
      </w:r>
      <w:r>
        <w:rPr>
          <w:rFonts w:hint="eastAsia" w:cs="仿宋_GB2312"/>
          <w:color w:val="auto"/>
          <w:highlight w:val="none"/>
        </w:rPr>
        <w:t>推进</w:t>
      </w:r>
      <w:r>
        <w:rPr>
          <w:rFonts w:hint="eastAsia" w:cs="仿宋_GB2312"/>
          <w:color w:val="auto"/>
          <w:highlight w:val="none"/>
          <w:lang w:val="en-US" w:eastAsia="zh-CN"/>
        </w:rPr>
        <w:t>浈江、</w:t>
      </w:r>
      <w:r>
        <w:rPr>
          <w:rFonts w:hint="eastAsia" w:cs="仿宋_GB2312"/>
          <w:color w:val="auto"/>
          <w:highlight w:val="none"/>
        </w:rPr>
        <w:t>莞韶园、武江等片区数据中心互联互通网络建设，实现集群内各数据中心高速、稳定、安全互联，全面提升韶关数据中心集群算力“运力”水平。力争</w:t>
      </w:r>
      <w:r>
        <w:rPr>
          <w:rFonts w:hint="eastAsia" w:cs="仿宋_GB2312"/>
          <w:color w:val="auto"/>
          <w:highlight w:val="none"/>
          <w:lang w:val="en-US" w:eastAsia="zh-CN"/>
        </w:rPr>
        <w:t>到</w:t>
      </w:r>
      <w:r>
        <w:rPr>
          <w:rFonts w:hint="eastAsia" w:cs="Times New Roman"/>
          <w:color w:val="auto"/>
          <w:highlight w:val="none"/>
          <w:lang w:val="en-US" w:eastAsia="zh-CN"/>
        </w:rPr>
        <w:t>2030</w:t>
      </w:r>
      <w:r>
        <w:rPr>
          <w:rFonts w:hint="eastAsia" w:cs="仿宋_GB2312"/>
          <w:color w:val="auto"/>
          <w:highlight w:val="none"/>
          <w:lang w:val="en-US" w:eastAsia="zh-CN"/>
        </w:rPr>
        <w:t>年，浈江算力主中心</w:t>
      </w:r>
      <w:r>
        <w:rPr>
          <w:rFonts w:hint="eastAsia" w:cs="仿宋_GB2312"/>
          <w:color w:val="auto"/>
          <w:highlight w:val="none"/>
        </w:rPr>
        <w:t>形成</w:t>
      </w:r>
      <w:r>
        <w:rPr>
          <w:rFonts w:hint="eastAsia" w:cs="Times New Roman"/>
          <w:color w:val="auto"/>
          <w:highlight w:val="none"/>
          <w:lang w:val="en-US" w:eastAsia="zh-CN"/>
        </w:rPr>
        <w:t>35</w:t>
      </w:r>
      <w:r>
        <w:rPr>
          <w:rFonts w:hint="eastAsia" w:cs="仿宋_GB2312"/>
          <w:color w:val="auto"/>
          <w:highlight w:val="none"/>
        </w:rPr>
        <w:t>万架以上标准机架规模。</w:t>
      </w:r>
    </w:p>
    <w:p w14:paraId="64CB44E0">
      <w:pPr>
        <w:kinsoku/>
        <w:ind w:firstLine="640"/>
        <w:rPr>
          <w:rFonts w:hint="eastAsia"/>
          <w:color w:val="auto"/>
          <w:highlight w:val="none"/>
          <w:lang w:val="en-US" w:eastAsia="zh-CN"/>
        </w:rPr>
      </w:pPr>
      <w:r>
        <w:rPr>
          <w:rFonts w:hint="eastAsia"/>
          <w:b/>
          <w:bCs/>
          <w:color w:val="auto"/>
          <w:highlight w:val="none"/>
          <w:lang w:val="en-US" w:eastAsia="zh-CN"/>
        </w:rPr>
        <w:t>贯通数据全产业链。</w:t>
      </w:r>
      <w:r>
        <w:rPr>
          <w:rFonts w:hint="eastAsia"/>
          <w:color w:val="auto"/>
          <w:highlight w:val="none"/>
          <w:lang w:val="en-US" w:eastAsia="zh-CN"/>
        </w:rPr>
        <w:t>强化与粤港澳大湾区产需精准对接，构建“设备制造—数据运营—应用服务”全产业链条。以韶关高新区浈江片区为载体，发展服务器、网络通信设备、存储设备等数据中心IT硬件设备核心产业。依托三大运营商等龙头企业需求优势，吸引配套企业就近布局，形成“龙头带动、配套集聚”的上游产业生态。引进培育数据采集、存储、分析加工等专业服务商，推动大数据应用项目建设，打造大数据下游应用企业承接平台。深化“数据要素×”赋能行动，强化数字兴业建设，推动数字浈江建设，推动数据要素赋能工业制造、现代农业、商贸流通、城市管理等重点领域，构建具有浈江特色的数字产业生态。</w:t>
      </w:r>
    </w:p>
    <w:p w14:paraId="1BEA5323">
      <w:pPr>
        <w:kinsoku/>
        <w:ind w:firstLine="640"/>
        <w:rPr>
          <w:rFonts w:hint="eastAsia"/>
          <w:color w:val="auto"/>
          <w:highlight w:val="none"/>
          <w:lang w:val="en-US" w:eastAsia="zh-CN"/>
        </w:rPr>
      </w:pPr>
      <w:r>
        <w:rPr>
          <w:rFonts w:hint="eastAsia"/>
          <w:b/>
          <w:bCs/>
          <w:color w:val="auto"/>
          <w:highlight w:val="none"/>
          <w:lang w:val="en-US" w:eastAsia="zh-CN"/>
        </w:rPr>
        <w:t>完善集群配套基础设施。</w:t>
      </w:r>
      <w:r>
        <w:rPr>
          <w:rFonts w:hint="eastAsia"/>
          <w:b w:val="0"/>
          <w:bCs w:val="0"/>
          <w:color w:val="auto"/>
          <w:highlight w:val="none"/>
          <w:lang w:val="en-US" w:eastAsia="zh-CN"/>
        </w:rPr>
        <w:t>以韶塘片区开发建设为重点，强化举措、攻坚克难，持续完善片区道路、市政管线、边坡整治、土方平整等基础设施配套，同步推进河道整治及商业配套建设，全面提升园区承载能力。</w:t>
      </w:r>
      <w:r>
        <w:rPr>
          <w:rFonts w:hint="eastAsia"/>
          <w:color w:val="auto"/>
          <w:highlight w:val="none"/>
          <w:lang w:val="en-US" w:eastAsia="zh-CN"/>
        </w:rPr>
        <w:t>协同韶关高新区推进浈江片区土地平整、道路通达、水电供应、网络保障等基础设施建设，强化基础设施安全协同，为数据中心项目建设运营提供全要素保障。建强能源保障体系，推进数据中心专用中高压变电站规划建设，完善应急电源配置，提升电力供应稳定性与可靠性。推动绿色低碳用能，配合市级部门推进源网荷储一体化建设，争取在浈江布局首批项目。鼓励数据中心企业参与绿电交易，有效降低用电成本，共同打造绿色低碳数据中心集群。</w:t>
      </w:r>
    </w:p>
    <w:p w14:paraId="56C62B9A">
      <w:pPr>
        <w:kinsoku/>
        <w:ind w:firstLine="640"/>
        <w:rPr>
          <w:rFonts w:hint="eastAsia"/>
          <w:color w:val="auto"/>
          <w:highlight w:val="none"/>
          <w:lang w:val="en-US" w:eastAsia="zh-CN"/>
        </w:rPr>
      </w:pPr>
    </w:p>
    <w:p w14:paraId="5F838ED6">
      <w:pPr>
        <w:pStyle w:val="4"/>
        <w:shd w:val="clear"/>
        <w:kinsoku/>
        <w:bidi w:val="0"/>
        <w:rPr>
          <w:rFonts w:hint="default"/>
          <w:color w:val="auto"/>
          <w:highlight w:val="none"/>
          <w:lang w:val="en-US" w:eastAsia="zh-CN"/>
        </w:rPr>
      </w:pPr>
      <w:bookmarkStart w:id="339" w:name="_Toc2737"/>
      <w:bookmarkStart w:id="340" w:name="_Toc8771"/>
      <w:bookmarkStart w:id="341" w:name="_Toc11789"/>
      <w:bookmarkStart w:id="342" w:name="_Toc243"/>
      <w:bookmarkStart w:id="343" w:name="_Toc31548"/>
      <w:bookmarkStart w:id="344" w:name="_Toc1940"/>
      <w:bookmarkStart w:id="345" w:name="_Toc15510"/>
      <w:bookmarkStart w:id="346" w:name="_Toc27358"/>
      <w:bookmarkStart w:id="347" w:name="_Toc30950"/>
      <w:bookmarkStart w:id="348" w:name="_Toc3495"/>
      <w:bookmarkStart w:id="349" w:name="_Toc783"/>
      <w:bookmarkStart w:id="350" w:name="_Toc8812"/>
      <w:bookmarkStart w:id="351" w:name="_Toc16127"/>
      <w:bookmarkStart w:id="352" w:name="_Toc30007"/>
      <w:bookmarkStart w:id="353" w:name="_Toc8325"/>
      <w:bookmarkStart w:id="354" w:name="_Toc11224"/>
      <w:bookmarkStart w:id="355" w:name="_Toc7872"/>
      <w:bookmarkStart w:id="356" w:name="_Toc31979"/>
      <w:bookmarkStart w:id="357" w:name="_Toc25727"/>
      <w:bookmarkStart w:id="358" w:name="_Toc23152"/>
      <w:bookmarkStart w:id="359" w:name="_Toc13370"/>
      <w:bookmarkStart w:id="360" w:name="_Toc29632"/>
      <w:bookmarkStart w:id="361" w:name="_Toc12534"/>
      <w:bookmarkStart w:id="362" w:name="_Toc18457"/>
      <w:r>
        <w:rPr>
          <w:rFonts w:hint="eastAsia"/>
          <w:color w:val="auto"/>
          <w:highlight w:val="none"/>
          <w:lang w:val="en-US" w:eastAsia="zh-CN"/>
        </w:rPr>
        <w:t>第二节 推动传统产业升级</w:t>
      </w:r>
      <w:bookmarkEnd w:id="339"/>
      <w:bookmarkEnd w:id="340"/>
      <w:bookmarkEnd w:id="341"/>
    </w:p>
    <w:p w14:paraId="43B39BC3">
      <w:pPr>
        <w:shd w:val="clear"/>
        <w:kinsoku/>
        <w:bidi w:val="0"/>
        <w:ind w:firstLine="643"/>
        <w:rPr>
          <w:rFonts w:hint="eastAsia"/>
          <w:b/>
          <w:bCs/>
          <w:color w:val="auto"/>
          <w:highlight w:val="none"/>
          <w:lang w:val="en-US" w:eastAsia="zh-CN"/>
        </w:rPr>
      </w:pPr>
    </w:p>
    <w:p w14:paraId="555E6AF2">
      <w:pPr>
        <w:shd w:val="clear"/>
        <w:kinsoku/>
        <w:bidi w:val="0"/>
        <w:ind w:firstLine="643"/>
        <w:rPr>
          <w:rFonts w:hint="default"/>
          <w:color w:val="auto"/>
          <w:highlight w:val="none"/>
          <w:lang w:val="en-US" w:eastAsia="zh-CN"/>
        </w:rPr>
      </w:pPr>
      <w:r>
        <w:rPr>
          <w:rFonts w:hint="eastAsia"/>
          <w:b/>
          <w:bCs/>
          <w:color w:val="auto"/>
          <w:highlight w:val="none"/>
          <w:lang w:val="en-US" w:eastAsia="zh-CN"/>
        </w:rPr>
        <w:t>打造先进装备制造百亿级产业集群。</w:t>
      </w:r>
      <w:r>
        <w:rPr>
          <w:rFonts w:hint="eastAsia"/>
          <w:b w:val="0"/>
          <w:bCs w:val="0"/>
          <w:color w:val="auto"/>
          <w:highlight w:val="none"/>
          <w:lang w:val="en-US" w:eastAsia="zh-CN"/>
        </w:rPr>
        <w:t>重点扶持先进装备制造链主企业，在</w:t>
      </w:r>
      <w:r>
        <w:rPr>
          <w:rFonts w:hint="eastAsia"/>
          <w:color w:val="auto"/>
          <w:highlight w:val="none"/>
          <w:lang w:val="en-US" w:eastAsia="zh-CN"/>
        </w:rPr>
        <w:t>汽车零部件、新能源汽车模具、金属铸锻、矿山机械、工程机械等领域增资扩产，发挥工业压舱石和引领带动作用。加快比亚迪（三期）项目建成投产，深度融入全省汽车零部件供应体系，打造“基础毛坯件—核心零部件—整机装备”全链条产业生态圈，争创汽车零部件特色产业基地。支持锻造企业引进高端设备扩大生产，加快6300吨油压机大型锻造生产线项目建设。支持辖区企业“走出去”，加强与“一带一路”共建国家合作，开拓国际市场。搭建工业企业供需对接平台，形成“龙头企业引领、上下游配套协同”的产业集群发展格局。力争到2030年，先进装备制造业产值突破100亿元，建成百亿级产业集群。</w:t>
      </w:r>
    </w:p>
    <w:p w14:paraId="443E46A0">
      <w:pPr>
        <w:shd w:val="clear"/>
        <w:kinsoku/>
        <w:bidi w:val="0"/>
        <w:rPr>
          <w:rFonts w:hint="default"/>
          <w:color w:val="auto"/>
          <w:highlight w:val="none"/>
          <w:lang w:val="en-US" w:eastAsia="zh-CN"/>
        </w:rPr>
      </w:pPr>
      <w:r>
        <w:rPr>
          <w:rFonts w:hint="eastAsia"/>
          <w:b/>
          <w:bCs/>
          <w:color w:val="auto"/>
          <w:highlight w:val="none"/>
          <w:lang w:val="en-US" w:eastAsia="zh-CN"/>
        </w:rPr>
        <w:t>打造有色金属新材料百亿级产业集群。</w:t>
      </w:r>
      <w:r>
        <w:rPr>
          <w:rFonts w:hint="eastAsia"/>
          <w:color w:val="auto"/>
          <w:highlight w:val="none"/>
          <w:lang w:val="en-US" w:eastAsia="zh-CN"/>
        </w:rPr>
        <w:t>依托中金岭南（韶关）功能材料产业园，以冶炼、资源综合利用、新材料加工为主体，向有色金属新型功能材料、“三稀”金属高纯材料两翼延伸，构建“一体两翼”产业发展格局。做强有色金属精深加工环节，推动产品向多样化、高端化升级。做深“三稀”金属产业，聚焦稀贵、稀有、稀散金属综合回收与高纯化加工。重点推进铟、锗、镓等稀散金属回收利用，实现铟、镓、锗等优势原材料向半导体材料等高附加值产品跃升。加快韶冶稀散金属综合回收、锌合金及片状锌粉等项目建设，实施节能降耗等技改项目，推动产业链向智能制造、绿色制造方向提档升级。力争到2030年，有色金属新材料产业产值突破100亿元，建成百亿级产业集群。</w:t>
      </w:r>
    </w:p>
    <w:p w14:paraId="1AC8CC97">
      <w:pPr>
        <w:shd w:val="clear"/>
        <w:kinsoku/>
        <w:bidi w:val="0"/>
        <w:rPr>
          <w:rFonts w:hint="eastAsia"/>
          <w:color w:val="auto"/>
          <w:highlight w:val="none"/>
          <w:lang w:val="en-US" w:eastAsia="zh-CN"/>
        </w:rPr>
      </w:pPr>
      <w:r>
        <w:rPr>
          <w:rFonts w:hint="eastAsia"/>
          <w:b/>
          <w:bCs/>
          <w:color w:val="auto"/>
          <w:highlight w:val="none"/>
          <w:lang w:val="en-US" w:eastAsia="zh-CN"/>
        </w:rPr>
        <w:t>打造新能源电力百亿级产业集群。</w:t>
      </w:r>
      <w:r>
        <w:rPr>
          <w:rFonts w:hint="eastAsia"/>
          <w:color w:val="auto"/>
          <w:highlight w:val="none"/>
          <w:lang w:val="en-US" w:eastAsia="zh-CN"/>
        </w:rPr>
        <w:t>以国粤电力为链主企业，发挥140万千瓦发电机组的发电、供汽优势，延伸拓展热电联供产业链。重点招引食品加工、乳制品等用热企业，推动国粤韶关集中供热产业园项目建成投产，打造“厂房租赁+集中供热”园区。推进资源循环利用，拓展电厂燃煤副产品（炉渣等）深加工路径，提升工业固体废物资源化处理能力。加速能源结构绿色转型，整合光伏资源综合开发利用，推广“光伏+园区”“光伏+建筑”等应用模式。围绕韶关数据中心集群有序布局储能配套产业，规划建设电化学储能电站，全面提升电网调峰能力与绿电使用水平。探索电源、电网、负荷、储能为核心要素的新型电力系统“源网荷储”运行模式，提升韶关数据集群用电保障能力。鼓励电力企业开展售电业务，增强企业竞争力和有效降低企业用电成本。力争到2030年，新能源电力产业营收突破100亿元，打造百亿级产业集群。</w:t>
      </w:r>
    </w:p>
    <w:p w14:paraId="05894632">
      <w:pPr>
        <w:kinsoku/>
        <w:ind w:firstLine="643"/>
        <w:rPr>
          <w:rFonts w:hint="eastAsia"/>
          <w:color w:val="auto"/>
          <w:highlight w:val="none"/>
          <w:lang w:val="en-US" w:eastAsia="zh-CN"/>
        </w:rPr>
      </w:pPr>
      <w:r>
        <w:rPr>
          <w:rFonts w:hint="eastAsia"/>
          <w:b/>
          <w:bCs/>
          <w:color w:val="auto"/>
          <w:highlight w:val="none"/>
          <w:lang w:val="en-US" w:eastAsia="zh-CN"/>
        </w:rPr>
        <w:t>促进制造业数智化转型。</w:t>
      </w:r>
      <w:r>
        <w:rPr>
          <w:rFonts w:hint="eastAsia"/>
          <w:color w:val="auto"/>
          <w:highlight w:val="none"/>
          <w:lang w:val="en-US" w:eastAsia="zh-CN"/>
        </w:rPr>
        <w:t>贯彻落实国家工信部等部门印发《“人工智能+制造”专项行动实施意见》，加快制造业绿色化、智能化、融合化发展，促进制造业企业应用人工智能技术实现全方位、深层次、高水平的智能化转型发展。梯度培育“数字化车间－智能工厂－未来工厂”，支持三大百亿级产业集群链主企业率先开展“人工智能+制造”，以点带面为关联企业提供转型升级成功经验。</w:t>
      </w:r>
      <w:r>
        <w:rPr>
          <w:rFonts w:hint="default" w:ascii="Times New Roman" w:hAnsi="Times New Roman" w:cs="Times New Roman"/>
          <w:b w:val="0"/>
          <w:bCs w:val="0"/>
          <w:color w:val="auto"/>
          <w:highlight w:val="none"/>
          <w:lang w:eastAsia="zh-CN"/>
        </w:rPr>
        <w:t>紧扣关键工序自动化、生产过程智能化、供应链管理数字化，</w:t>
      </w:r>
      <w:r>
        <w:rPr>
          <w:rFonts w:hint="eastAsia"/>
          <w:color w:val="auto"/>
          <w:highlight w:val="none"/>
          <w:lang w:val="en-US" w:eastAsia="zh-CN"/>
        </w:rPr>
        <w:t>加快高新技术企业智能升级。</w:t>
      </w:r>
      <w:r>
        <w:rPr>
          <w:rFonts w:hint="default" w:ascii="Times New Roman" w:hAnsi="Times New Roman" w:cs="Times New Roman"/>
          <w:color w:val="auto"/>
          <w:highlight w:val="none"/>
          <w:lang w:val="en-US" w:eastAsia="zh-CN"/>
        </w:rPr>
        <w:t>力争到</w:t>
      </w:r>
      <w:r>
        <w:rPr>
          <w:rFonts w:hint="eastAsia" w:ascii="Times New Roman" w:hAnsi="Times New Roman" w:cs="Times New Roman"/>
          <w:color w:val="auto"/>
          <w:highlight w:val="none"/>
          <w:lang w:val="en-US" w:eastAsia="zh-CN"/>
        </w:rPr>
        <w:t>2030</w:t>
      </w:r>
      <w:r>
        <w:rPr>
          <w:rFonts w:hint="default" w:ascii="Times New Roman" w:hAnsi="Times New Roman" w:cs="Times New Roman"/>
          <w:color w:val="auto"/>
          <w:highlight w:val="none"/>
          <w:lang w:val="en-US" w:eastAsia="zh-CN"/>
        </w:rPr>
        <w:t>年</w:t>
      </w:r>
      <w:r>
        <w:rPr>
          <w:rFonts w:hint="eastAsia" w:ascii="Times New Roman" w:hAnsi="Times New Roman" w:cs="Times New Roman"/>
          <w:color w:val="auto"/>
          <w:highlight w:val="none"/>
          <w:lang w:val="en-US" w:eastAsia="zh-CN"/>
        </w:rPr>
        <w:t>，实现</w:t>
      </w:r>
      <w:r>
        <w:rPr>
          <w:rFonts w:hint="eastAsia"/>
          <w:color w:val="auto"/>
          <w:highlight w:val="none"/>
          <w:lang w:val="en-US" w:eastAsia="zh-CN"/>
        </w:rPr>
        <w:t>规上工业企业数智化转型，专精特新“小巨人”企业率先实现数智化改造全覆盖。</w:t>
      </w:r>
    </w:p>
    <w:p w14:paraId="485160E2">
      <w:pPr>
        <w:pStyle w:val="1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推动工业企业提质增量。</w:t>
      </w:r>
      <w:r>
        <w:rPr>
          <w:rFonts w:hint="eastAsia" w:ascii="Times New Roman" w:hAnsi="Times New Roman" w:eastAsia="仿宋_GB2312" w:cs="Times New Roman"/>
          <w:color w:val="auto"/>
          <w:sz w:val="32"/>
          <w:szCs w:val="32"/>
          <w:highlight w:val="none"/>
          <w:lang w:val="en-US" w:eastAsia="zh-CN"/>
        </w:rPr>
        <w:t>全面贯彻落实市“规上工业企业倍增、百家企业规模与效益倍增、工业上市企业数量倍增”三大倍增计划，加快工业经济规模化、优质化发展，促进工业企业实现量质齐升。紧扣企业培育孵化、规模效益提升、资本对接赋能，加快规下潜力企业升规纳统、优质规上企业提档升级、骨干企业股改上市。力争到2030年，实现规上工业企业数量倍增，倍增企业发展规模与效益显著提升，工业上市企业实现零的突破，打造梯次发展、活力迸发的工业企业发展新格局。</w:t>
      </w:r>
    </w:p>
    <w:p w14:paraId="7B637F5B">
      <w:pPr>
        <w:pStyle w:val="10"/>
        <w:rPr>
          <w:rFonts w:hint="eastAsia" w:ascii="Times New Roman" w:hAnsi="Times New Roman" w:eastAsia="仿宋_GB2312" w:cs="Times New Roman"/>
          <w:color w:val="auto"/>
          <w:sz w:val="32"/>
          <w:szCs w:val="32"/>
          <w:highlight w:val="none"/>
          <w:lang w:val="en-US" w:eastAsia="zh-CN"/>
        </w:rPr>
      </w:pPr>
    </w:p>
    <w:p w14:paraId="2F1434E0">
      <w:pPr>
        <w:pStyle w:val="4"/>
        <w:shd w:val="clear"/>
        <w:kinsoku/>
        <w:bidi w:val="0"/>
        <w:rPr>
          <w:rFonts w:hint="eastAsia"/>
          <w:color w:val="auto"/>
          <w:highlight w:val="none"/>
          <w:lang w:val="en-US" w:eastAsia="zh-CN"/>
        </w:rPr>
      </w:pPr>
      <w:bookmarkStart w:id="363" w:name="_Toc23315"/>
      <w:bookmarkStart w:id="364" w:name="_Toc26186"/>
      <w:bookmarkStart w:id="365" w:name="_Toc16654"/>
      <w:r>
        <w:rPr>
          <w:rFonts w:hint="eastAsia"/>
          <w:color w:val="auto"/>
          <w:highlight w:val="none"/>
          <w:lang w:val="en-US" w:eastAsia="zh-CN"/>
        </w:rPr>
        <w:t>第三节 培育壮大新兴产业和未来产业</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3"/>
      <w:bookmarkEnd w:id="364"/>
      <w:bookmarkEnd w:id="365"/>
    </w:p>
    <w:p w14:paraId="44FEC8C8">
      <w:pPr>
        <w:kinsoku/>
        <w:rPr>
          <w:rFonts w:hint="eastAsia"/>
          <w:b/>
          <w:bCs/>
          <w:color w:val="auto"/>
          <w:highlight w:val="none"/>
          <w:lang w:val="en-US" w:eastAsia="zh-CN"/>
        </w:rPr>
      </w:pPr>
    </w:p>
    <w:p w14:paraId="597C8D6F">
      <w:pPr>
        <w:kinsoku/>
        <w:rPr>
          <w:rFonts w:hint="eastAsia"/>
          <w:color w:val="auto"/>
          <w:highlight w:val="none"/>
          <w:lang w:val="en-US" w:eastAsia="zh-CN"/>
        </w:rPr>
      </w:pPr>
      <w:r>
        <w:rPr>
          <w:rFonts w:hint="eastAsia"/>
          <w:b/>
          <w:bCs/>
          <w:color w:val="auto"/>
          <w:highlight w:val="none"/>
          <w:lang w:val="en-US" w:eastAsia="zh-CN"/>
        </w:rPr>
        <w:t>培育发展新一代信息技术产业。</w:t>
      </w:r>
      <w:r>
        <w:rPr>
          <w:rFonts w:hint="eastAsia"/>
          <w:color w:val="auto"/>
          <w:highlight w:val="none"/>
          <w:lang w:val="en-US" w:eastAsia="zh-CN"/>
        </w:rPr>
        <w:t>依托韶关数据中心集群优势，把招引新一代信息技术产业作为战略性新兴产业的突破口。瞄准生产服务器、智算芯片、UPS、网络设备等韶关数据中心上游企业开展招商引资，打造大数据电子信息制造全产业链条。依托汽车零部件、新能源汽车模具制造等产业基础，重点引进和发展新能源汽车线束、连接器、车用传感器等关键零部件制造项目，建设汽车电子零部件配套基地。大力推动手机零部件、消费类电子产品的生产，支持发展应用于智能家电、消费电子领域的精密结构件、模具制造。</w:t>
      </w:r>
    </w:p>
    <w:p w14:paraId="5916968C">
      <w:pPr>
        <w:shd w:val="clear"/>
        <w:kinsoku/>
        <w:bidi w:val="0"/>
        <w:rPr>
          <w:rFonts w:hint="eastAsia"/>
          <w:color w:val="auto"/>
          <w:highlight w:val="none"/>
          <w:lang w:val="en-US" w:eastAsia="zh-CN"/>
        </w:rPr>
      </w:pPr>
      <w:r>
        <w:rPr>
          <w:rFonts w:hint="eastAsia"/>
          <w:b/>
          <w:bCs/>
          <w:color w:val="auto"/>
          <w:highlight w:val="none"/>
          <w:lang w:val="en-US" w:eastAsia="zh-CN"/>
        </w:rPr>
        <w:t>积极布局低空经济产业。</w:t>
      </w:r>
      <w:r>
        <w:rPr>
          <w:rFonts w:hint="eastAsia"/>
          <w:color w:val="auto"/>
          <w:highlight w:val="none"/>
          <w:lang w:val="en-US" w:eastAsia="zh-CN"/>
        </w:rPr>
        <w:t>立足辖区优越空域条件与丰富应用场景，锚定市级规划布局，高标准建设中型垂直起降场和5类小型垂直起降点，构建“制造+服务+应用”三位一体的低空经济产业集群。聚焦飞行器零部件制造、飞行服务、应用软件开发等关键领域，定向招引低空装备、飞行器材料及零部件制造等上游企业，夯实产业发展基础。做强低空文旅体融合业态，打造一批低空旅游飞行营地、体验型科普研学基地。拓展“低空+”多元应用场景，推动低空经济与应急救援、文旅康养、物流配送、智慧农业等领域深度融合，培育低空消费新业态。</w:t>
      </w:r>
    </w:p>
    <w:p w14:paraId="2588420F">
      <w:pPr>
        <w:shd w:val="clear"/>
        <w:kinsoku/>
        <w:bidi w:val="0"/>
        <w:rPr>
          <w:rFonts w:hint="eastAsia"/>
          <w:color w:val="auto"/>
          <w:highlight w:val="none"/>
          <w:lang w:val="en-US" w:eastAsia="zh-CN"/>
        </w:rPr>
      </w:pPr>
      <w:bookmarkStart w:id="366" w:name="_Toc30547"/>
      <w:r>
        <w:rPr>
          <w:rFonts w:hint="eastAsia"/>
          <w:b/>
          <w:bCs/>
          <w:color w:val="auto"/>
          <w:highlight w:val="none"/>
          <w:lang w:val="en-US" w:eastAsia="zh-CN"/>
        </w:rPr>
        <w:t>谋划发展人工智能及机器人产业</w:t>
      </w:r>
      <w:bookmarkEnd w:id="366"/>
      <w:r>
        <w:rPr>
          <w:rFonts w:hint="eastAsia"/>
          <w:b/>
          <w:bCs/>
          <w:color w:val="auto"/>
          <w:highlight w:val="none"/>
          <w:lang w:val="en-US" w:eastAsia="zh-CN"/>
        </w:rPr>
        <w:t>。</w:t>
      </w:r>
      <w:r>
        <w:rPr>
          <w:rFonts w:hint="eastAsia"/>
          <w:color w:val="auto"/>
          <w:highlight w:val="none"/>
          <w:lang w:val="en-US" w:eastAsia="zh-CN"/>
        </w:rPr>
        <w:t>前瞻布局以场景驱动为核心的人工智能和特种机器人研发制造产业，招引机器人基础材料、零部件、电子元器件等关键环节生产型企业，在具备一定的产业配套能力基础上，力争招引机器人整机制造企业，实现机器人整机制造。深入实施“人工智能+”赋能行动，推进人工智能技术在智慧农业、智慧工厂、智慧物流、智慧旅游、智慧医疗、智慧政务等领域规模化商业化应用，赋能千行百业数字化转型。</w:t>
      </w:r>
    </w:p>
    <w:p w14:paraId="749ECDDA">
      <w:pPr>
        <w:shd w:val="clear"/>
        <w:kinsoku/>
        <w:bidi w:val="0"/>
        <w:rPr>
          <w:rFonts w:hint="eastAsia"/>
          <w:color w:val="auto"/>
          <w:highlight w:val="none"/>
          <w:lang w:val="en-US" w:eastAsia="zh-CN"/>
        </w:rPr>
      </w:pPr>
    </w:p>
    <w:bookmarkEnd w:id="360"/>
    <w:bookmarkEnd w:id="361"/>
    <w:bookmarkEnd w:id="362"/>
    <w:p w14:paraId="5303F659">
      <w:pPr>
        <w:pStyle w:val="4"/>
        <w:shd w:val="clear"/>
        <w:kinsoku/>
        <w:bidi w:val="0"/>
        <w:rPr>
          <w:rFonts w:hint="eastAsia"/>
          <w:b w:val="0"/>
          <w:bCs w:val="0"/>
          <w:color w:val="auto"/>
          <w:highlight w:val="none"/>
          <w:lang w:val="en-US" w:eastAsia="zh-CN"/>
        </w:rPr>
      </w:pPr>
      <w:bookmarkStart w:id="367" w:name="_Toc10913"/>
      <w:bookmarkStart w:id="368" w:name="_Toc29163"/>
      <w:bookmarkStart w:id="369" w:name="_Toc898"/>
      <w:bookmarkStart w:id="370" w:name="_Toc3289"/>
      <w:bookmarkStart w:id="371" w:name="_Toc11208"/>
      <w:bookmarkStart w:id="372" w:name="_Toc14147"/>
      <w:bookmarkStart w:id="373" w:name="_Toc31670"/>
      <w:bookmarkStart w:id="374" w:name="_Toc28369"/>
      <w:bookmarkStart w:id="375" w:name="_Toc25072"/>
      <w:bookmarkStart w:id="376" w:name="_Toc14494"/>
      <w:bookmarkStart w:id="377" w:name="_Toc19382"/>
      <w:bookmarkStart w:id="378" w:name="_Toc13423"/>
      <w:bookmarkStart w:id="379" w:name="_Toc31789"/>
      <w:bookmarkStart w:id="380" w:name="_Toc27978"/>
      <w:bookmarkStart w:id="381" w:name="_Toc2972"/>
      <w:bookmarkStart w:id="382" w:name="_Toc24709"/>
      <w:bookmarkStart w:id="383" w:name="_Toc26166"/>
      <w:bookmarkStart w:id="384" w:name="_Toc20611"/>
      <w:bookmarkStart w:id="385" w:name="_Toc32315"/>
      <w:r>
        <w:rPr>
          <w:rFonts w:hint="eastAsia"/>
          <w:b w:val="0"/>
          <w:bCs w:val="0"/>
          <w:color w:val="auto"/>
          <w:highlight w:val="none"/>
          <w:lang w:val="en-US" w:eastAsia="zh-CN"/>
        </w:rPr>
        <w:t>第四节 加快产业平台载体建设</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6F14450D">
      <w:pPr>
        <w:shd w:val="clear"/>
        <w:kinsoku/>
        <w:bidi w:val="0"/>
        <w:rPr>
          <w:rFonts w:hint="eastAsia"/>
          <w:b/>
          <w:bCs/>
          <w:color w:val="auto"/>
          <w:highlight w:val="none"/>
          <w:lang w:val="en-US" w:eastAsia="zh-CN"/>
        </w:rPr>
      </w:pPr>
    </w:p>
    <w:p w14:paraId="35627E2E">
      <w:pPr>
        <w:keepNext w:val="0"/>
        <w:keepLines w:val="0"/>
        <w:pageBreakBefore w:val="0"/>
        <w:widowControl w:val="0"/>
        <w:shd w:val="clear"/>
        <w:kinsoku/>
        <w:wordWrap/>
        <w:overflowPunct/>
        <w:topLinePunct w:val="0"/>
        <w:autoSpaceDE/>
        <w:autoSpaceDN/>
        <w:bidi w:val="0"/>
        <w:adjustRightInd w:val="0"/>
        <w:snapToGrid w:val="0"/>
        <w:textAlignment w:val="baseline"/>
        <w:rPr>
          <w:rFonts w:hint="eastAsia"/>
          <w:color w:val="auto"/>
          <w:highlight w:val="none"/>
          <w:lang w:val="en-US" w:eastAsia="zh-CN"/>
        </w:rPr>
      </w:pPr>
      <w:r>
        <w:rPr>
          <w:rFonts w:hint="eastAsia"/>
          <w:b/>
          <w:bCs/>
          <w:color w:val="auto"/>
          <w:highlight w:val="none"/>
          <w:lang w:val="en-US" w:eastAsia="zh-CN"/>
        </w:rPr>
        <w:t>加快浈江产业园建设。</w:t>
      </w:r>
      <w:r>
        <w:rPr>
          <w:rFonts w:hint="eastAsia"/>
          <w:b w:val="0"/>
          <w:bCs w:val="0"/>
          <w:color w:val="auto"/>
          <w:highlight w:val="none"/>
          <w:lang w:val="en-US" w:eastAsia="zh-CN"/>
        </w:rPr>
        <w:t>重点围绕土地保障、基础设施、资金筹措、招商引资等方面发力。完成</w:t>
      </w:r>
      <w:r>
        <w:rPr>
          <w:rFonts w:hint="eastAsia"/>
          <w:color w:val="auto"/>
          <w:highlight w:val="none"/>
          <w:lang w:val="en-US" w:eastAsia="zh-CN"/>
        </w:rPr>
        <w:t>犁市片区（一期）土地征地报批工作，完成园区“七通一平”项目，达到企业入驻条件。多渠道筹措园区建设资金，积极申报专项债、新型政策性金融工具、债贷联动等建设资金。探索“管委会+开发运营公司”机制，拓宽园区开发路径。重点围绕通用设备制造、汽车零部件制造等产业开展招商引资，力争新增工业产值10亿元。韶铸片区盘活现有厂区，推进“工改工”项目建设，主攻金属制品业、通用设备制造业，力争新增工业产值5亿元。</w:t>
      </w:r>
    </w:p>
    <w:p w14:paraId="23F09A5A">
      <w:pPr>
        <w:shd w:val="clear"/>
        <w:kinsoku/>
        <w:bidi w:val="0"/>
        <w:rPr>
          <w:rFonts w:hint="eastAsia"/>
          <w:color w:val="auto"/>
          <w:highlight w:val="none"/>
          <w:lang w:val="en-US" w:eastAsia="zh-CN"/>
        </w:rPr>
      </w:pPr>
      <w:r>
        <w:rPr>
          <w:rFonts w:hint="eastAsia"/>
          <w:b/>
          <w:bCs/>
          <w:color w:val="auto"/>
          <w:highlight w:val="none"/>
          <w:lang w:val="en-US" w:eastAsia="zh-CN"/>
        </w:rPr>
        <w:t>推动现有产业平台扩能。</w:t>
      </w:r>
      <w:r>
        <w:rPr>
          <w:rFonts w:hint="eastAsia"/>
          <w:b w:val="0"/>
          <w:bCs w:val="0"/>
          <w:color w:val="auto"/>
          <w:highlight w:val="none"/>
          <w:lang w:val="en-US" w:eastAsia="zh-CN"/>
        </w:rPr>
        <w:t>韶关高新区（浈江片区）</w:t>
      </w:r>
      <w:r>
        <w:rPr>
          <w:rFonts w:hint="eastAsia"/>
          <w:color w:val="auto"/>
          <w:highlight w:val="none"/>
          <w:lang w:val="en-US" w:eastAsia="zh-CN"/>
        </w:rPr>
        <w:t>重点培育装备制造、火力发电、大数据等产业。主攻寮浈二期标准厂房招商，推行“工业上楼”模式，完成8.4万方厂房招商去化工作。建成寮浈数智特色综合体，完善商业服务配套功能，打造产城融合新型商圈。配合韶关高新区打造跨区域合作园，推动产业链与功能配套深度融合，力争新增工业产值20亿元。</w:t>
      </w:r>
      <w:r>
        <w:rPr>
          <w:rFonts w:hint="eastAsia"/>
          <w:b w:val="0"/>
          <w:bCs w:val="0"/>
          <w:color w:val="auto"/>
          <w:highlight w:val="none"/>
          <w:lang w:val="en-US" w:eastAsia="zh-CN"/>
        </w:rPr>
        <w:t>主动参与华南装备园浈江片区招商引资工作</w:t>
      </w:r>
      <w:r>
        <w:rPr>
          <w:rFonts w:hint="eastAsia"/>
          <w:color w:val="auto"/>
          <w:highlight w:val="none"/>
          <w:lang w:val="en-US" w:eastAsia="zh-CN"/>
        </w:rPr>
        <w:t>，重点引进基础材料加工、基础零部件、成套（台）装备制造及电子信息科技产业、大数据硬件设备等先进装备制造项目，力争新增工业产值15亿元。完善</w:t>
      </w:r>
      <w:r>
        <w:rPr>
          <w:rFonts w:hint="eastAsia"/>
          <w:b w:val="0"/>
          <w:bCs w:val="0"/>
          <w:color w:val="auto"/>
          <w:highlight w:val="none"/>
          <w:lang w:val="en-US" w:eastAsia="zh-CN"/>
        </w:rPr>
        <w:t>中金岭南（韶关）功能材料产业园</w:t>
      </w:r>
      <w:r>
        <w:rPr>
          <w:rFonts w:hint="eastAsia"/>
          <w:color w:val="auto"/>
          <w:highlight w:val="none"/>
          <w:lang w:val="en-US" w:eastAsia="zh-CN"/>
        </w:rPr>
        <w:t>基础设施，以创新驱动引领产业升级，打造华南地区极具影响力的新型功能材料基地，力争新增工业产值50亿元。</w:t>
      </w:r>
    </w:p>
    <w:p w14:paraId="2BEE4419">
      <w:pPr>
        <w:shd w:val="clear"/>
        <w:kinsoku/>
        <w:bidi w:val="0"/>
        <w:rPr>
          <w:rFonts w:hint="default"/>
          <w:color w:val="auto"/>
          <w:highlight w:val="none"/>
          <w:lang w:val="en-US" w:eastAsia="zh-CN"/>
        </w:rPr>
      </w:pPr>
      <w:r>
        <w:rPr>
          <w:rFonts w:hint="eastAsia"/>
          <w:b/>
          <w:bCs/>
          <w:color w:val="auto"/>
          <w:highlight w:val="none"/>
          <w:lang w:val="en-US" w:eastAsia="zh-CN"/>
        </w:rPr>
        <w:t>推进产业空间效能提升。</w:t>
      </w:r>
      <w:r>
        <w:rPr>
          <w:rFonts w:hint="eastAsia"/>
          <w:b w:val="0"/>
          <w:bCs w:val="0"/>
          <w:color w:val="auto"/>
          <w:highlight w:val="none"/>
          <w:lang w:val="en-US" w:eastAsia="zh-CN"/>
        </w:rPr>
        <w:t>全面摸查辖区中、省、市属企业闲置低效土地资源，根据片区功能定位，推动低效用地“工改工”“工改商”。主动对接产权主体，打通沟通壁垒，探索低效用地联合开发、合作共建机制，促进存量土地集约高效利用，为优质项目落地、产业能级提升提供坚实用地保障。</w:t>
      </w:r>
      <w:r>
        <w:rPr>
          <w:rFonts w:hint="eastAsia"/>
          <w:color w:val="auto"/>
          <w:highlight w:val="none"/>
          <w:lang w:val="en-US" w:eastAsia="zh-CN"/>
        </w:rPr>
        <w:t>因地制宜推进“腾笼换鸟”，加快盘活南郊片区闲置厂房和用地。</w:t>
      </w:r>
    </w:p>
    <w:p w14:paraId="6683E866">
      <w:pPr>
        <w:shd w:val="clear"/>
        <w:kinsoku/>
        <w:bidi w:val="0"/>
        <w:rPr>
          <w:rFonts w:hint="eastAsia"/>
          <w:color w:val="auto"/>
          <w:highlight w:val="none"/>
          <w:lang w:val="en-US" w:eastAsia="zh-CN"/>
        </w:rPr>
      </w:pPr>
    </w:p>
    <w:p w14:paraId="7A952871">
      <w:pPr>
        <w:shd w:val="clear"/>
        <w:kinsoku/>
        <w:bidi w:val="0"/>
        <w:rPr>
          <w:rFonts w:hint="eastAsia"/>
          <w:color w:val="auto"/>
          <w:highlight w:val="none"/>
          <w:lang w:val="en-US" w:eastAsia="zh-CN"/>
        </w:rPr>
        <w:sectPr>
          <w:pgSz w:w="11906" w:h="16839"/>
          <w:pgMar w:top="2098" w:right="1474" w:bottom="1984" w:left="1587" w:header="1020" w:footer="1417" w:gutter="0"/>
          <w:pgNumType w:fmt="numberInDash"/>
          <w:cols w:space="720" w:num="1"/>
          <w:rtlGutter w:val="0"/>
        </w:sectPr>
      </w:pPr>
    </w:p>
    <w:p w14:paraId="1943CDF3">
      <w:pPr>
        <w:pStyle w:val="3"/>
        <w:shd w:val="clear"/>
        <w:kinsoku/>
        <w:bidi w:val="0"/>
        <w:rPr>
          <w:rFonts w:hint="eastAsia"/>
          <w:b w:val="0"/>
          <w:bCs/>
          <w:color w:val="auto"/>
          <w:highlight w:val="none"/>
          <w:lang w:val="en-US" w:eastAsia="zh-CN"/>
        </w:rPr>
      </w:pPr>
      <w:bookmarkStart w:id="386" w:name="_Toc24590"/>
      <w:bookmarkStart w:id="387" w:name="_Toc20672"/>
      <w:bookmarkStart w:id="388" w:name="_Toc18992"/>
      <w:bookmarkStart w:id="389" w:name="_Toc16410"/>
      <w:bookmarkStart w:id="390" w:name="_Toc23639"/>
      <w:bookmarkStart w:id="391" w:name="_Toc14068"/>
      <w:bookmarkStart w:id="392" w:name="_Toc28478"/>
      <w:bookmarkStart w:id="393" w:name="_Toc2571"/>
      <w:bookmarkStart w:id="394" w:name="_Toc10202"/>
      <w:bookmarkStart w:id="395" w:name="_Toc19335"/>
      <w:bookmarkStart w:id="396" w:name="_Toc19005"/>
      <w:bookmarkStart w:id="397" w:name="_Toc16322"/>
      <w:bookmarkStart w:id="398" w:name="_Toc18595"/>
      <w:bookmarkStart w:id="399" w:name="_Toc7826"/>
      <w:bookmarkStart w:id="400" w:name="_Toc4887"/>
      <w:bookmarkStart w:id="401" w:name="_Toc17042"/>
      <w:bookmarkStart w:id="402" w:name="_Toc14289"/>
      <w:bookmarkStart w:id="403" w:name="_Toc9449"/>
      <w:bookmarkStart w:id="404" w:name="_Toc4487"/>
      <w:bookmarkStart w:id="405" w:name="_Toc8787"/>
      <w:bookmarkStart w:id="406" w:name="_Toc9894"/>
      <w:bookmarkStart w:id="407" w:name="_Toc7587"/>
      <w:r>
        <w:rPr>
          <w:rFonts w:hint="eastAsia"/>
          <w:b w:val="0"/>
          <w:bCs/>
          <w:color w:val="auto"/>
          <w:highlight w:val="none"/>
          <w:lang w:val="en-US" w:eastAsia="zh-CN"/>
        </w:rPr>
        <w:t>第四章 强化科技创新引领，打造韶关科技创新聚集地</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262CA96B">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7B77A709">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深入实施创新驱动发展战略，构建</w:t>
      </w:r>
      <w:r>
        <w:rPr>
          <w:rFonts w:hint="eastAsia" w:ascii="仿宋_GB2312" w:hAnsi="仿宋_GB2312" w:cs="仿宋_GB2312"/>
          <w:strike w:val="0"/>
          <w:dstrike w:val="0"/>
          <w:color w:val="auto"/>
          <w:sz w:val="32"/>
          <w:szCs w:val="32"/>
          <w:highlight w:val="none"/>
          <w:lang w:val="en-US" w:eastAsia="zh-CN"/>
        </w:rPr>
        <w:t>科技、教育、人才三位</w:t>
      </w:r>
      <w:r>
        <w:rPr>
          <w:rFonts w:hint="eastAsia" w:ascii="仿宋_GB2312" w:hAnsi="仿宋_GB2312" w:eastAsia="仿宋_GB2312" w:cs="仿宋_GB2312"/>
          <w:strike w:val="0"/>
          <w:dstrike w:val="0"/>
          <w:color w:val="auto"/>
          <w:sz w:val="32"/>
          <w:szCs w:val="32"/>
          <w:highlight w:val="none"/>
          <w:lang w:val="en-US" w:eastAsia="zh-CN"/>
        </w:rPr>
        <w:t>一体的区域创新体系</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全面催生新质生产力，</w:t>
      </w:r>
      <w:r>
        <w:rPr>
          <w:rFonts w:hint="eastAsia" w:ascii="仿宋_GB2312" w:hAnsi="仿宋_GB2312" w:cs="仿宋_GB2312"/>
          <w:strike w:val="0"/>
          <w:dstrike w:val="0"/>
          <w:color w:val="auto"/>
          <w:sz w:val="32"/>
          <w:szCs w:val="32"/>
          <w:highlight w:val="none"/>
          <w:lang w:val="en-US" w:eastAsia="zh-CN"/>
        </w:rPr>
        <w:t>打造</w:t>
      </w:r>
      <w:r>
        <w:rPr>
          <w:rFonts w:hint="eastAsia" w:ascii="仿宋_GB2312" w:hAnsi="仿宋_GB2312" w:eastAsia="仿宋_GB2312" w:cs="仿宋_GB2312"/>
          <w:strike w:val="0"/>
          <w:dstrike w:val="0"/>
          <w:color w:val="auto"/>
          <w:sz w:val="32"/>
          <w:szCs w:val="32"/>
          <w:highlight w:val="none"/>
          <w:lang w:val="en-US" w:eastAsia="zh-CN"/>
        </w:rPr>
        <w:t>服务韶关、辐射周边的科技创新与成果转化聚集地。</w:t>
      </w:r>
    </w:p>
    <w:p w14:paraId="22B5EBC3">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142779A7">
      <w:pPr>
        <w:pStyle w:val="4"/>
        <w:shd w:val="clear"/>
        <w:kinsoku/>
        <w:bidi w:val="0"/>
        <w:rPr>
          <w:rFonts w:hint="eastAsia"/>
          <w:b w:val="0"/>
          <w:bCs w:val="0"/>
          <w:color w:val="auto"/>
          <w:highlight w:val="none"/>
          <w:lang w:val="en-US" w:eastAsia="zh-CN"/>
        </w:rPr>
      </w:pPr>
      <w:bookmarkStart w:id="408" w:name="_Toc32005"/>
      <w:bookmarkStart w:id="409" w:name="_Toc16849"/>
      <w:bookmarkStart w:id="410" w:name="_Toc30108"/>
      <w:bookmarkStart w:id="411" w:name="_Toc32110"/>
      <w:bookmarkStart w:id="412" w:name="_Toc5207"/>
      <w:bookmarkStart w:id="413" w:name="_Toc11675"/>
      <w:bookmarkStart w:id="414" w:name="_Toc31401"/>
      <w:bookmarkStart w:id="415" w:name="_Toc15019"/>
      <w:bookmarkStart w:id="416" w:name="_Toc24480"/>
      <w:bookmarkStart w:id="417" w:name="_Toc6373"/>
      <w:bookmarkStart w:id="418" w:name="_Toc138"/>
      <w:bookmarkStart w:id="419" w:name="_Toc25886"/>
      <w:bookmarkStart w:id="420" w:name="_Toc23811"/>
      <w:bookmarkStart w:id="421" w:name="_Toc287"/>
      <w:bookmarkStart w:id="422" w:name="_Toc23559"/>
      <w:bookmarkStart w:id="423" w:name="_Toc26196"/>
      <w:bookmarkStart w:id="424" w:name="_Toc2002"/>
      <w:bookmarkStart w:id="425" w:name="_Toc19973"/>
      <w:r>
        <w:rPr>
          <w:rFonts w:hint="eastAsia"/>
          <w:b w:val="0"/>
          <w:bCs w:val="0"/>
          <w:color w:val="auto"/>
          <w:highlight w:val="none"/>
          <w:lang w:val="en-US" w:eastAsia="zh-CN"/>
        </w:rPr>
        <w:t>第一节 推动高能级科技创新平台建设</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61B0081A">
      <w:pPr>
        <w:shd w:val="clear"/>
        <w:kinsoku/>
        <w:bidi w:val="0"/>
        <w:ind w:firstLine="643" w:firstLineChars="200"/>
        <w:rPr>
          <w:rFonts w:hint="eastAsia" w:ascii="仿宋_GB2312" w:hAnsi="仿宋_GB2312" w:cs="仿宋_GB2312"/>
          <w:b/>
          <w:bCs/>
          <w:color w:val="auto"/>
          <w:sz w:val="32"/>
          <w:szCs w:val="32"/>
          <w:highlight w:val="none"/>
          <w:lang w:val="en-US" w:eastAsia="zh-CN"/>
        </w:rPr>
      </w:pPr>
    </w:p>
    <w:p w14:paraId="404B378B">
      <w:pPr>
        <w:shd w:val="clear"/>
        <w:kinsoku/>
        <w:bidi w:val="0"/>
        <w:ind w:firstLine="643"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cs="仿宋_GB2312"/>
          <w:b/>
          <w:bCs/>
          <w:color w:val="auto"/>
          <w:sz w:val="32"/>
          <w:szCs w:val="32"/>
          <w:highlight w:val="none"/>
          <w:lang w:val="en-US" w:eastAsia="zh-CN"/>
        </w:rPr>
        <w:t>建设</w:t>
      </w:r>
      <w:r>
        <w:rPr>
          <w:rFonts w:hint="eastAsia" w:ascii="仿宋_GB2312" w:hAnsi="仿宋_GB2312" w:eastAsia="仿宋_GB2312" w:cs="仿宋_GB2312"/>
          <w:b/>
          <w:bCs/>
          <w:color w:val="auto"/>
          <w:sz w:val="32"/>
          <w:szCs w:val="32"/>
          <w:highlight w:val="none"/>
          <w:lang w:val="en-US" w:eastAsia="zh-CN"/>
        </w:rPr>
        <w:t>产学研用深度融合创新平台。</w:t>
      </w:r>
      <w:r>
        <w:rPr>
          <w:rFonts w:hint="eastAsia" w:ascii="仿宋_GB2312" w:hAnsi="仿宋_GB2312" w:eastAsia="仿宋_GB2312" w:cs="仿宋_GB2312"/>
          <w:color w:val="auto"/>
          <w:sz w:val="32"/>
          <w:szCs w:val="32"/>
          <w:highlight w:val="none"/>
          <w:lang w:val="en-US" w:eastAsia="zh-CN"/>
        </w:rPr>
        <w:t>充分发挥</w:t>
      </w:r>
      <w:r>
        <w:rPr>
          <w:rFonts w:hint="eastAsia" w:ascii="仿宋_GB2312" w:hAnsi="仿宋_GB2312" w:cs="仿宋_GB2312"/>
          <w:color w:val="auto"/>
          <w:sz w:val="32"/>
          <w:szCs w:val="32"/>
          <w:highlight w:val="none"/>
          <w:lang w:val="en-US" w:eastAsia="zh-CN"/>
        </w:rPr>
        <w:t>辖区高校、职教院校聚集优势</w:t>
      </w:r>
      <w:r>
        <w:rPr>
          <w:rFonts w:hint="eastAsia" w:ascii="仿宋_GB2312" w:hAnsi="仿宋_GB2312" w:eastAsia="仿宋_GB2312" w:cs="仿宋_GB2312"/>
          <w:color w:val="auto"/>
          <w:sz w:val="32"/>
          <w:szCs w:val="32"/>
          <w:highlight w:val="none"/>
          <w:lang w:val="en-US" w:eastAsia="zh-CN"/>
        </w:rPr>
        <w:t>，强化科教资源共享与创新联动，统筹推进科技创新平台基地建设，组建联合专家智库，打造教研创一体化赋能区域发展的“大学城”生态。</w:t>
      </w:r>
      <w:r>
        <w:rPr>
          <w:rFonts w:hint="eastAsia" w:ascii="仿宋_GB2312" w:hAnsi="仿宋_GB2312" w:eastAsia="仿宋_GB2312" w:cs="仿宋_GB2312"/>
          <w:b w:val="0"/>
          <w:bCs w:val="0"/>
          <w:color w:val="auto"/>
          <w:sz w:val="32"/>
          <w:szCs w:val="32"/>
          <w:highlight w:val="none"/>
          <w:lang w:val="en-US" w:eastAsia="zh-CN"/>
        </w:rPr>
        <w:t>依托粤港澳大湾区（韶关）大模型产学研示范基地、</w:t>
      </w:r>
      <w:r>
        <w:rPr>
          <w:rFonts w:hint="eastAsia" w:ascii="仿宋_GB2312" w:hAnsi="仿宋_GB2312" w:cs="仿宋_GB2312"/>
          <w:b w:val="0"/>
          <w:bCs w:val="0"/>
          <w:color w:val="auto"/>
          <w:sz w:val="32"/>
          <w:szCs w:val="32"/>
          <w:highlight w:val="none"/>
          <w:lang w:val="en-US" w:eastAsia="zh-CN"/>
        </w:rPr>
        <w:t>广东</w:t>
      </w:r>
      <w:r>
        <w:rPr>
          <w:rFonts w:hint="eastAsia" w:ascii="仿宋_GB2312" w:hAnsi="仿宋_GB2312" w:eastAsia="仿宋_GB2312" w:cs="仿宋_GB2312"/>
          <w:b w:val="0"/>
          <w:bCs w:val="0"/>
          <w:color w:val="auto"/>
          <w:sz w:val="32"/>
          <w:szCs w:val="32"/>
          <w:highlight w:val="none"/>
          <w:lang w:val="en-US" w:eastAsia="zh-CN"/>
        </w:rPr>
        <w:t>松山职业</w:t>
      </w:r>
      <w:r>
        <w:rPr>
          <w:rFonts w:hint="eastAsia" w:ascii="仿宋_GB2312" w:hAnsi="仿宋_GB2312" w:cs="仿宋_GB2312"/>
          <w:b w:val="0"/>
          <w:bCs w:val="0"/>
          <w:color w:val="auto"/>
          <w:sz w:val="32"/>
          <w:szCs w:val="32"/>
          <w:highlight w:val="none"/>
          <w:lang w:val="en-US" w:eastAsia="zh-CN"/>
        </w:rPr>
        <w:t>技术</w:t>
      </w:r>
      <w:r>
        <w:rPr>
          <w:rFonts w:hint="eastAsia" w:ascii="仿宋_GB2312" w:hAnsi="仿宋_GB2312" w:eastAsia="仿宋_GB2312" w:cs="仿宋_GB2312"/>
          <w:b w:val="0"/>
          <w:bCs w:val="0"/>
          <w:color w:val="auto"/>
          <w:sz w:val="32"/>
          <w:szCs w:val="32"/>
          <w:highlight w:val="none"/>
          <w:lang w:val="en-US" w:eastAsia="zh-CN"/>
        </w:rPr>
        <w:t>学院粤北大数据产业学院等现有产教融合载体，拓展与先进地区高校和科研机构的合作渠道，打造多层次、宽领域的产学研用协同创新网络。主动争取大湾区科研机构、高校、高新技术企业在浈江设立研发中心或重点实验室</w:t>
      </w:r>
      <w:r>
        <w:rPr>
          <w:rFonts w:hint="eastAsia" w:ascii="仿宋_GB2312" w:hAnsi="仿宋_GB2312" w:cs="仿宋_GB2312"/>
          <w:b w:val="0"/>
          <w:bCs w:val="0"/>
          <w:color w:val="auto"/>
          <w:sz w:val="32"/>
          <w:szCs w:val="32"/>
          <w:highlight w:val="none"/>
          <w:lang w:val="en-US" w:eastAsia="zh-CN"/>
        </w:rPr>
        <w:t>。</w:t>
      </w:r>
    </w:p>
    <w:p w14:paraId="3E80FCF2">
      <w:pPr>
        <w:shd w:val="clear"/>
        <w:kinsoku/>
        <w:bidi w:val="0"/>
        <w:rPr>
          <w:rFonts w:hint="eastAsia"/>
          <w:strike w:val="0"/>
          <w:dstrike w:val="0"/>
          <w:color w:val="auto"/>
          <w:sz w:val="32"/>
          <w:szCs w:val="32"/>
          <w:highlight w:val="none"/>
          <w:u w:val="none" w:color="auto"/>
          <w:lang w:val="en-US" w:eastAsia="zh-CN"/>
        </w:rPr>
      </w:pPr>
      <w:r>
        <w:rPr>
          <w:rFonts w:hint="eastAsia" w:ascii="仿宋_GB2312" w:hAnsi="仿宋_GB2312" w:eastAsia="仿宋_GB2312" w:cs="仿宋_GB2312"/>
          <w:b/>
          <w:bCs/>
          <w:color w:val="auto"/>
          <w:sz w:val="32"/>
          <w:szCs w:val="32"/>
          <w:highlight w:val="none"/>
          <w:lang w:val="en-US" w:eastAsia="zh-CN"/>
        </w:rPr>
        <w:t>健全全链条</w:t>
      </w:r>
      <w:r>
        <w:rPr>
          <w:rFonts w:hint="eastAsia" w:ascii="仿宋_GB2312" w:hAnsi="仿宋_GB2312" w:cs="仿宋_GB2312"/>
          <w:b/>
          <w:bCs/>
          <w:color w:val="auto"/>
          <w:sz w:val="32"/>
          <w:szCs w:val="32"/>
          <w:highlight w:val="none"/>
          <w:lang w:val="en-US" w:eastAsia="zh-CN"/>
        </w:rPr>
        <w:t>科技</w:t>
      </w:r>
      <w:r>
        <w:rPr>
          <w:rFonts w:hint="eastAsia" w:ascii="仿宋_GB2312" w:hAnsi="仿宋_GB2312" w:eastAsia="仿宋_GB2312" w:cs="仿宋_GB2312"/>
          <w:b/>
          <w:bCs/>
          <w:color w:val="auto"/>
          <w:sz w:val="32"/>
          <w:szCs w:val="32"/>
          <w:highlight w:val="none"/>
          <w:lang w:val="en-US" w:eastAsia="zh-CN"/>
        </w:rPr>
        <w:t>成果转化</w:t>
      </w:r>
      <w:r>
        <w:rPr>
          <w:rFonts w:hint="eastAsia" w:ascii="仿宋_GB2312" w:hAnsi="仿宋_GB2312" w:cs="仿宋_GB2312"/>
          <w:b/>
          <w:bCs/>
          <w:color w:val="auto"/>
          <w:sz w:val="32"/>
          <w:szCs w:val="32"/>
          <w:highlight w:val="none"/>
          <w:lang w:val="en-US" w:eastAsia="zh-CN"/>
        </w:rPr>
        <w:t>路径</w:t>
      </w:r>
      <w:r>
        <w:rPr>
          <w:rFonts w:hint="eastAsia" w:ascii="Times New Roman" w:hAnsi="Times New Roman"/>
          <w:b/>
          <w:bCs/>
          <w:color w:val="auto"/>
          <w:highlight w:val="none"/>
          <w:lang w:val="en-US" w:eastAsia="zh-CN"/>
        </w:rPr>
        <w:t>。</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cs="仿宋_GB2312"/>
          <w:color w:val="auto"/>
          <w:sz w:val="32"/>
          <w:szCs w:val="32"/>
          <w:highlight w:val="none"/>
          <w:lang w:val="en-US" w:eastAsia="zh-CN"/>
        </w:rPr>
        <w:t>实体企业与</w:t>
      </w:r>
      <w:r>
        <w:rPr>
          <w:rFonts w:hint="eastAsia" w:ascii="仿宋_GB2312" w:hAnsi="仿宋_GB2312" w:eastAsia="仿宋_GB2312" w:cs="仿宋_GB2312"/>
          <w:color w:val="auto"/>
          <w:sz w:val="32"/>
          <w:szCs w:val="32"/>
          <w:highlight w:val="none"/>
          <w:lang w:val="en-US" w:eastAsia="zh-CN"/>
        </w:rPr>
        <w:t>高校、科研机构开展深度</w:t>
      </w:r>
      <w:r>
        <w:rPr>
          <w:rFonts w:hint="eastAsia" w:ascii="仿宋_GB2312" w:hAnsi="仿宋_GB2312" w:cs="仿宋_GB2312"/>
          <w:color w:val="auto"/>
          <w:sz w:val="32"/>
          <w:szCs w:val="32"/>
          <w:highlight w:val="none"/>
          <w:lang w:val="en-US" w:eastAsia="zh-CN"/>
        </w:rPr>
        <w:t>合作</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推行“企业出题、高校解题、市场验题”机制，推动关键技术协同攻关与成果落地。</w:t>
      </w:r>
      <w:r>
        <w:rPr>
          <w:rFonts w:hint="eastAsia" w:ascii="仿宋_GB2312" w:hAnsi="仿宋_GB2312" w:cs="仿宋_GB2312"/>
          <w:b w:val="0"/>
          <w:bCs w:val="0"/>
          <w:color w:val="auto"/>
          <w:sz w:val="32"/>
          <w:szCs w:val="32"/>
          <w:highlight w:val="none"/>
          <w:lang w:val="en-US" w:eastAsia="zh-CN"/>
        </w:rPr>
        <w:t>加快构建</w:t>
      </w:r>
      <w:r>
        <w:rPr>
          <w:rFonts w:hint="eastAsia" w:ascii="仿宋_GB2312" w:hAnsi="仿宋_GB2312" w:eastAsia="仿宋_GB2312" w:cs="仿宋_GB2312"/>
          <w:b w:val="0"/>
          <w:bCs w:val="0"/>
          <w:color w:val="auto"/>
          <w:sz w:val="32"/>
          <w:szCs w:val="32"/>
          <w:highlight w:val="none"/>
          <w:lang w:val="en-US" w:eastAsia="zh-CN"/>
        </w:rPr>
        <w:t>“众创空间—孵化器—加速器—产业园”一体化链条，积极推动与高校、科技领军企业协同共建未来产业科技园等高端载体。</w:t>
      </w:r>
      <w:r>
        <w:rPr>
          <w:rFonts w:hint="eastAsia"/>
          <w:strike w:val="0"/>
          <w:dstrike w:val="0"/>
          <w:color w:val="auto"/>
          <w:sz w:val="32"/>
          <w:szCs w:val="32"/>
          <w:highlight w:val="none"/>
          <w:u w:val="none" w:color="auto"/>
          <w:lang w:val="en-US" w:eastAsia="zh-CN"/>
        </w:rPr>
        <w:t>强化粤港澳大湾区科技成果转化合作，建立科技成果转化基地、科技成果中试基地，加大应用场景建设和开放力度，支持建设一批新技术应用场景。</w:t>
      </w:r>
    </w:p>
    <w:p w14:paraId="7DF94F85">
      <w:pPr>
        <w:shd w:val="clear"/>
        <w:kinsoku/>
        <w:bidi w:val="0"/>
        <w:rPr>
          <w:rFonts w:hint="eastAsia"/>
          <w:strike w:val="0"/>
          <w:dstrike w:val="0"/>
          <w:color w:val="auto"/>
          <w:sz w:val="32"/>
          <w:szCs w:val="32"/>
          <w:highlight w:val="none"/>
          <w:u w:val="none" w:color="auto"/>
          <w:lang w:val="en-US" w:eastAsia="zh-CN"/>
        </w:rPr>
      </w:pPr>
    </w:p>
    <w:p w14:paraId="17FA94E7">
      <w:pPr>
        <w:pStyle w:val="4"/>
        <w:shd w:val="clear"/>
        <w:kinsoku/>
        <w:bidi w:val="0"/>
        <w:rPr>
          <w:rFonts w:hint="eastAsia"/>
          <w:b w:val="0"/>
          <w:bCs w:val="0"/>
          <w:color w:val="auto"/>
          <w:highlight w:val="none"/>
          <w:lang w:val="en-US" w:eastAsia="zh-CN"/>
        </w:rPr>
      </w:pPr>
      <w:bookmarkStart w:id="426" w:name="_Toc27326"/>
      <w:bookmarkStart w:id="427" w:name="_Toc19527"/>
      <w:bookmarkStart w:id="428" w:name="_Toc31510"/>
      <w:bookmarkStart w:id="429" w:name="_Toc17608"/>
      <w:bookmarkStart w:id="430" w:name="_Toc22655"/>
      <w:bookmarkStart w:id="431" w:name="_Toc26430"/>
      <w:bookmarkStart w:id="432" w:name="_Toc18403"/>
      <w:bookmarkStart w:id="433" w:name="_Toc28510"/>
      <w:bookmarkStart w:id="434" w:name="_Toc18273"/>
      <w:bookmarkStart w:id="435" w:name="_Toc5636"/>
      <w:bookmarkStart w:id="436" w:name="_Toc25861"/>
      <w:bookmarkStart w:id="437" w:name="_Toc10778"/>
      <w:bookmarkStart w:id="438" w:name="_Toc29774"/>
      <w:bookmarkStart w:id="439" w:name="_Toc8097"/>
      <w:bookmarkStart w:id="440" w:name="_Toc682"/>
      <w:bookmarkStart w:id="441" w:name="_Toc29643"/>
      <w:bookmarkStart w:id="442" w:name="_Toc11625"/>
      <w:bookmarkStart w:id="443" w:name="_Toc4409"/>
      <w:r>
        <w:rPr>
          <w:rFonts w:hint="eastAsia"/>
          <w:b w:val="0"/>
          <w:bCs w:val="0"/>
          <w:color w:val="auto"/>
          <w:highlight w:val="none"/>
          <w:lang w:val="en-US" w:eastAsia="zh-CN"/>
        </w:rPr>
        <w:t>第二节 强化企业创新主体地位</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5C6E7EB6">
      <w:pPr>
        <w:shd w:val="clear"/>
        <w:kinsoku/>
        <w:bidi w:val="0"/>
        <w:rPr>
          <w:rFonts w:hint="eastAsia"/>
          <w:b/>
          <w:bCs/>
          <w:color w:val="auto"/>
          <w:highlight w:val="none"/>
          <w:lang w:val="en-US" w:eastAsia="zh-CN"/>
        </w:rPr>
      </w:pPr>
    </w:p>
    <w:p w14:paraId="604F4293">
      <w:pPr>
        <w:shd w:val="clear"/>
        <w:kinsoku/>
        <w:bidi w:val="0"/>
        <w:rPr>
          <w:rFonts w:hint="eastAsia"/>
          <w:color w:val="auto"/>
          <w:highlight w:val="none"/>
          <w:lang w:val="en-US" w:eastAsia="zh-CN"/>
        </w:rPr>
      </w:pPr>
      <w:r>
        <w:rPr>
          <w:rFonts w:hint="eastAsia"/>
          <w:b/>
          <w:bCs/>
          <w:color w:val="auto"/>
          <w:highlight w:val="none"/>
          <w:lang w:val="en-US" w:eastAsia="zh-CN"/>
        </w:rPr>
        <w:t>推进产业与科技互促双强。</w:t>
      </w:r>
      <w:r>
        <w:rPr>
          <w:rFonts w:hint="eastAsia"/>
          <w:b w:val="0"/>
          <w:bCs w:val="0"/>
          <w:color w:val="auto"/>
          <w:highlight w:val="none"/>
          <w:lang w:val="en-US" w:eastAsia="zh-CN"/>
        </w:rPr>
        <w:t>实施龙头企业创新领航计划，</w:t>
      </w:r>
      <w:r>
        <w:rPr>
          <w:rFonts w:hint="eastAsia"/>
          <w:color w:val="auto"/>
          <w:highlight w:val="none"/>
          <w:lang w:val="en-US" w:eastAsia="zh-CN"/>
        </w:rPr>
        <w:t>支持韶冶、比亚迪、国粤电力、韶铸等龙头企业建设高水平研发机构，鼓励其开展关键核心技术攻关、加大基础研究投入比重、组建创新联合体，促进创新链产业链资金链人才链深度融合，提升自主创新能力，产出更多标志性原创成果。到2030年，力争新增省级工程技术研究中心2家、市级工程技术研究中心3家。</w:t>
      </w:r>
    </w:p>
    <w:p w14:paraId="77AB88D6">
      <w:pPr>
        <w:shd w:val="clear"/>
        <w:kinsoku/>
        <w:bidi w:val="0"/>
        <w:rPr>
          <w:rFonts w:hint="eastAsia"/>
          <w:color w:val="auto"/>
          <w:highlight w:val="none"/>
          <w:lang w:val="en-US" w:eastAsia="zh-CN"/>
        </w:rPr>
      </w:pPr>
      <w:r>
        <w:rPr>
          <w:rFonts w:hint="eastAsia"/>
          <w:b/>
          <w:bCs/>
          <w:color w:val="auto"/>
          <w:highlight w:val="none"/>
          <w:lang w:val="en-US" w:eastAsia="zh-CN"/>
        </w:rPr>
        <w:t>梯度培育专精特新企业集群。</w:t>
      </w:r>
      <w:r>
        <w:rPr>
          <w:rFonts w:hint="eastAsia"/>
          <w:color w:val="auto"/>
          <w:highlight w:val="none"/>
          <w:lang w:val="en-US" w:eastAsia="zh-CN"/>
        </w:rPr>
        <w:t>培育壮大科技企业，支持高新技术企业和科技型中小企业发展，实施企业梯度培育计划，建立“小升规、规做精”企业培育库，精准施策扶持专精特新企业。强化创新驱动，持续用好省、市技改专项政策支持传统产业加大技改力度，实施智能化、绿色化、数字化改造。到2030年，新增国家级专精特新“小巨人”企业1家，省级专精特新企业5家，国家高新技术企业5家。</w:t>
      </w:r>
    </w:p>
    <w:p w14:paraId="4876032A">
      <w:pPr>
        <w:shd w:val="clear"/>
        <w:kinsoku/>
        <w:bidi w:val="0"/>
        <w:rPr>
          <w:rFonts w:hint="eastAsia"/>
          <w:color w:val="auto"/>
          <w:highlight w:val="none"/>
          <w:lang w:val="en-US" w:eastAsia="zh-CN"/>
        </w:rPr>
      </w:pPr>
      <w:r>
        <w:rPr>
          <w:rFonts w:hint="eastAsia"/>
          <w:b/>
          <w:bCs/>
          <w:color w:val="auto"/>
          <w:highlight w:val="none"/>
          <w:lang w:val="en-US" w:eastAsia="zh-CN"/>
        </w:rPr>
        <w:t>优化企业创新服务与保障生态。</w:t>
      </w:r>
      <w:r>
        <w:rPr>
          <w:rFonts w:hint="eastAsia"/>
          <w:color w:val="auto"/>
          <w:highlight w:val="none"/>
          <w:lang w:val="en-US" w:eastAsia="zh-CN"/>
        </w:rPr>
        <w:t>加强知识产权保护和运用，引导创新主体开展关键技术领域的核心专利挖掘，推动专利与技术标准融合，力争到2030年实现全区每万人高价值发明专利拥有量达到4.37件。全面落实企业研发费用加计扣除税收政策和技改政策</w:t>
      </w:r>
      <w:r>
        <w:rPr>
          <w:rFonts w:hint="eastAsia"/>
          <w:color w:val="auto"/>
          <w:highlight w:val="none"/>
          <w:lang w:eastAsia="zh-CN"/>
        </w:rPr>
        <w:t>，</w:t>
      </w:r>
      <w:r>
        <w:rPr>
          <w:rFonts w:hint="eastAsia"/>
          <w:color w:val="auto"/>
          <w:highlight w:val="none"/>
          <w:lang w:val="en-US" w:eastAsia="zh-CN"/>
        </w:rPr>
        <w:t>营造崇尚创新的环境。</w:t>
      </w:r>
    </w:p>
    <w:p w14:paraId="61B29F30">
      <w:pPr>
        <w:shd w:val="clear"/>
        <w:kinsoku/>
        <w:bidi w:val="0"/>
        <w:rPr>
          <w:rFonts w:hint="eastAsia"/>
          <w:color w:val="auto"/>
          <w:highlight w:val="none"/>
          <w:lang w:val="en-US" w:eastAsia="zh-CN"/>
        </w:rPr>
      </w:pPr>
    </w:p>
    <w:p w14:paraId="34336ADF">
      <w:pPr>
        <w:pStyle w:val="4"/>
        <w:shd w:val="clear"/>
        <w:kinsoku/>
        <w:bidi w:val="0"/>
        <w:rPr>
          <w:rFonts w:hint="eastAsia"/>
          <w:b w:val="0"/>
          <w:bCs w:val="0"/>
          <w:color w:val="auto"/>
          <w:highlight w:val="none"/>
          <w:lang w:val="en-US" w:eastAsia="zh-CN"/>
        </w:rPr>
      </w:pPr>
      <w:bookmarkStart w:id="444" w:name="_Toc16593"/>
      <w:bookmarkStart w:id="445" w:name="_Toc20698"/>
      <w:bookmarkStart w:id="446" w:name="_Toc7094"/>
      <w:bookmarkStart w:id="447" w:name="_Toc4031"/>
      <w:bookmarkStart w:id="448" w:name="_Toc32570"/>
      <w:bookmarkStart w:id="449" w:name="_Toc20141"/>
      <w:bookmarkStart w:id="450" w:name="_Toc28385"/>
      <w:bookmarkStart w:id="451" w:name="_Toc5788"/>
      <w:bookmarkStart w:id="452" w:name="_Toc21804"/>
      <w:bookmarkStart w:id="453" w:name="_Toc27702"/>
      <w:bookmarkStart w:id="454" w:name="_Toc6151"/>
      <w:bookmarkStart w:id="455" w:name="_Toc19991"/>
      <w:bookmarkStart w:id="456" w:name="_Toc8748"/>
      <w:bookmarkStart w:id="457" w:name="_Toc31747"/>
      <w:bookmarkStart w:id="458" w:name="_Toc31129"/>
      <w:bookmarkStart w:id="459" w:name="_Toc18168"/>
      <w:bookmarkStart w:id="460" w:name="_Toc26271"/>
      <w:bookmarkStart w:id="461" w:name="_Toc31277"/>
      <w:r>
        <w:rPr>
          <w:rFonts w:hint="eastAsia"/>
          <w:b w:val="0"/>
          <w:bCs w:val="0"/>
          <w:color w:val="auto"/>
          <w:highlight w:val="none"/>
          <w:lang w:val="en-US" w:eastAsia="zh-CN"/>
        </w:rPr>
        <w:t>第三节 构筑区域创新人才高地</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3CFB6515">
      <w:pPr>
        <w:shd w:val="clear"/>
        <w:kinsoku/>
        <w:bidi w:val="0"/>
        <w:rPr>
          <w:rFonts w:hint="eastAsia"/>
          <w:b/>
          <w:bCs/>
          <w:color w:val="auto"/>
          <w:highlight w:val="none"/>
          <w:lang w:val="en-US" w:eastAsia="zh-CN"/>
        </w:rPr>
      </w:pPr>
    </w:p>
    <w:p w14:paraId="6BDBCE27">
      <w:pPr>
        <w:shd w:val="clear"/>
        <w:kinsoku/>
        <w:bidi w:val="0"/>
        <w:rPr>
          <w:rFonts w:hint="default"/>
          <w:color w:val="auto"/>
          <w:highlight w:val="none"/>
          <w:lang w:val="en-US" w:eastAsia="zh-CN"/>
        </w:rPr>
      </w:pPr>
      <w:r>
        <w:rPr>
          <w:rFonts w:hint="eastAsia"/>
          <w:b/>
          <w:bCs/>
          <w:color w:val="auto"/>
          <w:highlight w:val="none"/>
          <w:lang w:val="en-US" w:eastAsia="zh-CN"/>
        </w:rPr>
        <w:t>实施精准高效引才计划。</w:t>
      </w:r>
      <w:r>
        <w:rPr>
          <w:rFonts w:hint="eastAsia" w:ascii="仿宋_GB2312" w:hAnsi="仿宋_GB2312" w:eastAsia="仿宋_GB2312" w:cs="仿宋_GB2312"/>
          <w:snapToGrid w:val="0"/>
          <w:color w:val="auto"/>
          <w:kern w:val="0"/>
          <w:sz w:val="32"/>
          <w:szCs w:val="32"/>
          <w:highlight w:val="none"/>
          <w:shd w:val="clear" w:color="auto" w:fill="FFFFFF"/>
          <w:lang w:val="en-US" w:eastAsia="zh-CN"/>
        </w:rPr>
        <w:t>围绕高校院所分布、行业专家信息绘制“人才地图”，为企业提供“按图索才”导航服务。</w:t>
      </w:r>
      <w:r>
        <w:rPr>
          <w:rFonts w:hint="eastAsia"/>
          <w:color w:val="auto"/>
          <w:highlight w:val="none"/>
          <w:lang w:val="en-US" w:eastAsia="zh-CN"/>
        </w:rPr>
        <w:t>优化青年人才引进结构，重点提升产业科技类人才比重，与本地高校共建产业人才培养模式。建立乡村振兴人才驿站特约顾问机制，柔性引进大湾区高层次专家团队。“十五五”期间，力争引入各类专家人才150人次以上。</w:t>
      </w:r>
    </w:p>
    <w:p w14:paraId="7E7FE4CC">
      <w:pPr>
        <w:shd w:val="clear"/>
        <w:kinsoku/>
        <w:bidi w:val="0"/>
        <w:rPr>
          <w:rFonts w:hint="eastAsia"/>
          <w:color w:val="auto"/>
          <w:highlight w:val="none"/>
          <w:lang w:val="en-US" w:eastAsia="zh-CN"/>
        </w:rPr>
      </w:pPr>
      <w:r>
        <w:rPr>
          <w:rFonts w:hint="eastAsia"/>
          <w:b/>
          <w:bCs/>
          <w:color w:val="auto"/>
          <w:highlight w:val="none"/>
          <w:lang w:val="en-US" w:eastAsia="zh-CN"/>
        </w:rPr>
        <w:t>推进产教融合育才工程。</w:t>
      </w:r>
      <w:r>
        <w:rPr>
          <w:rFonts w:hint="eastAsia"/>
          <w:color w:val="auto"/>
          <w:highlight w:val="none"/>
          <w:lang w:val="en-US" w:eastAsia="zh-CN"/>
        </w:rPr>
        <w:t>深化政校企合作，依托辖区产业园区与职教资源，深化产教融合，推动职业院校与企业共建实训基地，开展“订单式”联合育才，打造“企业下单提需求、政府搭桥建平台、校地合作育人才”的共赢模式。实施人才培育工程，重点培育支撑产业发展的工程师队伍与高技能工匠人才，打造结构合理、持续成长的人才梯队。完善职称评审工作机制，支持企业人员职称评定，鼓励技术工人参加职称职级评定和继续教育。</w:t>
      </w:r>
    </w:p>
    <w:p w14:paraId="04FB520F">
      <w:pPr>
        <w:shd w:val="clear"/>
        <w:kinsoku/>
        <w:bidi w:val="0"/>
        <w:rPr>
          <w:rFonts w:hint="eastAsia"/>
          <w:b w:val="0"/>
          <w:bCs w:val="0"/>
          <w:color w:val="auto"/>
          <w:highlight w:val="none"/>
          <w:lang w:val="en-US" w:eastAsia="zh-CN"/>
        </w:rPr>
      </w:pPr>
      <w:r>
        <w:rPr>
          <w:rFonts w:hint="eastAsia"/>
          <w:b/>
          <w:bCs/>
          <w:color w:val="auto"/>
          <w:highlight w:val="none"/>
          <w:lang w:val="en-US" w:eastAsia="zh-CN"/>
        </w:rPr>
        <w:t>构建高活力人才发展生态。</w:t>
      </w:r>
      <w:r>
        <w:rPr>
          <w:rFonts w:hint="eastAsia" w:ascii="BatangChe" w:hAnsi="BatangChe" w:eastAsia="仿宋_GB2312" w:cs="仿宋_GB2312"/>
          <w:b w:val="0"/>
          <w:bCs w:val="0"/>
          <w:snapToGrid/>
          <w:color w:val="auto"/>
          <w:kern w:val="2"/>
          <w:sz w:val="32"/>
          <w:szCs w:val="32"/>
          <w:highlight w:val="none"/>
          <w:lang w:val="en-US" w:eastAsia="zh-CN"/>
        </w:rPr>
        <w:t>完善人才发展机制建设</w:t>
      </w:r>
      <w:r>
        <w:rPr>
          <w:rFonts w:hint="eastAsia" w:ascii="BatangChe" w:hAnsi="BatangChe" w:cs="仿宋_GB2312"/>
          <w:b w:val="0"/>
          <w:bCs w:val="0"/>
          <w:snapToGrid/>
          <w:color w:val="auto"/>
          <w:kern w:val="2"/>
          <w:sz w:val="32"/>
          <w:szCs w:val="32"/>
          <w:highlight w:val="none"/>
          <w:lang w:val="en-US" w:eastAsia="zh-CN"/>
        </w:rPr>
        <w:t>，</w:t>
      </w:r>
      <w:r>
        <w:rPr>
          <w:rFonts w:hint="eastAsia" w:ascii="BatangChe" w:hAnsi="BatangChe" w:eastAsia="仿宋_GB2312" w:cs="仿宋_GB2312"/>
          <w:b w:val="0"/>
          <w:bCs w:val="0"/>
          <w:snapToGrid/>
          <w:color w:val="auto"/>
          <w:kern w:val="2"/>
          <w:sz w:val="32"/>
          <w:szCs w:val="32"/>
          <w:highlight w:val="none"/>
          <w:lang w:val="en-US" w:eastAsia="zh-CN"/>
        </w:rPr>
        <w:t>健全市场化、社会化的人才管理服务体系</w:t>
      </w:r>
      <w:r>
        <w:rPr>
          <w:rFonts w:hint="eastAsia" w:ascii="BatangChe" w:hAnsi="BatangChe" w:cs="仿宋_GB2312"/>
          <w:b w:val="0"/>
          <w:bCs w:val="0"/>
          <w:snapToGrid/>
          <w:color w:val="auto"/>
          <w:kern w:val="2"/>
          <w:sz w:val="32"/>
          <w:szCs w:val="32"/>
          <w:highlight w:val="none"/>
          <w:lang w:val="en-US" w:eastAsia="zh-CN"/>
        </w:rPr>
        <w:t>。</w:t>
      </w:r>
      <w:r>
        <w:rPr>
          <w:rFonts w:hint="eastAsia"/>
          <w:color w:val="auto"/>
          <w:highlight w:val="none"/>
          <w:lang w:val="en-US" w:eastAsia="zh-CN"/>
        </w:rPr>
        <w:t>建立以创新价值、能力、贡献为导向的评价体系，对在推动产业转型升级和科技创新突破等方面取得重大成果的专家人才予以专项奖励。发挥省级博士工作站、创新实践基地等平台作用，鼓励在韶高校人才与企业交流合作，为人才施展才华提供广阔舞台。完善事业单位人员激励机制，推进干部多岗位锻炼。优化乡村振兴人才驿站运营模式，落实精准对接服务。建立“人才服务专员”队伍，搭建人才交流互促平台，营造尊重人才、关爱人才的社会氛围，让人才在浈江</w:t>
      </w:r>
      <w:r>
        <w:rPr>
          <w:rFonts w:hint="eastAsia"/>
          <w:b w:val="0"/>
          <w:bCs w:val="0"/>
          <w:color w:val="auto"/>
          <w:highlight w:val="none"/>
          <w:lang w:val="en-US" w:eastAsia="zh-CN"/>
        </w:rPr>
        <w:t>“留得下、发展好”。</w:t>
      </w:r>
    </w:p>
    <w:p w14:paraId="1FAFC68F">
      <w:pPr>
        <w:shd w:val="clear"/>
        <w:kinsoku/>
        <w:bidi w:val="0"/>
        <w:rPr>
          <w:rFonts w:hint="eastAsia"/>
          <w:b w:val="0"/>
          <w:bCs w:val="0"/>
          <w:color w:val="auto"/>
          <w:highlight w:val="none"/>
          <w:lang w:val="en-US" w:eastAsia="zh-CN"/>
        </w:rPr>
      </w:pPr>
    </w:p>
    <w:p w14:paraId="5EA23E3F">
      <w:pPr>
        <w:shd w:val="clear"/>
        <w:kinsoku/>
        <w:bidi w:val="0"/>
        <w:rPr>
          <w:rFonts w:hint="eastAsia"/>
          <w:b w:val="0"/>
          <w:bCs w:val="0"/>
          <w:color w:val="auto"/>
          <w:highlight w:val="none"/>
          <w:lang w:val="en-US" w:eastAsia="zh-CN"/>
        </w:rPr>
        <w:sectPr>
          <w:pgSz w:w="11906" w:h="16839"/>
          <w:pgMar w:top="2098" w:right="1474" w:bottom="1984" w:left="1587" w:header="454" w:footer="1417" w:gutter="0"/>
          <w:pgNumType w:fmt="numberInDash"/>
          <w:cols w:space="720" w:num="1"/>
          <w:rtlGutter w:val="0"/>
        </w:sectPr>
      </w:pPr>
    </w:p>
    <w:p w14:paraId="7B571E76">
      <w:pPr>
        <w:pStyle w:val="3"/>
        <w:shd w:val="clear"/>
        <w:kinsoku/>
        <w:bidi w:val="0"/>
        <w:rPr>
          <w:rFonts w:hint="eastAsia"/>
          <w:b w:val="0"/>
          <w:bCs w:val="0"/>
          <w:color w:val="auto"/>
          <w:highlight w:val="none"/>
          <w:lang w:val="en-US" w:eastAsia="zh-CN"/>
        </w:rPr>
      </w:pPr>
      <w:bookmarkStart w:id="462" w:name="_Toc16327"/>
      <w:bookmarkStart w:id="463" w:name="_Toc10439"/>
      <w:bookmarkStart w:id="464" w:name="_Toc25426"/>
      <w:bookmarkStart w:id="465" w:name="_Toc22852"/>
      <w:bookmarkStart w:id="466" w:name="_Toc20660"/>
      <w:bookmarkStart w:id="467" w:name="_Toc29846"/>
      <w:bookmarkStart w:id="468" w:name="_Toc9271"/>
      <w:bookmarkStart w:id="469" w:name="_Toc3703"/>
      <w:bookmarkStart w:id="470" w:name="_Toc4162"/>
      <w:bookmarkStart w:id="471" w:name="_Toc15690"/>
      <w:bookmarkStart w:id="472" w:name="_Toc9433"/>
      <w:bookmarkStart w:id="473" w:name="_Toc10629"/>
      <w:bookmarkStart w:id="474" w:name="_Toc21236"/>
      <w:bookmarkStart w:id="475" w:name="_Toc2930"/>
      <w:bookmarkStart w:id="476" w:name="_Toc26083"/>
      <w:bookmarkStart w:id="477" w:name="_Toc19637"/>
      <w:bookmarkStart w:id="478" w:name="_Toc13930"/>
      <w:bookmarkStart w:id="479" w:name="_Toc18665"/>
      <w:r>
        <w:rPr>
          <w:rFonts w:hint="eastAsia"/>
          <w:b w:val="0"/>
          <w:bCs w:val="0"/>
          <w:color w:val="auto"/>
          <w:highlight w:val="none"/>
          <w:lang w:val="en-US" w:eastAsia="zh-CN"/>
        </w:rPr>
        <w:t>第五章 提升商贸枢纽能级，打造韶关商贸物流中心</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7480AB52">
      <w:pPr>
        <w:shd w:val="clear"/>
        <w:kinsoku/>
        <w:bidi w:val="0"/>
        <w:rPr>
          <w:rFonts w:hint="eastAsia" w:ascii="仿宋_GB2312" w:hAnsi="仿宋_GB2312" w:eastAsia="仿宋_GB2312" w:cs="仿宋_GB2312"/>
          <w:strike w:val="0"/>
          <w:dstrike w:val="0"/>
          <w:color w:val="auto"/>
          <w:szCs w:val="32"/>
          <w:highlight w:val="none"/>
          <w:lang w:val="en-US" w:eastAsia="zh-CN"/>
        </w:rPr>
      </w:pPr>
    </w:p>
    <w:p w14:paraId="3CF67AE9">
      <w:pPr>
        <w:shd w:val="clear"/>
        <w:kinsoku/>
        <w:bidi w:val="0"/>
        <w:rPr>
          <w:rFonts w:hint="eastAsia" w:ascii="仿宋_GB2312" w:hAnsi="仿宋_GB2312" w:eastAsia="仿宋_GB2312" w:cs="仿宋_GB2312"/>
          <w:strike w:val="0"/>
          <w:dstrike w:val="0"/>
          <w:color w:val="auto"/>
          <w:szCs w:val="32"/>
          <w:highlight w:val="none"/>
          <w:lang w:val="en-US" w:eastAsia="zh-CN"/>
        </w:rPr>
      </w:pPr>
      <w:r>
        <w:rPr>
          <w:rFonts w:hint="eastAsia" w:ascii="仿宋_GB2312" w:hAnsi="仿宋_GB2312" w:eastAsia="仿宋_GB2312" w:cs="仿宋_GB2312"/>
          <w:strike w:val="0"/>
          <w:dstrike w:val="0"/>
          <w:color w:val="auto"/>
          <w:szCs w:val="32"/>
          <w:highlight w:val="none"/>
          <w:lang w:val="en-US" w:eastAsia="zh-CN"/>
        </w:rPr>
        <w:t>坚持城市内涵式发展，实施城市商业提质行动，构建布局合理、设施齐全、业态丰富、供给优质、安全便利的城市商业体系，</w:t>
      </w:r>
      <w:r>
        <w:rPr>
          <w:rFonts w:hint="eastAsia" w:ascii="仿宋_GB2312" w:hAnsi="仿宋_GB2312" w:cs="仿宋_GB2312"/>
          <w:strike w:val="0"/>
          <w:dstrike w:val="0"/>
          <w:color w:val="auto"/>
          <w:szCs w:val="32"/>
          <w:highlight w:val="none"/>
          <w:lang w:val="en-US" w:eastAsia="zh-CN"/>
        </w:rPr>
        <w:t>健全现代物流运输体系，</w:t>
      </w:r>
      <w:r>
        <w:rPr>
          <w:rFonts w:hint="eastAsia" w:ascii="仿宋_GB2312" w:hAnsi="仿宋_GB2312" w:eastAsia="仿宋_GB2312" w:cs="仿宋_GB2312"/>
          <w:strike w:val="0"/>
          <w:dstrike w:val="0"/>
          <w:color w:val="auto"/>
          <w:szCs w:val="32"/>
          <w:highlight w:val="none"/>
          <w:lang w:val="en-US" w:eastAsia="zh-CN"/>
        </w:rPr>
        <w:t>激发城市商业发展内生动能，释放多样化、差异化消费潜力，助力经济高质量发展。</w:t>
      </w:r>
    </w:p>
    <w:p w14:paraId="2E943FBE">
      <w:pPr>
        <w:shd w:val="clear"/>
        <w:kinsoku/>
        <w:bidi w:val="0"/>
        <w:rPr>
          <w:rFonts w:hint="eastAsia" w:ascii="仿宋_GB2312" w:hAnsi="仿宋_GB2312" w:eastAsia="仿宋_GB2312" w:cs="仿宋_GB2312"/>
          <w:strike w:val="0"/>
          <w:dstrike w:val="0"/>
          <w:color w:val="auto"/>
          <w:szCs w:val="32"/>
          <w:highlight w:val="none"/>
          <w:lang w:val="en-US" w:eastAsia="zh-CN"/>
        </w:rPr>
      </w:pPr>
    </w:p>
    <w:p w14:paraId="6E2F6FFC">
      <w:pPr>
        <w:pStyle w:val="4"/>
        <w:shd w:val="clear"/>
        <w:kinsoku/>
        <w:bidi w:val="0"/>
        <w:rPr>
          <w:rFonts w:hint="eastAsia"/>
          <w:color w:val="auto"/>
          <w:highlight w:val="none"/>
          <w:lang w:val="en-US" w:eastAsia="zh-CN"/>
        </w:rPr>
      </w:pPr>
      <w:bookmarkStart w:id="480" w:name="_Toc28058"/>
      <w:bookmarkStart w:id="481" w:name="_Toc29983"/>
      <w:bookmarkStart w:id="482" w:name="_Toc16156"/>
      <w:bookmarkStart w:id="483" w:name="_Toc26858"/>
      <w:bookmarkStart w:id="484" w:name="_Toc824"/>
      <w:bookmarkStart w:id="485" w:name="_Toc27862"/>
      <w:bookmarkStart w:id="486" w:name="_Toc32240"/>
      <w:bookmarkStart w:id="487" w:name="_Toc2755"/>
      <w:bookmarkStart w:id="488" w:name="_Toc6323"/>
      <w:bookmarkStart w:id="489" w:name="_Toc785"/>
      <w:bookmarkStart w:id="490" w:name="_Toc28721"/>
      <w:bookmarkStart w:id="491" w:name="_Toc11330"/>
      <w:bookmarkStart w:id="492" w:name="_Toc18727"/>
      <w:bookmarkStart w:id="493" w:name="_Toc26005"/>
      <w:bookmarkStart w:id="494" w:name="_Toc23464"/>
      <w:bookmarkStart w:id="495" w:name="_Toc20975"/>
      <w:bookmarkStart w:id="496" w:name="_Toc21114"/>
      <w:bookmarkStart w:id="497" w:name="_Toc20645"/>
      <w:r>
        <w:rPr>
          <w:rFonts w:hint="eastAsia"/>
          <w:color w:val="auto"/>
          <w:highlight w:val="none"/>
          <w:lang w:val="en-US" w:eastAsia="zh-CN"/>
        </w:rPr>
        <w:t>第一节 双轮驱动现代服务业提质升级</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0A425B46">
      <w:pPr>
        <w:shd w:val="clear"/>
        <w:kinsoku/>
        <w:bidi w:val="0"/>
        <w:rPr>
          <w:rFonts w:hint="eastAsia"/>
          <w:b/>
          <w:bCs/>
          <w:color w:val="auto"/>
          <w:highlight w:val="none"/>
          <w:lang w:val="en-US" w:eastAsia="zh-CN"/>
        </w:rPr>
      </w:pPr>
    </w:p>
    <w:p w14:paraId="1716C2E2">
      <w:pPr>
        <w:shd w:val="clear"/>
        <w:kinsoku/>
        <w:bidi w:val="0"/>
        <w:rPr>
          <w:rFonts w:hint="eastAsia"/>
          <w:b/>
          <w:bCs/>
          <w:color w:val="auto"/>
          <w:highlight w:val="none"/>
          <w:lang w:val="en-US" w:eastAsia="zh-CN"/>
        </w:rPr>
      </w:pPr>
      <w:r>
        <w:rPr>
          <w:rFonts w:hint="eastAsia"/>
          <w:b/>
          <w:bCs/>
          <w:color w:val="auto"/>
          <w:highlight w:val="none"/>
          <w:lang w:val="en-US" w:eastAsia="zh-CN"/>
        </w:rPr>
        <w:t>推动生产性服务业专业化跃升。</w:t>
      </w:r>
      <w:r>
        <w:rPr>
          <w:rFonts w:hint="eastAsia"/>
          <w:b w:val="0"/>
          <w:bCs w:val="0"/>
          <w:color w:val="auto"/>
          <w:highlight w:val="none"/>
          <w:lang w:val="en-US" w:eastAsia="zh-CN"/>
        </w:rPr>
        <w:t>抢抓城市更新机遇，优化老城区产业业态，重点发展研发设计、</w:t>
      </w:r>
      <w:r>
        <w:rPr>
          <w:rFonts w:hint="eastAsia" w:ascii="仿宋_GB2312" w:eastAsia="仿宋_GB2312" w:cs="仿宋_GB2312"/>
          <w:b w:val="0"/>
          <w:bCs w:val="0"/>
          <w:color w:val="auto"/>
          <w:spacing w:val="-4"/>
          <w:sz w:val="32"/>
          <w:szCs w:val="32"/>
          <w:highlight w:val="none"/>
        </w:rPr>
        <w:t>信息服务</w:t>
      </w:r>
      <w:r>
        <w:rPr>
          <w:rFonts w:hint="eastAsia" w:ascii="仿宋_GB2312" w:cs="仿宋_GB2312"/>
          <w:b w:val="0"/>
          <w:bCs w:val="0"/>
          <w:color w:val="auto"/>
          <w:spacing w:val="-4"/>
          <w:sz w:val="32"/>
          <w:szCs w:val="32"/>
          <w:highlight w:val="none"/>
          <w:lang w:eastAsia="zh-CN"/>
        </w:rPr>
        <w:t>、</w:t>
      </w:r>
      <w:r>
        <w:rPr>
          <w:rFonts w:hint="eastAsia" w:ascii="仿宋_GB2312" w:eastAsia="仿宋_GB2312" w:cs="仿宋_GB2312"/>
          <w:b w:val="0"/>
          <w:bCs w:val="0"/>
          <w:color w:val="auto"/>
          <w:spacing w:val="-4"/>
          <w:sz w:val="32"/>
          <w:szCs w:val="32"/>
          <w:highlight w:val="none"/>
        </w:rPr>
        <w:t>金融服务</w:t>
      </w:r>
      <w:r>
        <w:rPr>
          <w:rFonts w:hint="eastAsia" w:ascii="仿宋_GB2312" w:cs="仿宋_GB2312"/>
          <w:b w:val="0"/>
          <w:bCs w:val="0"/>
          <w:color w:val="auto"/>
          <w:spacing w:val="-4"/>
          <w:sz w:val="32"/>
          <w:szCs w:val="32"/>
          <w:highlight w:val="none"/>
          <w:lang w:eastAsia="zh-CN"/>
        </w:rPr>
        <w:t>、</w:t>
      </w:r>
      <w:r>
        <w:rPr>
          <w:rFonts w:hint="eastAsia" w:ascii="仿宋_GB2312" w:eastAsia="仿宋_GB2312" w:cs="仿宋_GB2312"/>
          <w:b w:val="0"/>
          <w:bCs w:val="0"/>
          <w:color w:val="auto"/>
          <w:spacing w:val="-4"/>
          <w:sz w:val="32"/>
          <w:szCs w:val="32"/>
          <w:highlight w:val="none"/>
        </w:rPr>
        <w:t>商务服务</w:t>
      </w:r>
      <w:r>
        <w:rPr>
          <w:rFonts w:hint="eastAsia" w:ascii="仿宋_GB2312" w:cs="仿宋_GB2312"/>
          <w:b w:val="0"/>
          <w:bCs w:val="0"/>
          <w:color w:val="auto"/>
          <w:spacing w:val="-4"/>
          <w:sz w:val="32"/>
          <w:szCs w:val="32"/>
          <w:highlight w:val="none"/>
          <w:lang w:eastAsia="zh-CN"/>
        </w:rPr>
        <w:t>、</w:t>
      </w:r>
      <w:r>
        <w:rPr>
          <w:rFonts w:hint="eastAsia" w:ascii="仿宋_GB2312" w:eastAsia="仿宋_GB2312" w:cs="仿宋_GB2312"/>
          <w:b w:val="0"/>
          <w:bCs w:val="0"/>
          <w:color w:val="auto"/>
          <w:spacing w:val="-4"/>
          <w:sz w:val="32"/>
          <w:szCs w:val="32"/>
          <w:highlight w:val="none"/>
        </w:rPr>
        <w:t>人力资源管理与职业教育培训服务</w:t>
      </w:r>
      <w:r>
        <w:rPr>
          <w:rFonts w:hint="eastAsia" w:ascii="仿宋_GB2312" w:cs="仿宋_GB2312"/>
          <w:b w:val="0"/>
          <w:bCs w:val="0"/>
          <w:color w:val="auto"/>
          <w:spacing w:val="-4"/>
          <w:sz w:val="32"/>
          <w:szCs w:val="32"/>
          <w:highlight w:val="none"/>
          <w:lang w:val="en-US" w:eastAsia="zh-CN"/>
        </w:rPr>
        <w:t>等生产性服务业。加快推进风度路步行街、百年东街、兴隆街等街区商业业态转型，打造韶州古城生产性服务业新标杆。</w:t>
      </w:r>
      <w:r>
        <w:rPr>
          <w:rFonts w:hint="eastAsia"/>
          <w:color w:val="auto"/>
          <w:highlight w:val="none"/>
        </w:rPr>
        <w:t>鼓励制造业、现代农业企业延伸产业链条，重点培育研究开发、检验检测、知识产权、综合运营等专业化服务业态，构建与实体经济深度融合的生产性服务业体系。大力发展多式联运、智慧物流等现代物流服务，打造联通大湾区</w:t>
      </w:r>
      <w:r>
        <w:rPr>
          <w:rFonts w:hint="eastAsia"/>
          <w:color w:val="auto"/>
          <w:highlight w:val="none"/>
          <w:lang w:eastAsia="zh-CN"/>
        </w:rPr>
        <w:t>、</w:t>
      </w:r>
      <w:r>
        <w:rPr>
          <w:rFonts w:hint="eastAsia"/>
          <w:color w:val="auto"/>
          <w:highlight w:val="none"/>
        </w:rPr>
        <w:t>辐射湘赣的商品中转物流核心区</w:t>
      </w:r>
      <w:r>
        <w:rPr>
          <w:rFonts w:hint="eastAsia"/>
          <w:color w:val="auto"/>
          <w:highlight w:val="none"/>
          <w:lang w:eastAsia="zh-CN"/>
        </w:rPr>
        <w:t>，</w:t>
      </w:r>
      <w:r>
        <w:rPr>
          <w:rFonts w:hint="eastAsia" w:ascii="仿宋_GB2312" w:hAnsi="仿宋_GB2312" w:cs="仿宋_GB2312"/>
          <w:strike w:val="0"/>
          <w:dstrike w:val="0"/>
          <w:color w:val="auto"/>
          <w:szCs w:val="32"/>
          <w:highlight w:val="none"/>
          <w:lang w:val="en-US" w:eastAsia="zh-CN"/>
        </w:rPr>
        <w:t>助力</w:t>
      </w:r>
      <w:r>
        <w:rPr>
          <w:rFonts w:hint="eastAsia" w:ascii="仿宋_GB2312" w:hAnsi="仿宋_GB2312" w:eastAsia="仿宋_GB2312" w:cs="仿宋_GB2312"/>
          <w:strike w:val="0"/>
          <w:dstrike w:val="0"/>
          <w:color w:val="auto"/>
          <w:szCs w:val="32"/>
          <w:highlight w:val="none"/>
          <w:lang w:val="en-US" w:eastAsia="zh-CN"/>
        </w:rPr>
        <w:t>建设</w:t>
      </w:r>
      <w:r>
        <w:rPr>
          <w:rFonts w:hint="eastAsia" w:ascii="仿宋_GB2312" w:hAnsi="仿宋_GB2312" w:cs="仿宋_GB2312"/>
          <w:strike w:val="0"/>
          <w:dstrike w:val="0"/>
          <w:color w:val="auto"/>
          <w:szCs w:val="32"/>
          <w:highlight w:val="none"/>
          <w:lang w:val="en-US" w:eastAsia="zh-CN"/>
        </w:rPr>
        <w:t>韶关</w:t>
      </w:r>
      <w:r>
        <w:rPr>
          <w:rFonts w:hint="eastAsia" w:ascii="仿宋_GB2312" w:hAnsi="仿宋_GB2312" w:eastAsia="仿宋_GB2312" w:cs="仿宋_GB2312"/>
          <w:strike w:val="0"/>
          <w:dstrike w:val="0"/>
          <w:color w:val="auto"/>
          <w:szCs w:val="32"/>
          <w:highlight w:val="none"/>
          <w:lang w:val="en-US" w:eastAsia="zh-CN"/>
        </w:rPr>
        <w:t>陆港型国家物流枢纽城市</w:t>
      </w:r>
      <w:r>
        <w:rPr>
          <w:rFonts w:hint="eastAsia" w:ascii="仿宋_GB2312" w:hAnsi="仿宋_GB2312" w:cs="仿宋_GB2312"/>
          <w:strike w:val="0"/>
          <w:dstrike w:val="0"/>
          <w:color w:val="auto"/>
          <w:szCs w:val="32"/>
          <w:highlight w:val="none"/>
          <w:lang w:val="en-US" w:eastAsia="zh-CN"/>
        </w:rPr>
        <w:t>。</w:t>
      </w:r>
    </w:p>
    <w:p w14:paraId="09D84D47">
      <w:pPr>
        <w:shd w:val="clear"/>
        <w:kinsoku/>
        <w:bidi w:val="0"/>
        <w:rPr>
          <w:rFonts w:hint="eastAsia"/>
          <w:color w:val="auto"/>
          <w:highlight w:val="none"/>
          <w:lang w:val="en-US" w:eastAsia="zh-CN"/>
        </w:rPr>
      </w:pPr>
      <w:r>
        <w:rPr>
          <w:rFonts w:hint="eastAsia"/>
          <w:b/>
          <w:bCs/>
          <w:color w:val="auto"/>
          <w:highlight w:val="none"/>
          <w:lang w:val="en-US" w:eastAsia="zh-CN"/>
        </w:rPr>
        <w:t>促进生活性服务业品质化升级。</w:t>
      </w:r>
      <w:r>
        <w:rPr>
          <w:rFonts w:hint="eastAsia"/>
          <w:color w:val="auto"/>
          <w:highlight w:val="none"/>
        </w:rPr>
        <w:t>以城市一刻钟便民生活圈和社区嵌入式服务设施建设为抓手，优化家政、养老、托育、助餐等便民服务网点布局</w:t>
      </w:r>
      <w:r>
        <w:rPr>
          <w:rFonts w:hint="eastAsia"/>
          <w:color w:val="auto"/>
          <w:highlight w:val="none"/>
          <w:lang w:eastAsia="zh-CN"/>
        </w:rPr>
        <w:t>。</w:t>
      </w:r>
      <w:r>
        <w:rPr>
          <w:rFonts w:hint="eastAsia"/>
          <w:color w:val="auto"/>
          <w:highlight w:val="none"/>
        </w:rPr>
        <w:t>培育“互联网+社会服务”新模式，推动社区服务“一站式”“智能化”转型。大力发展电子商务服务，推进电商与传统商贸深度融合，支持实体商户“触网上线”</w:t>
      </w:r>
      <w:r>
        <w:rPr>
          <w:rFonts w:hint="eastAsia"/>
          <w:color w:val="auto"/>
          <w:highlight w:val="none"/>
          <w:lang w:eastAsia="zh-CN"/>
        </w:rPr>
        <w:t>。</w:t>
      </w:r>
      <w:r>
        <w:rPr>
          <w:rFonts w:hint="eastAsia"/>
          <w:color w:val="auto"/>
          <w:highlight w:val="none"/>
          <w:lang w:val="en-US" w:eastAsia="zh-CN"/>
        </w:rPr>
        <w:t>开展“浈美味”美食评定等系列赛事活动，招引住宿餐饮知名品牌入驻浈江，</w:t>
      </w:r>
      <w:r>
        <w:rPr>
          <w:rFonts w:hint="eastAsia"/>
          <w:color w:val="auto"/>
          <w:highlight w:val="none"/>
        </w:rPr>
        <w:t>做优做强</w:t>
      </w:r>
      <w:r>
        <w:rPr>
          <w:rFonts w:hint="eastAsia"/>
          <w:color w:val="auto"/>
          <w:highlight w:val="none"/>
          <w:lang w:val="en-US" w:eastAsia="zh-CN"/>
        </w:rPr>
        <w:t>住宿</w:t>
      </w:r>
      <w:r>
        <w:rPr>
          <w:rFonts w:hint="eastAsia"/>
          <w:color w:val="auto"/>
          <w:highlight w:val="none"/>
        </w:rPr>
        <w:t>餐饮</w:t>
      </w:r>
      <w:r>
        <w:rPr>
          <w:rFonts w:hint="eastAsia"/>
          <w:color w:val="auto"/>
          <w:highlight w:val="none"/>
          <w:lang w:val="en-US" w:eastAsia="zh-CN"/>
        </w:rPr>
        <w:t>业。强化服装、汽贸、水产、家禽、粮油、蔬果等专业市场辐射能力，做大</w:t>
      </w:r>
      <w:r>
        <w:rPr>
          <w:rFonts w:hint="eastAsia"/>
          <w:color w:val="auto"/>
          <w:highlight w:val="none"/>
        </w:rPr>
        <w:t>批发零售</w:t>
      </w:r>
      <w:r>
        <w:rPr>
          <w:rFonts w:hint="eastAsia"/>
          <w:color w:val="auto"/>
          <w:highlight w:val="none"/>
          <w:lang w:val="en-US" w:eastAsia="zh-CN"/>
        </w:rPr>
        <w:t>业体量，巩固社会消费品零售总额全市排头兵地位。</w:t>
      </w:r>
    </w:p>
    <w:p w14:paraId="50931C4F">
      <w:pPr>
        <w:shd w:val="clear"/>
        <w:kinsoku/>
        <w:bidi w:val="0"/>
        <w:rPr>
          <w:rFonts w:hint="eastAsia"/>
          <w:color w:val="auto"/>
          <w:highlight w:val="none"/>
          <w:lang w:val="en-US" w:eastAsia="zh-CN"/>
        </w:rPr>
      </w:pPr>
    </w:p>
    <w:p w14:paraId="56881239">
      <w:pPr>
        <w:pStyle w:val="4"/>
        <w:shd w:val="clear"/>
        <w:kinsoku/>
        <w:bidi w:val="0"/>
        <w:rPr>
          <w:rFonts w:hint="eastAsia"/>
          <w:b w:val="0"/>
          <w:bCs w:val="0"/>
          <w:color w:val="auto"/>
          <w:highlight w:val="none"/>
          <w:lang w:val="en-US" w:eastAsia="zh-CN"/>
        </w:rPr>
      </w:pPr>
      <w:bookmarkStart w:id="498" w:name="_Toc13486"/>
      <w:bookmarkStart w:id="499" w:name="_Toc10596"/>
      <w:bookmarkStart w:id="500" w:name="_Toc1215"/>
      <w:bookmarkStart w:id="501" w:name="_Toc14158"/>
      <w:bookmarkStart w:id="502" w:name="_Toc21554"/>
      <w:bookmarkStart w:id="503" w:name="_Toc6962"/>
      <w:bookmarkStart w:id="504" w:name="_Toc4194"/>
      <w:bookmarkStart w:id="505" w:name="_Toc25054"/>
      <w:bookmarkStart w:id="506" w:name="_Toc31932"/>
      <w:bookmarkStart w:id="507" w:name="_Toc10920"/>
      <w:bookmarkStart w:id="508" w:name="_Toc7274"/>
      <w:bookmarkStart w:id="509" w:name="_Toc4177"/>
      <w:bookmarkStart w:id="510" w:name="_Toc13578"/>
      <w:bookmarkStart w:id="511" w:name="_Toc14634"/>
      <w:bookmarkStart w:id="512" w:name="_Toc22435"/>
      <w:bookmarkStart w:id="513" w:name="_Toc13976"/>
      <w:bookmarkStart w:id="514" w:name="_Toc25687"/>
      <w:bookmarkStart w:id="515" w:name="_Toc4729"/>
      <w:r>
        <w:rPr>
          <w:rFonts w:hint="eastAsia"/>
          <w:b w:val="0"/>
          <w:bCs w:val="0"/>
          <w:color w:val="auto"/>
          <w:highlight w:val="none"/>
          <w:lang w:val="en-US" w:eastAsia="zh-CN"/>
        </w:rPr>
        <w:t>第二节 多措并举激发市场消费潜力与活力</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127CCA5C">
      <w:pPr>
        <w:shd w:val="clear"/>
        <w:kinsoku/>
        <w:bidi w:val="0"/>
        <w:rPr>
          <w:rFonts w:hint="eastAsia"/>
          <w:b/>
          <w:bCs/>
          <w:color w:val="auto"/>
          <w:highlight w:val="none"/>
          <w:lang w:val="en-US" w:eastAsia="zh-CN"/>
        </w:rPr>
      </w:pPr>
    </w:p>
    <w:p w14:paraId="39048371">
      <w:pPr>
        <w:shd w:val="clear"/>
        <w:kinsoku/>
        <w:bidi w:val="0"/>
        <w:rPr>
          <w:rFonts w:hint="eastAsia"/>
          <w:b/>
          <w:bCs/>
          <w:color w:val="auto"/>
          <w:highlight w:val="none"/>
          <w:lang w:val="en-US" w:eastAsia="zh-CN"/>
        </w:rPr>
      </w:pPr>
      <w:r>
        <w:rPr>
          <w:rFonts w:hint="eastAsia"/>
          <w:b/>
          <w:bCs/>
          <w:color w:val="auto"/>
          <w:highlight w:val="none"/>
          <w:lang w:val="en-US" w:eastAsia="zh-CN"/>
        </w:rPr>
        <w:t>以增收减负夯实消费底气。</w:t>
      </w:r>
      <w:r>
        <w:rPr>
          <w:rFonts w:hint="eastAsia"/>
          <w:b w:val="0"/>
          <w:bCs w:val="0"/>
          <w:color w:val="auto"/>
          <w:highlight w:val="none"/>
          <w:lang w:val="en-US" w:eastAsia="zh-CN"/>
        </w:rPr>
        <w:t>加大民生领域财政投入力度，落细落实稳就业、保就业政策措施，通过职业技能培训、创业扶持等方式拓宽城乡居民增收渠道，让“钱袋子”鼓起来。扩大“一老一小”公共服务供给，完善养老托育、教育医疗等配套保障，降低家庭刚性支出压力，提升消费者消费信心、稳定消费预期。</w:t>
      </w:r>
    </w:p>
    <w:p w14:paraId="43A9D06E">
      <w:pPr>
        <w:shd w:val="clear"/>
        <w:kinsoku/>
        <w:bidi w:val="0"/>
        <w:rPr>
          <w:rFonts w:hint="default"/>
          <w:b w:val="0"/>
          <w:bCs w:val="0"/>
          <w:color w:val="auto"/>
          <w:highlight w:val="none"/>
          <w:lang w:val="en-US" w:eastAsia="zh-CN"/>
        </w:rPr>
      </w:pPr>
      <w:r>
        <w:rPr>
          <w:rFonts w:hint="eastAsia"/>
          <w:b/>
          <w:bCs/>
          <w:color w:val="auto"/>
          <w:highlight w:val="none"/>
          <w:lang w:val="en-US" w:eastAsia="zh-CN"/>
        </w:rPr>
        <w:t>以优质供给激活消费需求。</w:t>
      </w:r>
      <w:r>
        <w:rPr>
          <w:rFonts w:hint="eastAsia"/>
          <w:b w:val="0"/>
          <w:bCs w:val="0"/>
          <w:color w:val="auto"/>
          <w:highlight w:val="none"/>
          <w:lang w:val="en-US" w:eastAsia="zh-CN"/>
        </w:rPr>
        <w:t>以县域商贸建设行动县为契机，推进寮浈数智特色综合体、侯山商贸城、浈江商会大厦等商业综合体建设。深入实施提振消费专项行动，加力扩围实施消费品以旧换新，用好“两新”超长期特别国债资金，提升传统消费品质，重点推动汽车、家电、家装、数码等大宗耐用品向绿色化、智能化升级，拓展新能源汽车消费场景。丰富家政服务、文旅休闲、体育健身、健康养生等服务消费供给，强化产品和服务质量监管，推动服务消费提质扩容。</w:t>
      </w:r>
    </w:p>
    <w:p w14:paraId="2E73D845">
      <w:pPr>
        <w:shd w:val="clear"/>
        <w:kinsoku/>
        <w:bidi w:val="0"/>
        <w:rPr>
          <w:rFonts w:hint="eastAsia"/>
          <w:b w:val="0"/>
          <w:bCs w:val="0"/>
          <w:color w:val="auto"/>
          <w:highlight w:val="none"/>
          <w:lang w:val="en-US" w:eastAsia="zh-CN"/>
        </w:rPr>
      </w:pPr>
      <w:r>
        <w:rPr>
          <w:rFonts w:hint="eastAsia"/>
          <w:b/>
          <w:bCs/>
          <w:color w:val="auto"/>
          <w:highlight w:val="none"/>
          <w:lang w:val="en-US" w:eastAsia="zh-CN"/>
        </w:rPr>
        <w:t>以优化环境提振消费意愿。</w:t>
      </w:r>
      <w:r>
        <w:rPr>
          <w:rFonts w:hint="eastAsia"/>
          <w:b w:val="0"/>
          <w:bCs w:val="0"/>
          <w:color w:val="auto"/>
          <w:highlight w:val="none"/>
          <w:lang w:val="en-US" w:eastAsia="zh-CN"/>
        </w:rPr>
        <w:t>加大城乡消费基础设施建设投入，完善消费服务功能，深化线上线下、商旅文体多业态融合，大力发展夜间经济、假日经济、首发经济、赛事经济等消费新模式，培育壮大消费新增长点。依法保障劳动者休息休假权益，落实带薪错峰休假制度，为居民消费腾出更多时间。强化消费者权益保护，完善多元化消费维权机制和纠纷解决机制，着力打造“有完善设施、有多元场景、有充足时间、有坚实保障”的立体式消费环境。</w:t>
      </w:r>
    </w:p>
    <w:p w14:paraId="06E55F23">
      <w:pPr>
        <w:shd w:val="clear"/>
        <w:kinsoku/>
        <w:bidi w:val="0"/>
        <w:rPr>
          <w:rFonts w:hint="eastAsia"/>
          <w:b w:val="0"/>
          <w:bCs w:val="0"/>
          <w:color w:val="auto"/>
          <w:highlight w:val="none"/>
          <w:lang w:val="en-US" w:eastAsia="zh-CN"/>
        </w:rPr>
      </w:pPr>
    </w:p>
    <w:p w14:paraId="34FA2DCF">
      <w:pPr>
        <w:pStyle w:val="4"/>
        <w:shd w:val="clear"/>
        <w:kinsoku/>
        <w:bidi w:val="0"/>
        <w:rPr>
          <w:rFonts w:hint="eastAsia"/>
          <w:b w:val="0"/>
          <w:bCs w:val="0"/>
          <w:color w:val="auto"/>
          <w:highlight w:val="none"/>
          <w:lang w:val="en-US" w:eastAsia="zh-CN"/>
        </w:rPr>
      </w:pPr>
      <w:bookmarkStart w:id="516" w:name="_Toc26150"/>
      <w:bookmarkStart w:id="517" w:name="_Toc21420"/>
      <w:bookmarkStart w:id="518" w:name="_Toc11347"/>
      <w:bookmarkStart w:id="519" w:name="_Toc27059"/>
      <w:bookmarkStart w:id="520" w:name="_Toc26399"/>
      <w:bookmarkStart w:id="521" w:name="_Toc23975"/>
      <w:bookmarkStart w:id="522" w:name="_Toc14134"/>
      <w:bookmarkStart w:id="523" w:name="_Toc31112"/>
      <w:bookmarkStart w:id="524" w:name="_Toc6784"/>
      <w:bookmarkStart w:id="525" w:name="_Toc3746"/>
      <w:bookmarkStart w:id="526" w:name="_Toc27865"/>
      <w:bookmarkStart w:id="527" w:name="_Toc636"/>
      <w:bookmarkStart w:id="528" w:name="_Toc26883"/>
      <w:bookmarkStart w:id="529" w:name="_Toc25675"/>
      <w:bookmarkStart w:id="530" w:name="_Toc29441"/>
      <w:bookmarkStart w:id="531" w:name="_Toc8685"/>
      <w:bookmarkStart w:id="532" w:name="_Toc26353"/>
      <w:bookmarkStart w:id="533" w:name="_Toc17936"/>
      <w:r>
        <w:rPr>
          <w:rFonts w:hint="eastAsia"/>
          <w:b w:val="0"/>
          <w:bCs w:val="0"/>
          <w:color w:val="auto"/>
          <w:highlight w:val="none"/>
          <w:lang w:val="en-US" w:eastAsia="zh-CN"/>
        </w:rPr>
        <w:t>第三节 展现特色鲜明城市商业场景</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64AE94CB">
      <w:pPr>
        <w:shd w:val="clear"/>
        <w:kinsoku/>
        <w:bidi w:val="0"/>
        <w:rPr>
          <w:rFonts w:hint="eastAsia" w:ascii="BatangChe" w:hAnsi="BatangChe" w:eastAsia="仿宋_GB2312" w:cs="仿宋_GB2312"/>
          <w:b/>
          <w:bCs/>
          <w:color w:val="auto"/>
          <w:kern w:val="2"/>
          <w:sz w:val="32"/>
          <w:szCs w:val="32"/>
          <w:highlight w:val="none"/>
        </w:rPr>
      </w:pPr>
    </w:p>
    <w:p w14:paraId="18E0D961">
      <w:pPr>
        <w:shd w:val="clear"/>
        <w:kinsoku/>
        <w:bidi w:val="0"/>
        <w:rPr>
          <w:rFonts w:hint="eastAsia"/>
          <w:b w:val="0"/>
          <w:bCs w:val="0"/>
          <w:color w:val="auto"/>
          <w:highlight w:val="none"/>
          <w:lang w:val="en-US" w:eastAsia="zh-CN"/>
        </w:rPr>
      </w:pPr>
      <w:r>
        <w:rPr>
          <w:rFonts w:hint="eastAsia" w:ascii="BatangChe" w:hAnsi="BatangChe" w:eastAsia="仿宋_GB2312" w:cs="仿宋_GB2312"/>
          <w:b/>
          <w:bCs/>
          <w:color w:val="auto"/>
          <w:kern w:val="2"/>
          <w:sz w:val="32"/>
          <w:szCs w:val="32"/>
          <w:highlight w:val="none"/>
        </w:rPr>
        <w:t>做</w:t>
      </w:r>
      <w:r>
        <w:rPr>
          <w:rFonts w:hint="eastAsia" w:ascii="BatangChe" w:hAnsi="BatangChe" w:cs="仿宋_GB2312"/>
          <w:b/>
          <w:bCs/>
          <w:color w:val="auto"/>
          <w:kern w:val="2"/>
          <w:sz w:val="32"/>
          <w:szCs w:val="32"/>
          <w:highlight w:val="none"/>
          <w:lang w:val="en-US" w:eastAsia="zh-CN"/>
        </w:rPr>
        <w:t>优</w:t>
      </w:r>
      <w:r>
        <w:rPr>
          <w:rFonts w:hint="eastAsia" w:ascii="BatangChe" w:hAnsi="BatangChe" w:eastAsia="仿宋_GB2312" w:cs="仿宋_GB2312"/>
          <w:b/>
          <w:bCs/>
          <w:color w:val="auto"/>
          <w:kern w:val="2"/>
          <w:sz w:val="32"/>
          <w:szCs w:val="32"/>
          <w:highlight w:val="none"/>
        </w:rPr>
        <w:t>南部汽贸商圈</w:t>
      </w:r>
      <w:r>
        <w:rPr>
          <w:rFonts w:hint="eastAsia"/>
          <w:b/>
          <w:bCs/>
          <w:color w:val="auto"/>
          <w:highlight w:val="none"/>
          <w:lang w:val="en-US" w:eastAsia="zh-CN"/>
        </w:rPr>
        <w:t>。</w:t>
      </w:r>
      <w:r>
        <w:rPr>
          <w:rFonts w:hint="eastAsia"/>
          <w:b w:val="0"/>
          <w:bCs w:val="0"/>
          <w:color w:val="auto"/>
          <w:highlight w:val="none"/>
          <w:lang w:val="en-US" w:eastAsia="zh-CN"/>
        </w:rPr>
        <w:t>推动汽车流通行业协会发展，提档升级“南郊汽贸一条街”品牌形象，优化商圈建筑风貌、交通组织和停车秩序，完善新能源汽车配套设施。促进二手车商品化流通，落实行业补贴政策。推动传统4S店向体验化、数字化转型，构建集汽车贸易、文化体验、售后维保、金融保险于一体的综合性汽车产业生态圈。培育汽车文创、赛车赛事、主题餐饮、模拟驾驶体验等新兴消费场景，打造全市汽车贸易服务的行业旗舰。</w:t>
      </w:r>
    </w:p>
    <w:p w14:paraId="78F73325">
      <w:pPr>
        <w:shd w:val="clear"/>
        <w:kinsoku/>
        <w:bidi w:val="0"/>
        <w:rPr>
          <w:rFonts w:hint="eastAsia"/>
          <w:color w:val="auto"/>
          <w:highlight w:val="none"/>
          <w:lang w:val="en-US" w:eastAsia="zh-CN"/>
        </w:rPr>
      </w:pPr>
      <w:r>
        <w:rPr>
          <w:rFonts w:hint="eastAsia"/>
          <w:b/>
          <w:bCs/>
          <w:color w:val="auto"/>
          <w:highlight w:val="none"/>
          <w:lang w:val="en-US" w:eastAsia="zh-CN"/>
        </w:rPr>
        <w:t>做旺东部商贸物流圈。</w:t>
      </w:r>
      <w:r>
        <w:rPr>
          <w:rFonts w:hint="eastAsia" w:ascii="BatangChe" w:hAnsi="BatangChe" w:cs="仿宋_GB2312"/>
          <w:color w:val="auto"/>
          <w:kern w:val="2"/>
          <w:sz w:val="32"/>
          <w:szCs w:val="32"/>
          <w:highlight w:val="none"/>
          <w:lang w:eastAsia="zh-CN"/>
        </w:rPr>
        <w:t>依托华南农产品交易中心、天韶冷链、中化学冷链物流等重大平台，引导服装布匹、电器建材、</w:t>
      </w:r>
      <w:r>
        <w:rPr>
          <w:rFonts w:hint="eastAsia" w:ascii="BatangChe" w:hAnsi="BatangChe" w:cs="仿宋_GB2312"/>
          <w:color w:val="auto"/>
          <w:kern w:val="2"/>
          <w:sz w:val="32"/>
          <w:szCs w:val="32"/>
          <w:highlight w:val="none"/>
          <w:lang w:val="en-US" w:eastAsia="zh-CN"/>
        </w:rPr>
        <w:t>粮油</w:t>
      </w:r>
      <w:r>
        <w:rPr>
          <w:rFonts w:hint="eastAsia" w:ascii="BatangChe" w:hAnsi="BatangChe" w:cs="仿宋_GB2312"/>
          <w:color w:val="auto"/>
          <w:kern w:val="2"/>
          <w:sz w:val="32"/>
          <w:szCs w:val="32"/>
          <w:highlight w:val="none"/>
          <w:lang w:eastAsia="zh-CN"/>
        </w:rPr>
        <w:t>等产业向东集聚，打造服务大湾区、辐射湘赣的区域性商贸物流枢纽。完善电子商务平台、冷链物流网络、智能化仓储及高效末端配送体系，构建覆盖生产、加工、储运、销售全环节的数字化、可追溯、不断链的现代物流体系，助力产业升级与消费提质。</w:t>
      </w:r>
    </w:p>
    <w:p w14:paraId="3B361141">
      <w:pPr>
        <w:shd w:val="clear"/>
        <w:kinsoku/>
        <w:bidi w:val="0"/>
        <w:rPr>
          <w:rFonts w:hint="eastAsia"/>
          <w:color w:val="auto"/>
          <w:highlight w:val="none"/>
          <w:lang w:val="en-US" w:eastAsia="zh-CN"/>
        </w:rPr>
      </w:pPr>
      <w:r>
        <w:rPr>
          <w:rFonts w:hint="eastAsia" w:ascii="BatangChe" w:hAnsi="BatangChe" w:eastAsia="仿宋_GB2312" w:cs="仿宋_GB2312"/>
          <w:b/>
          <w:bCs/>
          <w:color w:val="auto"/>
          <w:kern w:val="2"/>
          <w:sz w:val="32"/>
          <w:szCs w:val="32"/>
          <w:highlight w:val="none"/>
        </w:rPr>
        <w:t>做</w:t>
      </w:r>
      <w:r>
        <w:rPr>
          <w:rFonts w:hint="eastAsia" w:ascii="BatangChe" w:hAnsi="BatangChe" w:cs="仿宋_GB2312"/>
          <w:b/>
          <w:bCs/>
          <w:color w:val="auto"/>
          <w:kern w:val="2"/>
          <w:sz w:val="32"/>
          <w:szCs w:val="32"/>
          <w:highlight w:val="none"/>
          <w:lang w:val="en-US" w:eastAsia="zh-CN"/>
        </w:rPr>
        <w:t>强</w:t>
      </w:r>
      <w:r>
        <w:rPr>
          <w:rFonts w:hint="eastAsia" w:ascii="BatangChe" w:hAnsi="BatangChe" w:eastAsia="仿宋_GB2312" w:cs="仿宋_GB2312"/>
          <w:b/>
          <w:bCs/>
          <w:color w:val="auto"/>
          <w:kern w:val="2"/>
          <w:sz w:val="32"/>
          <w:szCs w:val="32"/>
          <w:highlight w:val="none"/>
        </w:rPr>
        <w:t>中心城区综合消费商圈</w:t>
      </w:r>
      <w:r>
        <w:rPr>
          <w:rFonts w:hint="eastAsia" w:ascii="BatangChe" w:hAnsi="BatangChe" w:eastAsia="仿宋_GB2312" w:cs="仿宋_GB2312"/>
          <w:b/>
          <w:bCs/>
          <w:color w:val="auto"/>
          <w:kern w:val="2"/>
          <w:sz w:val="32"/>
          <w:szCs w:val="32"/>
          <w:highlight w:val="none"/>
          <w:lang w:eastAsia="zh-CN"/>
        </w:rPr>
        <w:t>。</w:t>
      </w:r>
      <w:r>
        <w:rPr>
          <w:rFonts w:hint="eastAsia"/>
          <w:color w:val="auto"/>
          <w:highlight w:val="none"/>
          <w:lang w:val="en-US" w:eastAsia="zh-CN"/>
        </w:rPr>
        <w:t>加快推进步行街、百年东街、兴隆街等传统商圈和特色井巷的设施改造与业态升级，联动风采楼等历史文化遗迹，开发富含浈江地域特色的文创产品和文旅服务，打造“风情小岛、韶关记忆”特色文旅商业区</w:t>
      </w:r>
      <w:r>
        <w:rPr>
          <w:rFonts w:hint="eastAsia"/>
          <w:b w:val="0"/>
          <w:bCs w:val="0"/>
          <w:color w:val="auto"/>
          <w:highlight w:val="none"/>
          <w:lang w:val="en-US" w:eastAsia="zh-CN"/>
        </w:rPr>
        <w:t>，鼓励支持本地老字号、特色店铺创新发展，提升商圈业态丰富度与品质。</w:t>
      </w:r>
      <w:r>
        <w:rPr>
          <w:rFonts w:hint="eastAsia"/>
          <w:color w:val="auto"/>
          <w:highlight w:val="none"/>
          <w:lang w:val="en-US" w:eastAsia="zh-CN"/>
        </w:rPr>
        <w:t>实施商圈整体焕新工程，推进景观美化、交通优化、设施完善三大行动，建设智慧停车系统缓解停车难题，优化步行空间与休憩设施，配套游客服务中心，打造舒适宜人、功能完善的高品质文商旅融合消费集聚区，构建“韶关双街、魅力商圈”新格局。</w:t>
      </w:r>
    </w:p>
    <w:p w14:paraId="116AA8E2">
      <w:pPr>
        <w:shd w:val="clear"/>
        <w:kinsoku/>
        <w:bidi w:val="0"/>
        <w:rPr>
          <w:rFonts w:hint="eastAsia"/>
          <w:color w:val="auto"/>
          <w:highlight w:val="none"/>
          <w:lang w:val="en-US" w:eastAsia="zh-CN"/>
        </w:rPr>
      </w:pPr>
      <w:r>
        <w:rPr>
          <w:rFonts w:hint="eastAsia" w:ascii="BatangChe" w:hAnsi="BatangChe" w:cs="仿宋_GB2312"/>
          <w:b/>
          <w:bCs/>
          <w:color w:val="auto"/>
          <w:kern w:val="2"/>
          <w:sz w:val="32"/>
          <w:szCs w:val="32"/>
          <w:highlight w:val="none"/>
          <w:lang w:val="en-US" w:eastAsia="zh-CN"/>
        </w:rPr>
        <w:t>做大</w:t>
      </w:r>
      <w:r>
        <w:rPr>
          <w:rFonts w:hint="eastAsia" w:ascii="BatangChe" w:hAnsi="BatangChe" w:eastAsia="仿宋_GB2312" w:cs="仿宋_GB2312"/>
          <w:b/>
          <w:bCs/>
          <w:color w:val="auto"/>
          <w:kern w:val="2"/>
          <w:sz w:val="32"/>
          <w:szCs w:val="32"/>
          <w:highlight w:val="none"/>
        </w:rPr>
        <w:t>高校经济商圈</w:t>
      </w:r>
      <w:r>
        <w:rPr>
          <w:rFonts w:hint="eastAsia" w:ascii="BatangChe" w:hAnsi="BatangChe" w:eastAsia="仿宋_GB2312" w:cs="仿宋_GB2312"/>
          <w:b/>
          <w:bCs/>
          <w:color w:val="auto"/>
          <w:kern w:val="2"/>
          <w:sz w:val="32"/>
          <w:szCs w:val="32"/>
          <w:highlight w:val="none"/>
          <w:lang w:eastAsia="zh-CN"/>
        </w:rPr>
        <w:t>。</w:t>
      </w:r>
      <w:r>
        <w:rPr>
          <w:rFonts w:hint="eastAsia"/>
          <w:color w:val="auto"/>
          <w:highlight w:val="none"/>
          <w:lang w:val="en-US" w:eastAsia="zh-CN"/>
        </w:rPr>
        <w:t>依托韶关学院、广东省南方技师学院、韶关市技师学院、广东松山职业技术学院等科教资源优势，完善大学路沿线商业设施配套，构建集消费、娱乐、创业、社交于一体的多元化消费新场景，形成“校城融合、产学互动”的发展格局。创新“校园经济+”发展模式，积极引入精品书店、文创商店、咖啡茶饮、青年人才公寓等业态，布局法律、会计、知识产权等专业服务机构，打造青年创新创业孵化高地。</w:t>
      </w:r>
    </w:p>
    <w:p w14:paraId="01764AD4">
      <w:pPr>
        <w:kinsoku/>
        <w:bidi w:val="0"/>
        <w:rPr>
          <w:rFonts w:hint="eastAsia"/>
          <w:color w:val="auto"/>
          <w:highlight w:val="none"/>
          <w:lang w:val="en-US" w:eastAsia="zh-CN"/>
        </w:rPr>
      </w:pPr>
      <w:r>
        <w:rPr>
          <w:rFonts w:hint="eastAsia" w:ascii="BatangChe" w:hAnsi="BatangChe" w:eastAsia="仿宋_GB2312" w:cs="仿宋_GB2312"/>
          <w:b/>
          <w:bCs/>
          <w:color w:val="auto"/>
          <w:kern w:val="2"/>
          <w:sz w:val="32"/>
          <w:szCs w:val="32"/>
          <w:highlight w:val="none"/>
          <w:lang w:val="en-US" w:eastAsia="zh-CN"/>
        </w:rPr>
        <w:t>培育更多消费空间。</w:t>
      </w:r>
      <w:r>
        <w:rPr>
          <w:rFonts w:hint="eastAsia" w:ascii="BatangChe" w:hAnsi="BatangChe" w:eastAsia="仿宋_GB2312" w:cs="仿宋_GB2312"/>
          <w:color w:val="auto"/>
          <w:kern w:val="2"/>
          <w:sz w:val="32"/>
          <w:szCs w:val="32"/>
          <w:highlight w:val="none"/>
          <w:lang w:val="en-US" w:eastAsia="zh-CN"/>
        </w:rPr>
        <w:t>鼓励各镇（办）因地制宜培育特色消费圈、打造差异化消费场景。支持犁市镇整合集市资源与产业园区优势，打造“集市+园区”融合发展的综合商圈；支持曲仁办事处盘活闲置商铺资源，发展“多业态+”众创经济圈，培育一批接地气、有烟火气的镇域商业新支点。</w:t>
      </w:r>
      <w:bookmarkEnd w:id="404"/>
      <w:bookmarkEnd w:id="405"/>
      <w:bookmarkEnd w:id="406"/>
      <w:bookmarkEnd w:id="407"/>
      <w:bookmarkStart w:id="534" w:name="_Toc8321"/>
      <w:bookmarkStart w:id="535" w:name="_Toc9868"/>
      <w:bookmarkStart w:id="536" w:name="_Toc14181"/>
      <w:bookmarkStart w:id="537" w:name="_Toc32606"/>
      <w:bookmarkStart w:id="538" w:name="_Toc19641"/>
      <w:bookmarkStart w:id="539" w:name="_Toc23749"/>
      <w:bookmarkStart w:id="540" w:name="_Toc23588"/>
      <w:bookmarkStart w:id="541" w:name="_Toc2645"/>
      <w:bookmarkStart w:id="542" w:name="_Toc14884"/>
      <w:bookmarkStart w:id="543" w:name="_Toc7287"/>
      <w:bookmarkStart w:id="544" w:name="_Toc19671"/>
      <w:bookmarkStart w:id="545" w:name="_Toc6801"/>
    </w:p>
    <w:bookmarkEnd w:id="534"/>
    <w:bookmarkEnd w:id="535"/>
    <w:bookmarkEnd w:id="536"/>
    <w:bookmarkEnd w:id="537"/>
    <w:bookmarkEnd w:id="538"/>
    <w:bookmarkEnd w:id="539"/>
    <w:p w14:paraId="5D2BB25D">
      <w:pPr>
        <w:pStyle w:val="3"/>
        <w:shd w:val="clear"/>
        <w:kinsoku/>
        <w:bidi w:val="0"/>
        <w:rPr>
          <w:rFonts w:hint="eastAsia"/>
          <w:color w:val="auto"/>
          <w:highlight w:val="none"/>
          <w:lang w:val="en-US" w:eastAsia="zh-CN"/>
        </w:rPr>
        <w:sectPr>
          <w:pgSz w:w="11906" w:h="16839"/>
          <w:pgMar w:top="2098" w:right="1474" w:bottom="1984" w:left="1587" w:header="454" w:footer="1417" w:gutter="0"/>
          <w:pgNumType w:fmt="numberInDash"/>
          <w:cols w:space="720" w:num="1"/>
          <w:rtlGutter w:val="0"/>
        </w:sectPr>
      </w:pPr>
      <w:bookmarkStart w:id="546" w:name="_Toc2296"/>
      <w:bookmarkStart w:id="547" w:name="_Toc15537"/>
      <w:bookmarkStart w:id="548" w:name="_Toc15596"/>
    </w:p>
    <w:p w14:paraId="45EBB989">
      <w:pPr>
        <w:pStyle w:val="3"/>
        <w:shd w:val="clear"/>
        <w:kinsoku/>
        <w:bidi w:val="0"/>
        <w:ind w:left="-320" w:leftChars="-100" w:right="-320" w:rightChars="-100"/>
        <w:rPr>
          <w:rFonts w:hint="eastAsia"/>
          <w:color w:val="auto"/>
          <w:highlight w:val="none"/>
          <w:lang w:val="en-US" w:eastAsia="zh-CN"/>
        </w:rPr>
      </w:pPr>
      <w:bookmarkStart w:id="549" w:name="_Toc4462"/>
      <w:bookmarkStart w:id="550" w:name="_Toc21185"/>
      <w:bookmarkStart w:id="551" w:name="_Toc16221"/>
      <w:bookmarkStart w:id="552" w:name="_Toc8353"/>
      <w:bookmarkStart w:id="553" w:name="_Toc10428"/>
      <w:bookmarkStart w:id="554" w:name="_Toc24208"/>
      <w:bookmarkStart w:id="555" w:name="_Toc8489"/>
      <w:bookmarkStart w:id="556" w:name="_Toc11139"/>
      <w:bookmarkStart w:id="557" w:name="_Toc27791"/>
      <w:bookmarkStart w:id="558" w:name="_Toc21732"/>
      <w:bookmarkStart w:id="559" w:name="_Toc10502"/>
      <w:bookmarkStart w:id="560" w:name="_Toc6645"/>
      <w:bookmarkStart w:id="561" w:name="_Toc15044"/>
      <w:bookmarkStart w:id="562" w:name="_Toc7503"/>
      <w:bookmarkStart w:id="563" w:name="_Toc13660"/>
      <w:bookmarkStart w:id="564" w:name="_Toc23834"/>
      <w:bookmarkStart w:id="565" w:name="_Toc18921"/>
      <w:bookmarkStart w:id="566" w:name="_Toc22572"/>
      <w:r>
        <w:rPr>
          <w:rFonts w:hint="eastAsia"/>
          <w:color w:val="auto"/>
          <w:highlight w:val="none"/>
          <w:lang w:val="en-US" w:eastAsia="zh-CN"/>
        </w:rPr>
        <w:t xml:space="preserve">第六章 </w:t>
      </w:r>
      <w:bookmarkEnd w:id="546"/>
      <w:bookmarkEnd w:id="547"/>
      <w:bookmarkEnd w:id="548"/>
      <w:r>
        <w:rPr>
          <w:rFonts w:hint="eastAsia"/>
          <w:color w:val="auto"/>
          <w:highlight w:val="none"/>
          <w:lang w:val="en-US" w:eastAsia="zh-CN"/>
        </w:rPr>
        <w:t>深入推进“百千万工程”，打造城乡融合发展示范区</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4304D944">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468C7B57">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坚持把“</w:t>
      </w:r>
      <w:r>
        <w:rPr>
          <w:rFonts w:hint="eastAsia" w:ascii="仿宋_GB2312" w:hAnsi="仿宋_GB2312" w:cs="仿宋_GB2312"/>
          <w:strike w:val="0"/>
          <w:dstrike w:val="0"/>
          <w:color w:val="auto"/>
          <w:sz w:val="32"/>
          <w:szCs w:val="32"/>
          <w:highlight w:val="none"/>
          <w:lang w:val="en-US" w:eastAsia="zh-CN"/>
        </w:rPr>
        <w:t>百千万工程</w:t>
      </w:r>
      <w:r>
        <w:rPr>
          <w:rFonts w:hint="eastAsia" w:ascii="仿宋_GB2312" w:hAnsi="仿宋_GB2312" w:eastAsia="仿宋_GB2312" w:cs="仿宋_GB2312"/>
          <w:strike w:val="0"/>
          <w:dstrike w:val="0"/>
          <w:color w:val="auto"/>
          <w:sz w:val="32"/>
          <w:szCs w:val="32"/>
          <w:highlight w:val="none"/>
          <w:lang w:val="en-US" w:eastAsia="zh-CN"/>
        </w:rPr>
        <w:t>”作为县域高质量发展和城乡协调发展的总抓手，</w:t>
      </w:r>
      <w:r>
        <w:rPr>
          <w:rFonts w:hint="eastAsia" w:ascii="仿宋_GB2312" w:hAnsi="仿宋_GB2312" w:cs="仿宋_GB2312"/>
          <w:strike w:val="0"/>
          <w:dstrike w:val="0"/>
          <w:color w:val="auto"/>
          <w:sz w:val="32"/>
          <w:szCs w:val="32"/>
          <w:highlight w:val="none"/>
          <w:lang w:val="en-US" w:eastAsia="zh-CN"/>
        </w:rPr>
        <w:t>补齐发展短板弱项，实现</w:t>
      </w:r>
      <w:r>
        <w:rPr>
          <w:rFonts w:hint="eastAsia" w:ascii="仿宋_GB2312" w:hAnsi="仿宋_GB2312" w:eastAsia="仿宋_GB2312" w:cs="仿宋_GB2312"/>
          <w:strike w:val="0"/>
          <w:dstrike w:val="0"/>
          <w:color w:val="auto"/>
          <w:sz w:val="32"/>
          <w:szCs w:val="32"/>
          <w:highlight w:val="none"/>
          <w:lang w:val="en-US" w:eastAsia="zh-CN"/>
        </w:rPr>
        <w:t>“五年显著变化”“十年根本改变”，开创浈江城乡融合发展新局面。</w:t>
      </w:r>
    </w:p>
    <w:p w14:paraId="52CA7E57">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1EE0C423">
      <w:pPr>
        <w:pStyle w:val="4"/>
        <w:shd w:val="clear"/>
        <w:kinsoku/>
        <w:bidi w:val="0"/>
        <w:rPr>
          <w:rFonts w:hint="eastAsia"/>
          <w:color w:val="auto"/>
          <w:highlight w:val="none"/>
          <w:lang w:val="en-US" w:eastAsia="zh-CN"/>
        </w:rPr>
      </w:pPr>
      <w:bookmarkStart w:id="567" w:name="_Toc32544"/>
      <w:bookmarkStart w:id="568" w:name="_Toc21841"/>
      <w:bookmarkStart w:id="569" w:name="_Toc21048"/>
      <w:bookmarkStart w:id="570" w:name="_Toc25669"/>
      <w:bookmarkStart w:id="571" w:name="_Toc16763"/>
      <w:bookmarkStart w:id="572" w:name="_Toc1269"/>
      <w:bookmarkStart w:id="573" w:name="_Toc8087"/>
      <w:bookmarkStart w:id="574" w:name="_Toc12429"/>
      <w:bookmarkStart w:id="575" w:name="_Toc10661"/>
      <w:bookmarkStart w:id="576" w:name="_Toc21688"/>
      <w:bookmarkStart w:id="577" w:name="_Toc1443"/>
      <w:bookmarkStart w:id="578" w:name="_Toc18025"/>
      <w:bookmarkStart w:id="579" w:name="_Toc14763"/>
      <w:bookmarkStart w:id="580" w:name="_Toc19422"/>
      <w:bookmarkStart w:id="581" w:name="_Toc23251"/>
      <w:bookmarkStart w:id="582" w:name="_Toc9621"/>
      <w:bookmarkStart w:id="583" w:name="_Toc8003"/>
      <w:bookmarkStart w:id="584" w:name="_Toc5544"/>
      <w:bookmarkStart w:id="585" w:name="_Toc13444"/>
      <w:bookmarkStart w:id="586" w:name="_Toc16391"/>
      <w:bookmarkStart w:id="587" w:name="_Toc14737"/>
      <w:bookmarkStart w:id="588" w:name="_Toc3154"/>
      <w:r>
        <w:rPr>
          <w:rFonts w:hint="eastAsia"/>
          <w:color w:val="auto"/>
          <w:highlight w:val="none"/>
          <w:lang w:val="en-US" w:eastAsia="zh-CN"/>
        </w:rPr>
        <w:t xml:space="preserve">第一节 </w:t>
      </w:r>
      <w:bookmarkEnd w:id="567"/>
      <w:bookmarkEnd w:id="568"/>
      <w:bookmarkEnd w:id="569"/>
      <w:r>
        <w:rPr>
          <w:rFonts w:hint="eastAsia"/>
          <w:color w:val="auto"/>
          <w:highlight w:val="none"/>
          <w:lang w:val="en-US" w:eastAsia="zh-CN"/>
        </w:rPr>
        <w:t>推动镇域经济高质量发展</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3E089021">
      <w:pPr>
        <w:shd w:val="clear"/>
        <w:kinsoku/>
        <w:autoSpaceDE/>
        <w:autoSpaceDN/>
        <w:bidi w:val="0"/>
        <w:ind w:firstLine="643" w:firstLineChars="200"/>
        <w:rPr>
          <w:rFonts w:hint="eastAsia" w:ascii="仿宋_GB2312" w:hAnsi="仿宋_GB2312" w:cs="仿宋_GB2312"/>
          <w:b/>
          <w:bCs/>
          <w:color w:val="auto"/>
          <w:highlight w:val="none"/>
          <w:lang w:val="en-US" w:eastAsia="zh-CN"/>
        </w:rPr>
      </w:pPr>
      <w:bookmarkStart w:id="589" w:name="_Toc2587"/>
    </w:p>
    <w:p w14:paraId="5CBBBC87">
      <w:pPr>
        <w:shd w:val="clear"/>
        <w:kinsoku/>
        <w:autoSpaceDE/>
        <w:autoSpaceDN/>
        <w:bidi w:val="0"/>
        <w:ind w:firstLine="643" w:firstLineChars="200"/>
        <w:rPr>
          <w:rFonts w:hint="eastAsia" w:ascii="BatangChe" w:hAnsi="BatangChe" w:cs="仿宋_GB2312"/>
          <w:b w:val="0"/>
          <w:bCs w:val="0"/>
          <w:color w:val="auto"/>
          <w:kern w:val="32"/>
          <w:sz w:val="32"/>
          <w:szCs w:val="32"/>
          <w:highlight w:val="none"/>
          <w:u w:val="none" w:color="auto"/>
          <w:shd w:val="clear" w:color="auto" w:fill="auto"/>
          <w:lang w:val="en-US" w:eastAsia="zh-CN" w:bidi="ar-SA"/>
        </w:rPr>
      </w:pPr>
      <w:r>
        <w:rPr>
          <w:rFonts w:hint="eastAsia" w:ascii="仿宋_GB2312" w:hAnsi="仿宋_GB2312" w:cs="仿宋_GB2312"/>
          <w:b/>
          <w:bCs/>
          <w:color w:val="auto"/>
          <w:highlight w:val="none"/>
          <w:lang w:val="en-US" w:eastAsia="zh-CN"/>
        </w:rPr>
        <w:t>做大镇域经济“蛋糕”。</w:t>
      </w:r>
      <w:r>
        <w:rPr>
          <w:rFonts w:hint="eastAsia" w:ascii="仿宋_GB2312" w:hAnsi="仿宋_GB2312" w:cs="仿宋_GB2312"/>
          <w:b w:val="0"/>
          <w:bCs w:val="0"/>
          <w:color w:val="auto"/>
          <w:highlight w:val="none"/>
          <w:lang w:val="en-US" w:eastAsia="zh-CN"/>
        </w:rPr>
        <w:t>明确镇域产业发展定位，</w:t>
      </w:r>
      <w:r>
        <w:rPr>
          <w:rFonts w:hint="eastAsia"/>
          <w:color w:val="auto"/>
          <w:highlight w:val="none"/>
          <w:lang w:val="en-US" w:eastAsia="zh-CN"/>
        </w:rPr>
        <w:t>推进产业特色化、差异化发展。严格遵循“宜工则工、宜农则农、宜商则商”原则，立足各镇（街）资源禀赋，盘活镇村闲置厂房、集体土地等资源资产，推动每个镇（街）集中力量深耕1—2个核心特色产业，培育一批“小而精、特而强”的产业增长点。重点支持镇际共建农产品精深加工园区、农文旅融合项目，实现资源互补、利益共享。探索推进人口较少镇村“联合发展共同体”改革，以产业融合带动公共服务均等化，提升区域协调发展质效。</w:t>
      </w:r>
    </w:p>
    <w:bookmarkEnd w:id="589"/>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693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54" w:type="dxa"/>
            <w:vAlign w:val="center"/>
          </w:tcPr>
          <w:p w14:paraId="3A9FDB9B">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黑体" w:cs="Times New Roman"/>
                <w:strike w:val="0"/>
                <w:dstrike w:val="0"/>
                <w:color w:val="auto"/>
                <w:sz w:val="28"/>
                <w:szCs w:val="28"/>
                <w:highlight w:val="none"/>
                <w:u w:val="none" w:color="auto"/>
                <w:vertAlign w:val="baseline"/>
                <w:lang w:val="en-US" w:eastAsia="zh-CN"/>
              </w:rPr>
            </w:pPr>
            <w:r>
              <w:rPr>
                <w:rFonts w:hint="eastAsia" w:ascii="Times New Roman" w:hAnsi="Times New Roman" w:eastAsia="黑体" w:cs="Times New Roman"/>
                <w:strike w:val="0"/>
                <w:dstrike w:val="0"/>
                <w:color w:val="auto"/>
                <w:sz w:val="28"/>
                <w:szCs w:val="28"/>
                <w:highlight w:val="none"/>
                <w:u w:val="none" w:color="auto"/>
                <w:vertAlign w:val="baseline"/>
                <w:lang w:val="en-US" w:eastAsia="zh-CN"/>
              </w:rPr>
              <w:t>专栏</w:t>
            </w:r>
            <w:r>
              <w:rPr>
                <w:rFonts w:hint="eastAsia" w:eastAsia="黑体" w:cs="Times New Roman"/>
                <w:strike w:val="0"/>
                <w:dstrike w:val="0"/>
                <w:color w:val="auto"/>
                <w:sz w:val="28"/>
                <w:szCs w:val="28"/>
                <w:highlight w:val="none"/>
                <w:u w:val="none" w:color="auto"/>
                <w:vertAlign w:val="baseline"/>
                <w:lang w:val="en-US" w:eastAsia="zh-CN"/>
              </w:rPr>
              <w:t>1</w:t>
            </w:r>
            <w:r>
              <w:rPr>
                <w:rFonts w:hint="eastAsia" w:ascii="Times New Roman" w:hAnsi="Times New Roman" w:eastAsia="黑体" w:cs="Times New Roman"/>
                <w:strike w:val="0"/>
                <w:dstrike w:val="0"/>
                <w:color w:val="auto"/>
                <w:sz w:val="28"/>
                <w:szCs w:val="28"/>
                <w:highlight w:val="none"/>
                <w:u w:val="none" w:color="auto"/>
                <w:vertAlign w:val="baseline"/>
                <w:lang w:val="en-US" w:eastAsia="zh-CN"/>
              </w:rPr>
              <w:t xml:space="preserve"> 镇域特色发展指引</w:t>
            </w:r>
          </w:p>
        </w:tc>
      </w:tr>
      <w:tr w14:paraId="0A87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4" w:type="dxa"/>
          </w:tcPr>
          <w:p w14:paraId="06B0C5C9">
            <w:pPr>
              <w:keepNext w:val="0"/>
              <w:keepLines w:val="0"/>
              <w:pageBreakBefore w:val="0"/>
              <w:widowControl/>
              <w:shd w:val="clear"/>
              <w:kinsoku/>
              <w:wordWrap/>
              <w:overflowPunct/>
              <w:topLinePunct w:val="0"/>
              <w:autoSpaceDE w:val="0"/>
              <w:autoSpaceDN w:val="0"/>
              <w:bidi w:val="0"/>
              <w:adjustRightInd w:val="0"/>
              <w:snapToGrid w:val="0"/>
              <w:spacing w:before="0" w:beforeLines="-2147483648" w:line="288"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新韶镇：</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依托东联水产市场、华南农产品交易中心打造农副产品集散基地</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建设新兴商住区、商贸物流区及科教文化区。着力做强</w:t>
            </w:r>
            <w:r>
              <w:rPr>
                <w:rFonts w:hint="eastAsia" w:cs="Times New Roman"/>
                <w:b w:val="0"/>
                <w:bCs w:val="0"/>
                <w:strike w:val="0"/>
                <w:dstrike w:val="0"/>
                <w:color w:val="auto"/>
                <w:sz w:val="28"/>
                <w:szCs w:val="28"/>
                <w:highlight w:val="none"/>
                <w:u w:val="none" w:color="auto"/>
                <w:vertAlign w:val="baseline"/>
                <w:lang w:val="en-US" w:eastAsia="zh-CN"/>
              </w:rPr>
              <w:t>“大陂金龟”</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“新韶乳鸽”等特色农文旅融合产业，打造城乡融合发展</w:t>
            </w:r>
            <w:r>
              <w:rPr>
                <w:rFonts w:hint="eastAsia" w:cs="Times New Roman"/>
                <w:b w:val="0"/>
                <w:bCs w:val="0"/>
                <w:strike w:val="0"/>
                <w:dstrike w:val="0"/>
                <w:color w:val="auto"/>
                <w:sz w:val="28"/>
                <w:szCs w:val="28"/>
                <w:highlight w:val="none"/>
                <w:u w:val="none" w:color="auto"/>
                <w:vertAlign w:val="baseline"/>
                <w:lang w:val="en-US" w:eastAsia="zh-CN"/>
              </w:rPr>
              <w:t>样板</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w:t>
            </w:r>
          </w:p>
          <w:p w14:paraId="1DA9A4CC">
            <w:pPr>
              <w:keepNext w:val="0"/>
              <w:keepLines w:val="0"/>
              <w:pageBreakBefore w:val="0"/>
              <w:widowControl/>
              <w:shd w:val="clear"/>
              <w:kinsoku/>
              <w:wordWrap/>
              <w:overflowPunct/>
              <w:topLinePunct w:val="0"/>
              <w:autoSpaceDE w:val="0"/>
              <w:autoSpaceDN w:val="0"/>
              <w:bidi w:val="0"/>
              <w:adjustRightInd w:val="0"/>
              <w:snapToGrid w:val="0"/>
              <w:spacing w:before="0" w:beforeLines="-2147483648" w:line="288" w:lineRule="auto"/>
              <w:textAlignment w:val="baseline"/>
              <w:rPr>
                <w:rFonts w:hint="eastAsia"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十里亭镇：</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依托韶铸集团培育先进制造业集群，建设高端居住中心与现代仓储物流基地，扩大绿色水产、种业等特色农业规模，以亲子休闲为特色，</w:t>
            </w:r>
            <w:r>
              <w:rPr>
                <w:rFonts w:hint="eastAsia" w:ascii="Times New Roman" w:hAnsi="Times New Roman" w:eastAsia="仿宋_GB2312" w:cs="Times New Roman"/>
                <w:i w:val="0"/>
                <w:iCs w:val="0"/>
                <w:caps w:val="0"/>
                <w:color w:val="auto"/>
                <w:spacing w:val="0"/>
                <w:sz w:val="28"/>
                <w:szCs w:val="28"/>
                <w:highlight w:val="none"/>
                <w:u w:val="none" w:color="auto"/>
                <w:shd w:val="clear" w:fill="auto"/>
                <w:lang w:eastAsia="zh-CN"/>
              </w:rPr>
              <w:t>打造湾头精品村为</w:t>
            </w:r>
            <w:r>
              <w:rPr>
                <w:rFonts w:hint="eastAsia" w:ascii="Times New Roman" w:hAnsi="Times New Roman" w:cs="Times New Roman"/>
                <w:i w:val="0"/>
                <w:iCs w:val="0"/>
                <w:caps w:val="0"/>
                <w:color w:val="auto"/>
                <w:spacing w:val="0"/>
                <w:sz w:val="28"/>
                <w:szCs w:val="28"/>
                <w:highlight w:val="none"/>
                <w:u w:val="none" w:color="auto"/>
                <w:shd w:val="clear"/>
                <w:lang w:eastAsia="zh-CN"/>
              </w:rPr>
              <w:t>样板</w:t>
            </w:r>
            <w:r>
              <w:rPr>
                <w:rFonts w:hint="eastAsia" w:ascii="Times New Roman" w:hAnsi="Times New Roman" w:eastAsia="仿宋_GB2312" w:cs="Times New Roman"/>
                <w:i w:val="0"/>
                <w:iCs w:val="0"/>
                <w:caps w:val="0"/>
                <w:color w:val="auto"/>
                <w:spacing w:val="0"/>
                <w:sz w:val="28"/>
                <w:szCs w:val="28"/>
                <w:highlight w:val="none"/>
                <w:u w:val="none" w:color="auto"/>
                <w:shd w:val="clear" w:fill="auto"/>
                <w:lang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推动农文旅深度融</w:t>
            </w:r>
            <w:r>
              <w:rPr>
                <w:rFonts w:hint="eastAsia" w:cs="Times New Roman"/>
                <w:b w:val="0"/>
                <w:bCs w:val="0"/>
                <w:strike w:val="0"/>
                <w:dstrike w:val="0"/>
                <w:color w:val="auto"/>
                <w:sz w:val="28"/>
                <w:szCs w:val="28"/>
                <w:highlight w:val="none"/>
                <w:u w:val="none" w:color="auto"/>
                <w:vertAlign w:val="baseline"/>
                <w:lang w:val="en-US" w:eastAsia="zh-CN"/>
              </w:rPr>
              <w:t>合。</w:t>
            </w:r>
          </w:p>
          <w:p w14:paraId="3B08AAF8">
            <w:pPr>
              <w:widowControl w:val="0"/>
              <w:kinsoku/>
              <w:spacing w:line="288" w:lineRule="auto"/>
              <w:rPr>
                <w:rFonts w:hint="eastAsia" w:ascii="Times New Roman" w:hAnsi="Times New Roman" w:cs="Times New Roman"/>
                <w:color w:val="auto"/>
                <w:sz w:val="28"/>
                <w:szCs w:val="28"/>
                <w:highlight w:val="none"/>
                <w:u w:val="none" w:color="auto"/>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犁市镇：</w:t>
            </w:r>
            <w:r>
              <w:rPr>
                <w:rFonts w:hint="eastAsia" w:ascii="Times New Roman" w:hAnsi="Times New Roman" w:cs="Times New Roman"/>
                <w:color w:val="auto"/>
                <w:sz w:val="28"/>
                <w:szCs w:val="28"/>
                <w:highlight w:val="none"/>
                <w:u w:val="none" w:color="auto"/>
                <w:lang w:val="en-US" w:eastAsia="zh-CN"/>
              </w:rPr>
              <w:t>依托韶关浈江产业园区、韶关高新区（浈江片区）等高质量发展平台，打造工业强镇。巩固提升典型镇建设，深化圩镇运营，推动红文旅、农文旅融合发展，大力发展油茶种植和红色研学旅游，打造工业－农业－旅游</w:t>
            </w:r>
            <w:r>
              <w:rPr>
                <w:rFonts w:hint="eastAsia" w:cs="Times New Roman"/>
                <w:color w:val="auto"/>
                <w:sz w:val="28"/>
                <w:szCs w:val="28"/>
                <w:highlight w:val="none"/>
                <w:u w:val="none" w:color="auto"/>
                <w:lang w:val="en-US" w:eastAsia="zh-CN"/>
              </w:rPr>
              <w:t>名</w:t>
            </w:r>
            <w:r>
              <w:rPr>
                <w:rFonts w:hint="eastAsia" w:ascii="Times New Roman" w:hAnsi="Times New Roman" w:cs="Times New Roman"/>
                <w:color w:val="auto"/>
                <w:sz w:val="28"/>
                <w:szCs w:val="28"/>
                <w:highlight w:val="none"/>
                <w:u w:val="none" w:color="auto"/>
                <w:lang w:val="en-US" w:eastAsia="zh-CN"/>
              </w:rPr>
              <w:t>镇。</w:t>
            </w:r>
          </w:p>
          <w:p w14:paraId="5D5C2B0D">
            <w:pPr>
              <w:keepNext w:val="0"/>
              <w:keepLines w:val="0"/>
              <w:pageBreakBefore w:val="0"/>
              <w:widowControl/>
              <w:shd w:val="clear"/>
              <w:kinsoku/>
              <w:wordWrap/>
              <w:overflowPunct/>
              <w:topLinePunct w:val="0"/>
              <w:autoSpaceDE w:val="0"/>
              <w:autoSpaceDN w:val="0"/>
              <w:bidi w:val="0"/>
              <w:adjustRightInd w:val="0"/>
              <w:snapToGrid w:val="0"/>
              <w:spacing w:line="288" w:lineRule="auto"/>
              <w:textAlignment w:val="baseline"/>
              <w:rPr>
                <w:rFonts w:hint="default"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cs="Times New Roman"/>
                <w:b/>
                <w:bCs/>
                <w:strike w:val="0"/>
                <w:dstrike w:val="0"/>
                <w:color w:val="auto"/>
                <w:sz w:val="28"/>
                <w:szCs w:val="28"/>
                <w:highlight w:val="none"/>
                <w:u w:val="none" w:color="auto"/>
                <w:vertAlign w:val="baseline"/>
                <w:lang w:val="en-US" w:eastAsia="zh-CN"/>
              </w:rPr>
              <w:t>乐园镇：</w:t>
            </w:r>
            <w:r>
              <w:rPr>
                <w:rFonts w:hint="eastAsia" w:cs="Times New Roman"/>
                <w:b w:val="0"/>
                <w:bCs w:val="0"/>
                <w:strike w:val="0"/>
                <w:dstrike w:val="0"/>
                <w:color w:val="auto"/>
                <w:sz w:val="28"/>
                <w:szCs w:val="28"/>
                <w:highlight w:val="none"/>
                <w:u w:val="none" w:color="auto"/>
                <w:vertAlign w:val="baseline"/>
                <w:lang w:val="en-US" w:eastAsia="zh-CN"/>
              </w:rPr>
              <w:t>依托南郊汽贸一条街，大力建设</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专业汽贸城</w:t>
            </w:r>
            <w:r>
              <w:rPr>
                <w:rFonts w:hint="eastAsia" w:cs="Times New Roman"/>
                <w:b w:val="0"/>
                <w:bCs w:val="0"/>
                <w:strike w:val="0"/>
                <w:dstrike w:val="0"/>
                <w:color w:val="auto"/>
                <w:sz w:val="28"/>
                <w:szCs w:val="28"/>
                <w:highlight w:val="none"/>
                <w:u w:val="none" w:color="auto"/>
                <w:vertAlign w:val="baseline"/>
                <w:lang w:val="en-US" w:eastAsia="zh-CN"/>
              </w:rPr>
              <w:t>，优化提升汽贸产业，‌发展</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现代家居产业</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推进韶冶</w:t>
            </w:r>
            <w:r>
              <w:rPr>
                <w:rFonts w:hint="eastAsia" w:cs="Times New Roman"/>
                <w:b w:val="0"/>
                <w:bCs w:val="0"/>
                <w:strike w:val="0"/>
                <w:dstrike w:val="0"/>
                <w:color w:val="auto"/>
                <w:sz w:val="28"/>
                <w:szCs w:val="28"/>
                <w:highlight w:val="none"/>
                <w:u w:val="none" w:color="auto"/>
                <w:vertAlign w:val="baseline"/>
                <w:lang w:val="en-US" w:eastAsia="zh-CN"/>
              </w:rPr>
              <w:t>转型升级绿色发展</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，建设中金岭南新材料</w:t>
            </w:r>
            <w:r>
              <w:rPr>
                <w:rFonts w:hint="eastAsia" w:cs="Times New Roman"/>
                <w:b w:val="0"/>
                <w:bCs w:val="0"/>
                <w:strike w:val="0"/>
                <w:dstrike w:val="0"/>
                <w:color w:val="auto"/>
                <w:sz w:val="28"/>
                <w:szCs w:val="28"/>
                <w:highlight w:val="none"/>
                <w:u w:val="none" w:color="auto"/>
                <w:vertAlign w:val="baseline"/>
                <w:lang w:val="en-US" w:eastAsia="zh-CN"/>
              </w:rPr>
              <w:t>绿色制造</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基地。</w:t>
            </w:r>
          </w:p>
          <w:p w14:paraId="383AF38D">
            <w:pPr>
              <w:keepNext w:val="0"/>
              <w:keepLines w:val="0"/>
              <w:pageBreakBefore w:val="0"/>
              <w:widowControl/>
              <w:shd w:val="clear"/>
              <w:kinsoku/>
              <w:wordWrap/>
              <w:overflowPunct/>
              <w:topLinePunct w:val="0"/>
              <w:autoSpaceDE w:val="0"/>
              <w:autoSpaceDN w:val="0"/>
              <w:bidi w:val="0"/>
              <w:adjustRightInd w:val="0"/>
              <w:snapToGrid w:val="0"/>
              <w:spacing w:line="288" w:lineRule="auto"/>
              <w:textAlignment w:val="baseline"/>
              <w:rPr>
                <w:rFonts w:hint="default"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花坪镇：</w:t>
            </w:r>
            <w:r>
              <w:rPr>
                <w:rFonts w:hint="eastAsia" w:cs="Times New Roman"/>
                <w:b w:val="0"/>
                <w:bCs w:val="0"/>
                <w:strike w:val="0"/>
                <w:dstrike w:val="0"/>
                <w:color w:val="auto"/>
                <w:sz w:val="28"/>
                <w:szCs w:val="28"/>
                <w:highlight w:val="none"/>
                <w:u w:val="none" w:color="auto"/>
                <w:vertAlign w:val="baseline"/>
                <w:lang w:val="en-US" w:eastAsia="zh-CN"/>
              </w:rPr>
              <w:t>依托曲仁矿旧址，</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打造宜居、宜游、宜商的高质量发展工矿生态文旅特色镇，推动供港蔬菜、南药</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竹产业发展，开发西牛谭水库康养项目</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建设宜居宜业和美乡村。</w:t>
            </w:r>
          </w:p>
          <w:p w14:paraId="7611F733">
            <w:pPr>
              <w:keepNext w:val="0"/>
              <w:keepLines w:val="0"/>
              <w:pageBreakBefore w:val="0"/>
              <w:widowControl/>
              <w:shd w:val="clear"/>
              <w:kinsoku/>
              <w:wordWrap/>
              <w:overflowPunct/>
              <w:topLinePunct w:val="0"/>
              <w:autoSpaceDE w:val="0"/>
              <w:autoSpaceDN w:val="0"/>
              <w:bidi w:val="0"/>
              <w:adjustRightInd w:val="0"/>
              <w:snapToGrid w:val="0"/>
              <w:spacing w:line="288"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东河街道：</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打造全区城市更新</w:t>
            </w:r>
            <w:r>
              <w:rPr>
                <w:rFonts w:hint="eastAsia" w:cs="Times New Roman"/>
                <w:b w:val="0"/>
                <w:bCs w:val="0"/>
                <w:strike w:val="0"/>
                <w:dstrike w:val="0"/>
                <w:color w:val="auto"/>
                <w:sz w:val="28"/>
                <w:szCs w:val="28"/>
                <w:highlight w:val="none"/>
                <w:u w:val="none" w:color="auto"/>
                <w:vertAlign w:val="baseline"/>
                <w:lang w:val="en-US" w:eastAsia="zh-CN"/>
              </w:rPr>
              <w:t>社区样板</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，大力发展城市改造、商住提升、特色经营等城市资源价值化开发利用产业，打造品质居住空间</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建设特色化美丽街区。</w:t>
            </w:r>
          </w:p>
          <w:p w14:paraId="68728EEA">
            <w:pPr>
              <w:keepNext w:val="0"/>
              <w:keepLines w:val="0"/>
              <w:pageBreakBefore w:val="0"/>
              <w:widowControl/>
              <w:shd w:val="clear"/>
              <w:kinsoku/>
              <w:wordWrap/>
              <w:overflowPunct/>
              <w:topLinePunct w:val="0"/>
              <w:autoSpaceDE w:val="0"/>
              <w:autoSpaceDN w:val="0"/>
              <w:bidi w:val="0"/>
              <w:adjustRightInd w:val="0"/>
              <w:snapToGrid w:val="0"/>
              <w:spacing w:line="288"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车站街道：</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强化区域交通枢纽核心服务节点、浈江商贸文旅活力街区功能，巩固</w:t>
            </w:r>
            <w:r>
              <w:rPr>
                <w:rFonts w:hint="eastAsia" w:cs="Times New Roman"/>
                <w:b w:val="0"/>
                <w:bCs w:val="0"/>
                <w:strike w:val="0"/>
                <w:dstrike w:val="0"/>
                <w:color w:val="auto"/>
                <w:sz w:val="28"/>
                <w:szCs w:val="28"/>
                <w:highlight w:val="none"/>
                <w:u w:val="none" w:color="auto"/>
                <w:vertAlign w:val="baseline"/>
                <w:lang w:val="en-US" w:eastAsia="zh-CN"/>
              </w:rPr>
              <w:t>提升</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站南路小商品批发街，强化火车站周边业态升级</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打造浈江区城市形象和文化魅力的重要窗口。</w:t>
            </w:r>
          </w:p>
          <w:p w14:paraId="7395084D">
            <w:pPr>
              <w:keepNext w:val="0"/>
              <w:keepLines w:val="0"/>
              <w:pageBreakBefore w:val="0"/>
              <w:widowControl/>
              <w:shd w:val="clear"/>
              <w:kinsoku/>
              <w:wordWrap/>
              <w:overflowPunct/>
              <w:topLinePunct w:val="0"/>
              <w:autoSpaceDE w:val="0"/>
              <w:autoSpaceDN w:val="0"/>
              <w:bidi w:val="0"/>
              <w:adjustRightInd w:val="0"/>
              <w:snapToGrid w:val="0"/>
              <w:spacing w:line="288"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风采街道：</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聚焦城市商圈、特色街区、夜间经济，推动风采楼、广富新街等历史文化建筑改造升级，做强百年东街商圈</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重点打造一批特色鲜明的文旅项目和风采</w:t>
            </w:r>
            <w:r>
              <w:rPr>
                <w:rFonts w:hint="eastAsia" w:cs="Times New Roman"/>
                <w:b w:val="0"/>
                <w:bCs w:val="0"/>
                <w:strike w:val="0"/>
                <w:dstrike w:val="0"/>
                <w:color w:val="auto"/>
                <w:sz w:val="28"/>
                <w:szCs w:val="28"/>
                <w:highlight w:val="none"/>
                <w:u w:val="none" w:color="auto"/>
                <w:vertAlign w:val="baseline"/>
                <w:lang w:val="en-US" w:eastAsia="zh-CN"/>
              </w:rPr>
              <w:t>历史特色</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的文创产品。</w:t>
            </w:r>
          </w:p>
          <w:p w14:paraId="435E9EED">
            <w:pPr>
              <w:keepNext w:val="0"/>
              <w:keepLines w:val="0"/>
              <w:pageBreakBefore w:val="0"/>
              <w:widowControl/>
              <w:shd w:val="clear"/>
              <w:kinsoku/>
              <w:wordWrap/>
              <w:overflowPunct/>
              <w:topLinePunct w:val="0"/>
              <w:autoSpaceDE/>
              <w:autoSpaceDN/>
              <w:bidi w:val="0"/>
              <w:adjustRightInd w:val="0"/>
              <w:snapToGrid w:val="0"/>
              <w:spacing w:line="288" w:lineRule="auto"/>
              <w:ind w:firstLine="560"/>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曲仁</w:t>
            </w:r>
            <w:r>
              <w:rPr>
                <w:rFonts w:hint="eastAsia" w:cs="Times New Roman"/>
                <w:b/>
                <w:bCs/>
                <w:strike w:val="0"/>
                <w:dstrike w:val="0"/>
                <w:color w:val="auto"/>
                <w:sz w:val="28"/>
                <w:szCs w:val="28"/>
                <w:highlight w:val="none"/>
                <w:u w:val="none" w:color="auto"/>
                <w:vertAlign w:val="baseline"/>
                <w:lang w:val="en-US" w:eastAsia="zh-CN"/>
              </w:rPr>
              <w:t>办事处</w:t>
            </w:r>
            <w:r>
              <w:rPr>
                <w:rFonts w:hint="eastAsia" w:ascii="Times New Roman" w:hAnsi="Times New Roman" w:cs="Times New Roman"/>
                <w:b/>
                <w:bCs/>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充分发挥广东松山职业技术学院、韶关市中医院新</w:t>
            </w:r>
            <w:r>
              <w:rPr>
                <w:rFonts w:hint="eastAsia" w:cs="Times New Roman"/>
                <w:b w:val="0"/>
                <w:bCs w:val="0"/>
                <w:strike w:val="0"/>
                <w:dstrike w:val="0"/>
                <w:color w:val="auto"/>
                <w:sz w:val="28"/>
                <w:szCs w:val="28"/>
                <w:highlight w:val="none"/>
                <w:u w:val="none" w:color="auto"/>
                <w:vertAlign w:val="baseline"/>
                <w:lang w:val="en-US" w:eastAsia="zh-CN"/>
              </w:rPr>
              <w:t>校</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区带来的人流集聚效应，聚焦服务辖区“一老一小”群体，打造工矿文化家园，发展智慧养老、现代家政和商贸物流，完善棚改区生活配套。</w:t>
            </w:r>
          </w:p>
        </w:tc>
      </w:tr>
    </w:tbl>
    <w:p w14:paraId="01DBFB43">
      <w:pPr>
        <w:shd w:val="clear"/>
        <w:kinsoku/>
        <w:bidi w:val="0"/>
        <w:rPr>
          <w:rFonts w:hint="eastAsia"/>
          <w:color w:val="auto"/>
          <w:highlight w:val="none"/>
          <w:lang w:val="en-US" w:eastAsia="zh-CN"/>
        </w:rPr>
      </w:pPr>
      <w:bookmarkStart w:id="590" w:name="_Toc13403"/>
    </w:p>
    <w:p w14:paraId="4CC389B1">
      <w:pPr>
        <w:shd w:val="clear"/>
        <w:kinsoku/>
        <w:autoSpaceDE/>
        <w:autoSpaceDN/>
        <w:bidi w:val="0"/>
        <w:ind w:firstLine="643"/>
        <w:rPr>
          <w:rFonts w:hint="eastAsia" w:ascii="BatangChe" w:hAnsi="BatangChe" w:cs="仿宋_GB2312"/>
          <w:b w:val="0"/>
          <w:bCs w:val="0"/>
          <w:color w:val="auto"/>
          <w:kern w:val="32"/>
          <w:sz w:val="32"/>
          <w:szCs w:val="32"/>
          <w:highlight w:val="none"/>
          <w:u w:val="none" w:color="auto"/>
          <w:shd w:val="clear" w:color="auto" w:fill="auto"/>
          <w:lang w:val="en-US" w:eastAsia="zh-CN" w:bidi="ar-SA"/>
        </w:rPr>
      </w:pPr>
      <w:r>
        <w:rPr>
          <w:rFonts w:hint="eastAsia" w:ascii="BatangChe" w:hAnsi="BatangChe" w:cs="仿宋_GB2312"/>
          <w:b/>
          <w:bCs/>
          <w:color w:val="auto"/>
          <w:kern w:val="32"/>
          <w:sz w:val="32"/>
          <w:szCs w:val="32"/>
          <w:highlight w:val="none"/>
          <w:u w:val="none" w:color="auto"/>
          <w:shd w:val="clear" w:color="auto" w:fill="auto"/>
          <w:lang w:val="en-US" w:eastAsia="zh-CN" w:bidi="ar-SA"/>
        </w:rPr>
        <w:t>做强镇域运营“平台”。</w:t>
      </w:r>
      <w:r>
        <w:rPr>
          <w:rFonts w:hint="eastAsia" w:ascii="BatangChe" w:hAnsi="BatangChe" w:cs="仿宋_GB2312"/>
          <w:b w:val="0"/>
          <w:bCs w:val="0"/>
          <w:color w:val="auto"/>
          <w:kern w:val="32"/>
          <w:sz w:val="32"/>
          <w:szCs w:val="32"/>
          <w:highlight w:val="none"/>
          <w:u w:val="none" w:color="auto"/>
          <w:shd w:val="clear" w:color="auto" w:fill="auto"/>
          <w:lang w:val="en-US" w:eastAsia="zh-CN" w:bidi="ar-SA"/>
        </w:rPr>
        <w:t>开展镇域“三资”清产核资专项行动，构建“确认—确权—确值—流转”全链条体系，为镇域发展注入源头活水。支持强镇（街）富村（社区）公司承接圩镇运营、资产管护等事务，探索“圩镇运营一体化”模式。扩大镇域有效投资，拓宽“资源变资产、资金变股金、村集体变股东”的“三变”转化路径。加大乡贤招商力度，吸引优质企业入驻镇村，参与基础设施建设、公共服务供给、文旅资源开发等项目，培育市场化运营主体。推动强镇富村公司实施“提质增效计划”，优化法人治理结构，引进财务、运营、产业等专业人才，健全内部风险防控机制，提升市场化运营能力。拓展多元化融资渠道，联动金融机构提升镇村授信额度，探索股权融资、合作经营等模式，破解镇域发展资金瓶颈。</w:t>
      </w:r>
    </w:p>
    <w:bookmarkEnd w:id="590"/>
    <w:p w14:paraId="1631B56E">
      <w:pPr>
        <w:shd w:val="clear"/>
        <w:kinsoku/>
        <w:bidi w:val="0"/>
        <w:ind w:firstLine="643"/>
        <w:rPr>
          <w:rFonts w:hint="eastAsia"/>
          <w:color w:val="auto"/>
          <w:highlight w:val="none"/>
          <w:lang w:val="en-US" w:eastAsia="zh-CN"/>
        </w:rPr>
      </w:pPr>
      <w:bookmarkStart w:id="591" w:name="_Toc16053"/>
      <w:bookmarkStart w:id="592" w:name="_Toc6547"/>
      <w:r>
        <w:rPr>
          <w:rFonts w:hint="eastAsia"/>
          <w:b/>
          <w:bCs/>
          <w:color w:val="auto"/>
          <w:highlight w:val="none"/>
          <w:lang w:val="en-US" w:eastAsia="zh-CN"/>
        </w:rPr>
        <w:t>做优乡镇节点“功能”。</w:t>
      </w:r>
      <w:r>
        <w:rPr>
          <w:rFonts w:hint="eastAsia"/>
          <w:b w:val="0"/>
          <w:bCs w:val="0"/>
          <w:color w:val="auto"/>
          <w:highlight w:val="none"/>
          <w:lang w:val="en-US" w:eastAsia="zh-CN"/>
        </w:rPr>
        <w:t>坚持规划优先，</w:t>
      </w:r>
      <w:r>
        <w:rPr>
          <w:rFonts w:hint="eastAsia"/>
          <w:color w:val="auto"/>
          <w:highlight w:val="none"/>
          <w:lang w:val="en-US" w:eastAsia="zh-CN"/>
        </w:rPr>
        <w:t>优化镇域“生产—生活—生态”空间布局，强化未来产业、公共服务、基础设施等关键领域用地保障。实施“城乡基建一体化攻坚”，补齐乡镇污水管网、生活垃圾处理、燃气入户等民生短板，推动道路、供水、供电、通信等基础设施城乡统筹规划、建设、管护。推进5G基站、工业互联网、人工智能等新型基础设施向镇村延伸。加快农业转移人口“市民化提质”进程，稳慎推进</w:t>
      </w:r>
      <w:r>
        <w:rPr>
          <w:rFonts w:hint="eastAsia" w:ascii="仿宋_GB2312" w:hAnsi="仿宋_GB2312" w:eastAsia="仿宋_GB2312" w:cs="仿宋_GB2312"/>
          <w:color w:val="auto"/>
          <w:sz w:val="32"/>
          <w:szCs w:val="32"/>
          <w:highlight w:val="none"/>
          <w:u w:val="none" w:color="auto"/>
        </w:rPr>
        <w:t>人口小镇撤并</w:t>
      </w:r>
      <w:r>
        <w:rPr>
          <w:rFonts w:hint="eastAsia"/>
          <w:color w:val="auto"/>
          <w:highlight w:val="none"/>
          <w:lang w:val="en-US" w:eastAsia="zh-CN"/>
        </w:rPr>
        <w:t>，引导人口持续减少的乡镇集约集聚发展，提高城镇化质量。深化新韶镇城乡融合发展市级试点建设，打造“浈江融合样板”，总结可复制、可推广的经验模式。健全犁市镇典型镇美丽圩镇“建管运”长效机制，同步推进非典型镇优质美丽圩镇建设，巩固15个典型村建设成果，谋划新增一批典型村，形成“典型引领、全域提升”的圩镇建设格局。</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454C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54" w:type="dxa"/>
            <w:vAlign w:val="center"/>
          </w:tcPr>
          <w:p w14:paraId="4E558C8A">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黑体" w:cs="Times New Roman"/>
                <w:strike w:val="0"/>
                <w:dstrike w:val="0"/>
                <w:color w:val="auto"/>
                <w:sz w:val="28"/>
                <w:szCs w:val="28"/>
                <w:highlight w:val="none"/>
                <w:u w:val="none" w:color="auto"/>
                <w:vertAlign w:val="baseline"/>
                <w:lang w:val="en-US" w:eastAsia="zh-CN"/>
              </w:rPr>
            </w:pPr>
            <w:r>
              <w:rPr>
                <w:rFonts w:hint="eastAsia" w:ascii="Times New Roman" w:hAnsi="Times New Roman" w:eastAsia="黑体" w:cs="Times New Roman"/>
                <w:strike w:val="0"/>
                <w:dstrike w:val="0"/>
                <w:color w:val="auto"/>
                <w:sz w:val="28"/>
                <w:szCs w:val="28"/>
                <w:highlight w:val="none"/>
                <w:u w:val="none" w:color="auto"/>
                <w:vertAlign w:val="baseline"/>
                <w:lang w:val="en-US" w:eastAsia="zh-CN"/>
              </w:rPr>
              <w:t>专栏</w:t>
            </w:r>
            <w:r>
              <w:rPr>
                <w:rFonts w:hint="eastAsia" w:eastAsia="黑体" w:cs="Times New Roman"/>
                <w:strike w:val="0"/>
                <w:dstrike w:val="0"/>
                <w:color w:val="auto"/>
                <w:sz w:val="28"/>
                <w:szCs w:val="28"/>
                <w:highlight w:val="none"/>
                <w:u w:val="none" w:color="auto"/>
                <w:vertAlign w:val="baseline"/>
                <w:lang w:val="en-US" w:eastAsia="zh-CN"/>
              </w:rPr>
              <w:t>2</w:t>
            </w:r>
            <w:r>
              <w:rPr>
                <w:rFonts w:hint="eastAsia" w:ascii="Times New Roman" w:hAnsi="Times New Roman" w:eastAsia="黑体" w:cs="Times New Roman"/>
                <w:strike w:val="0"/>
                <w:dstrike w:val="0"/>
                <w:color w:val="auto"/>
                <w:sz w:val="28"/>
                <w:szCs w:val="28"/>
                <w:highlight w:val="none"/>
                <w:u w:val="none" w:color="auto"/>
                <w:vertAlign w:val="baseline"/>
                <w:lang w:val="en-US" w:eastAsia="zh-CN"/>
              </w:rPr>
              <w:t xml:space="preserve"> 典型镇村培育工程</w:t>
            </w:r>
          </w:p>
        </w:tc>
      </w:tr>
      <w:tr w14:paraId="0868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4" w:type="dxa"/>
            <w:vAlign w:val="center"/>
          </w:tcPr>
          <w:p w14:paraId="4F0A6CE0">
            <w:pPr>
              <w:keepNext w:val="0"/>
              <w:keepLines w:val="0"/>
              <w:pageBreakBefore w:val="0"/>
              <w:widowControl/>
              <w:shd w:val="clear"/>
              <w:kinsoku/>
              <w:wordWrap/>
              <w:overflowPunct/>
              <w:topLinePunct w:val="0"/>
              <w:autoSpaceDE w:val="0"/>
              <w:autoSpaceDN w:val="0"/>
              <w:bidi w:val="0"/>
              <w:adjustRightInd w:val="0"/>
              <w:snapToGrid w:val="0"/>
              <w:spacing w:before="0" w:beforeLines="20" w:line="288" w:lineRule="auto"/>
              <w:jc w:val="both"/>
              <w:textAlignment w:val="baseline"/>
              <w:rPr>
                <w:rFonts w:hint="eastAsia" w:ascii="仿宋_GB2312" w:hAnsi="仿宋_GB2312" w:cs="仿宋_GB2312"/>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强化典型镇培育建设。</w:t>
            </w:r>
            <w:r>
              <w:rPr>
                <w:rFonts w:hint="eastAsia" w:ascii="仿宋_GB2312" w:hAnsi="仿宋_GB2312" w:cs="仿宋_GB2312"/>
                <w:b w:val="0"/>
                <w:bCs w:val="0"/>
                <w:strike w:val="0"/>
                <w:dstrike w:val="0"/>
                <w:color w:val="auto"/>
                <w:sz w:val="28"/>
                <w:szCs w:val="28"/>
                <w:highlight w:val="none"/>
                <w:u w:val="none" w:color="auto"/>
                <w:vertAlign w:val="baseline"/>
                <w:lang w:val="en-US" w:eastAsia="zh-CN"/>
              </w:rPr>
              <w:t>进一步巩固犁市典型镇和第一、二、三批共</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15</w:t>
            </w:r>
            <w:r>
              <w:rPr>
                <w:rFonts w:hint="eastAsia" w:ascii="仿宋_GB2312" w:hAnsi="仿宋_GB2312" w:cs="仿宋_GB2312"/>
                <w:b w:val="0"/>
                <w:bCs w:val="0"/>
                <w:strike w:val="0"/>
                <w:dstrike w:val="0"/>
                <w:color w:val="auto"/>
                <w:sz w:val="28"/>
                <w:szCs w:val="28"/>
                <w:highlight w:val="none"/>
                <w:u w:val="none" w:color="auto"/>
                <w:vertAlign w:val="baseline"/>
                <w:lang w:val="en-US" w:eastAsia="zh-CN"/>
              </w:rPr>
              <w:t>个典型村建设成果，谋划推进更多典型村建设，打造“浈江样板”。扎实推进美丽圩镇“七个一”工程体系，加快补齐基础设施与公共服务短板，实现“功能完善、生活便捷、舒适宜居、治理高效、产业兴旺、发展有序”的建设目标。</w:t>
            </w:r>
          </w:p>
          <w:p w14:paraId="5F7C2584">
            <w:pPr>
              <w:keepNext w:val="0"/>
              <w:keepLines w:val="0"/>
              <w:pageBreakBefore w:val="0"/>
              <w:widowControl/>
              <w:shd w:val="clear"/>
              <w:kinsoku/>
              <w:wordWrap/>
              <w:overflowPunct/>
              <w:topLinePunct w:val="0"/>
              <w:autoSpaceDE w:val="0"/>
              <w:autoSpaceDN w:val="0"/>
              <w:bidi w:val="0"/>
              <w:adjustRightInd w:val="0"/>
              <w:snapToGrid w:val="0"/>
              <w:spacing w:line="288" w:lineRule="auto"/>
              <w:jc w:val="both"/>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推进典型村梯度培育工程。</w:t>
            </w:r>
            <w:r>
              <w:rPr>
                <w:rFonts w:hint="eastAsia" w:ascii="仿宋_GB2312" w:hAnsi="仿宋_GB2312" w:cs="仿宋_GB2312"/>
                <w:b w:val="0"/>
                <w:bCs w:val="0"/>
                <w:strike w:val="0"/>
                <w:dstrike w:val="0"/>
                <w:color w:val="auto"/>
                <w:sz w:val="28"/>
                <w:szCs w:val="28"/>
                <w:highlight w:val="none"/>
                <w:u w:val="none" w:color="auto"/>
                <w:vertAlign w:val="baseline"/>
                <w:lang w:val="en-US" w:eastAsia="zh-CN"/>
              </w:rPr>
              <w:t>按照“引领示范、整体推进”思路，分层分类打造特色鲜明功能完善的乡村样板。“十五五”期间重点培育</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3</w:t>
            </w:r>
            <w:r>
              <w:rPr>
                <w:rFonts w:hint="eastAsia" w:ascii="仿宋_GB2312" w:hAnsi="仿宋_GB2312" w:cs="仿宋_GB2312"/>
                <w:b w:val="0"/>
                <w:bCs w:val="0"/>
                <w:strike w:val="0"/>
                <w:dstrike w:val="0"/>
                <w:color w:val="auto"/>
                <w:sz w:val="28"/>
                <w:szCs w:val="28"/>
                <w:highlight w:val="none"/>
                <w:u w:val="none" w:color="auto"/>
                <w:vertAlign w:val="baseline"/>
                <w:lang w:val="en-US" w:eastAsia="zh-CN"/>
              </w:rPr>
              <w:t>个特色精品村，聚焦产业特色、文化底蕴与生态优势，塑造“一村一韵、一村一景”的乡村风貌窗口；建设</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5</w:t>
            </w:r>
            <w:r>
              <w:rPr>
                <w:rFonts w:hint="eastAsia" w:ascii="仿宋_GB2312" w:hAnsi="仿宋_GB2312" w:cs="仿宋_GB2312"/>
                <w:b w:val="0"/>
                <w:bCs w:val="0"/>
                <w:strike w:val="0"/>
                <w:dstrike w:val="0"/>
                <w:color w:val="auto"/>
                <w:sz w:val="28"/>
                <w:szCs w:val="28"/>
                <w:highlight w:val="none"/>
                <w:u w:val="none" w:color="auto"/>
                <w:vertAlign w:val="baseline"/>
                <w:lang w:val="en-US" w:eastAsia="zh-CN"/>
              </w:rPr>
              <w:t>个美丽宜居村，完善基础设施与公共服务，营造舒适宜居的村民生活环境，力争</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90%</w:t>
            </w:r>
            <w:r>
              <w:rPr>
                <w:rFonts w:hint="eastAsia" w:ascii="仿宋_GB2312" w:hAnsi="仿宋_GB2312" w:cs="仿宋_GB2312"/>
                <w:b w:val="0"/>
                <w:bCs w:val="0"/>
                <w:strike w:val="0"/>
                <w:dstrike w:val="0"/>
                <w:color w:val="auto"/>
                <w:sz w:val="28"/>
                <w:szCs w:val="28"/>
                <w:highlight w:val="none"/>
                <w:u w:val="none" w:color="auto"/>
                <w:vertAlign w:val="baseline"/>
                <w:lang w:val="en-US" w:eastAsia="zh-CN"/>
              </w:rPr>
              <w:t>以上行政村达到美丽宜居标准。深化全域人居环境整治，常态化推进“三清三拆三整治”，彻底消除“脏乱差”现象。重点实施农村生活污水治理民生工程，因地制宜推广适合乡村的污水处理模式。</w:t>
            </w:r>
          </w:p>
        </w:tc>
      </w:tr>
    </w:tbl>
    <w:p w14:paraId="49965B13">
      <w:pPr>
        <w:shd w:val="clear"/>
        <w:kinsoku/>
        <w:bidi w:val="0"/>
        <w:rPr>
          <w:rFonts w:hint="eastAsia" w:ascii="Times New Roman" w:hAnsi="Times New Roman" w:cs="Times New Roman"/>
          <w:b/>
          <w:bCs/>
          <w:color w:val="auto"/>
          <w:highlight w:val="none"/>
          <w:lang w:val="en-US" w:eastAsia="zh-CN"/>
        </w:rPr>
      </w:pPr>
    </w:p>
    <w:p w14:paraId="225C458C">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畅通城乡要素“循环”。</w:t>
      </w:r>
      <w:r>
        <w:rPr>
          <w:rFonts w:hint="eastAsia"/>
          <w:color w:val="auto"/>
          <w:highlight w:val="none"/>
          <w:lang w:val="en-US" w:eastAsia="zh-CN"/>
        </w:rPr>
        <w:t>统筹新型工业化、新型城镇化与乡村全面振兴，推动城乡规划、建设、治理“三位一体”融合。完善城乡融合发展体制机制，打破要素流动壁垒，促进人才、资金、技术、土地等要素双向流动、优化配置。优化农业转移人口配套政策，推行由常住地登记户口提供基本公共服务制度，推动符合条件的农业转移人口在社会保险、住房保障、随迁子女义务教育等方面享受同城待遇。推动城乡交通道路连接、供电网络互联、客运物流一体，促进城乡基本公共服务标准统一、制度并轨。加强农村商业体系建设，发掘农村消费潜力。</w:t>
      </w:r>
    </w:p>
    <w:p w14:paraId="7A5A5C97">
      <w:pPr>
        <w:shd w:val="clear"/>
        <w:kinsoku/>
        <w:bidi w:val="0"/>
        <w:rPr>
          <w:rFonts w:hint="eastAsia"/>
          <w:color w:val="auto"/>
          <w:highlight w:val="none"/>
          <w:lang w:val="en-US" w:eastAsia="zh-CN"/>
        </w:rPr>
      </w:pPr>
    </w:p>
    <w:p w14:paraId="6EA48358">
      <w:pPr>
        <w:pStyle w:val="4"/>
        <w:shd w:val="clear"/>
        <w:kinsoku/>
        <w:bidi w:val="0"/>
        <w:rPr>
          <w:rFonts w:hint="eastAsia"/>
          <w:color w:val="auto"/>
          <w:highlight w:val="none"/>
          <w:lang w:val="en-US" w:eastAsia="zh-CN"/>
        </w:rPr>
      </w:pPr>
      <w:bookmarkStart w:id="593" w:name="_Toc5088"/>
      <w:bookmarkStart w:id="594" w:name="_Toc851"/>
      <w:bookmarkStart w:id="595" w:name="_Toc25871"/>
      <w:bookmarkStart w:id="596" w:name="_Toc11300"/>
      <w:bookmarkStart w:id="597" w:name="_Toc3722"/>
      <w:bookmarkStart w:id="598" w:name="_Toc21174"/>
      <w:bookmarkStart w:id="599" w:name="_Toc24571"/>
      <w:bookmarkStart w:id="600" w:name="_Toc816"/>
      <w:bookmarkStart w:id="601" w:name="_Toc23440"/>
      <w:bookmarkStart w:id="602" w:name="_Toc28282"/>
      <w:bookmarkStart w:id="603" w:name="_Toc7435"/>
      <w:bookmarkStart w:id="604" w:name="_Toc6126"/>
      <w:bookmarkStart w:id="605" w:name="_Toc28526"/>
      <w:bookmarkStart w:id="606" w:name="_Toc20535"/>
      <w:bookmarkStart w:id="607" w:name="_Toc26233"/>
      <w:bookmarkStart w:id="608" w:name="_Toc29639"/>
      <w:bookmarkStart w:id="609" w:name="_Toc14938"/>
      <w:bookmarkStart w:id="610" w:name="_Toc24487"/>
      <w:r>
        <w:rPr>
          <w:rFonts w:hint="eastAsia"/>
          <w:color w:val="auto"/>
          <w:highlight w:val="none"/>
          <w:lang w:val="en-US" w:eastAsia="zh-CN"/>
        </w:rPr>
        <w:t>第二节 加快发展现代农业</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14:paraId="2831E172">
      <w:pPr>
        <w:shd w:val="clear"/>
        <w:kinsoku/>
        <w:bidi w:val="0"/>
        <w:ind w:firstLine="643"/>
        <w:rPr>
          <w:rFonts w:hint="eastAsia"/>
          <w:b/>
          <w:bCs/>
          <w:color w:val="auto"/>
          <w:highlight w:val="none"/>
          <w:lang w:val="en-US" w:eastAsia="zh-CN"/>
        </w:rPr>
      </w:pPr>
      <w:bookmarkStart w:id="611" w:name="_Toc30389"/>
    </w:p>
    <w:p w14:paraId="5DC44B4B">
      <w:pPr>
        <w:shd w:val="clear"/>
        <w:kinsoku/>
        <w:bidi w:val="0"/>
        <w:ind w:firstLine="643"/>
        <w:rPr>
          <w:rFonts w:hint="eastAsia" w:ascii="Times New Roman" w:hAnsi="Times New Roman" w:cs="Times New Roman"/>
          <w:strike w:val="0"/>
          <w:dstrike w:val="0"/>
          <w:color w:val="auto"/>
          <w:highlight w:val="none"/>
          <w:u w:val="none" w:color="auto"/>
          <w:lang w:val="en-US" w:eastAsia="zh-CN"/>
        </w:rPr>
      </w:pPr>
      <w:r>
        <w:rPr>
          <w:rFonts w:hint="eastAsia"/>
          <w:b/>
          <w:bCs/>
          <w:color w:val="auto"/>
          <w:highlight w:val="none"/>
          <w:lang w:val="en-US" w:eastAsia="zh-CN"/>
        </w:rPr>
        <w:t>夯实农业发展基础。</w:t>
      </w:r>
      <w:r>
        <w:rPr>
          <w:rFonts w:hint="eastAsia"/>
          <w:color w:val="auto"/>
          <w:highlight w:val="none"/>
          <w:lang w:val="en-US" w:eastAsia="zh-CN"/>
        </w:rPr>
        <w:t>坚守耕地保护红线，实施“粮安浈江守护计划”，聚焦“守红线、提地力、增单产、促循环”四大任务，确保耕地数量稳定、质量提升、产出高效。到2030年，全区粮食播种面积稳定在4.6万亩以上，粮食综合生产能力稳步提升。以高标准农田建设为核心，新建及改造提升高标准农田1.8万亩以上。推进浈江区小型农田水利、防洪减灾、水资源保障与河湖生态修复、枫湾河段治理等重点项目，系统改善耕作条件和河湖生态环境。实施“科技增粮赋能行动”，推广良种、良机、良法集成应用，到2030年农业机械化率提升至82%以上。强化“菜篮子”稳产保供，稳定生猪产能，加快年产800万羽肉鸽养殖产业园建设，构建“稳供+提质”的畜禽保障体系。实施绿色种养循环计划，推广测土配方施肥7万亩，实现化肥、农药使用零增长，到2030年畜禽粪污综合利用率达到85%，筑牢农业绿色发展底线。</w:t>
      </w:r>
    </w:p>
    <w:bookmarkEnd w:id="611"/>
    <w:p w14:paraId="1373A750">
      <w:pPr>
        <w:shd w:val="clear"/>
        <w:kinsoku/>
        <w:bidi w:val="0"/>
        <w:ind w:firstLine="643"/>
        <w:rPr>
          <w:rFonts w:hint="eastAsia"/>
          <w:color w:val="auto"/>
          <w:highlight w:val="none"/>
          <w:lang w:val="en-US" w:eastAsia="zh-CN"/>
        </w:rPr>
      </w:pPr>
      <w:r>
        <w:rPr>
          <w:rFonts w:hint="eastAsia" w:ascii="Times New Roman" w:hAnsi="Times New Roman" w:cs="Times New Roman"/>
          <w:b/>
          <w:bCs/>
          <w:color w:val="auto"/>
          <w:highlight w:val="none"/>
          <w:lang w:val="en-US" w:eastAsia="zh-CN"/>
        </w:rPr>
        <w:t>发展壮大现代农业。</w:t>
      </w:r>
      <w:r>
        <w:rPr>
          <w:rFonts w:hint="eastAsia"/>
          <w:color w:val="auto"/>
          <w:highlight w:val="none"/>
          <w:lang w:val="en-US" w:eastAsia="zh-CN"/>
        </w:rPr>
        <w:t>落实种业振兴行动，支持三雄科技等龙头企业做强西蓝花、水稻特色种业，打造“浈江种业”优势板块。</w:t>
      </w:r>
      <w:r>
        <w:rPr>
          <w:rFonts w:hint="eastAsia" w:ascii="Times New Roman" w:hAnsi="Times New Roman" w:cs="Times New Roman"/>
          <w:b w:val="0"/>
          <w:bCs w:val="0"/>
          <w:color w:val="auto"/>
          <w:highlight w:val="none"/>
          <w:lang w:val="en-US" w:eastAsia="zh-CN"/>
        </w:rPr>
        <w:t>优化农产品空间布局，加快推进蛋鸡养殖园区等重点项目建设，构建以省级油茶现代农业产业园为引领、“小而美”特色产业集群协同发展的“一核多极”农业产业格局。实施“精品农业倍增计划”，重点发展生猪、油茶、果蔬、花卉、肉鸽、金龟、种子繁育、稻虾轮作等特色产业，推动农产品加工业向精深加工延伸，培育一批成长性好、带动能力强的农业龙头企业，提升农产品加工转化率。完善现代农业物流体系，加快农产品批发物流、仓储保鲜、冷链物流设施建设，打造“产地仓—销地仓—配送点”畅通高效的物流枢纽网络。优化农产品专业市场和村级农贸市场布局，壮大农村电子商务规模，构建“线上+线下”融合的农产品销售网络。推广“农光互补+板下经济”模式，推动“光伏+农业”深度融合，建设农业物联网基地，提升农业生产智能化、精准化水平。</w:t>
      </w:r>
    </w:p>
    <w:p w14:paraId="4B9C0360">
      <w:pPr>
        <w:shd w:val="clear"/>
        <w:kinsoku/>
        <w:bidi w:val="0"/>
        <w:ind w:firstLine="643"/>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培育农业特色品牌</w:t>
      </w:r>
      <w:r>
        <w:rPr>
          <w:rFonts w:hint="eastAsia" w:cs="Times New Roman"/>
          <w:b/>
          <w:bCs/>
          <w:color w:val="auto"/>
          <w:highlight w:val="none"/>
          <w:lang w:val="en-US" w:eastAsia="zh-CN"/>
        </w:rPr>
        <w:t>。</w:t>
      </w:r>
      <w:r>
        <w:rPr>
          <w:rFonts w:hint="eastAsia" w:ascii="Times New Roman" w:hAnsi="Times New Roman" w:cs="Times New Roman"/>
          <w:b w:val="0"/>
          <w:bCs w:val="0"/>
          <w:color w:val="auto"/>
          <w:highlight w:val="none"/>
          <w:lang w:val="en-US" w:eastAsia="zh-CN"/>
        </w:rPr>
        <w:t>实施“浈江优农品牌培育工程”，构建“区域公共品牌+企业品牌+产品品牌”三位一体的品牌体系。支持企业参与无公害农产品、绿色食品、有机农产品、农产品地理标志“三品一标”认证，强化“新韶九章”区域公共品牌宣传推广与规范化管理，重点培育“韶鸽”“浈江种业”等特色产业品牌，力争新增2个“国字号”“粤字号”品牌及15家市级以上农业龙头企业。发展农业适度规模经营，完善农业社会化服务体系，通过代耕代种、统防统治、产销对接等服务，促进小农户与现代农业有机衔接。培育壮大新型农业经营主体，构建国家、省、市、县级农业龙头企业梯队，带动农户共享产业发展收益。</w:t>
      </w:r>
    </w:p>
    <w:p w14:paraId="5D66E403">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发展半郊型都市体验农业。</w:t>
      </w:r>
      <w:r>
        <w:rPr>
          <w:rFonts w:hint="eastAsia"/>
          <w:color w:val="auto"/>
          <w:highlight w:val="none"/>
          <w:lang w:val="en-US" w:eastAsia="zh-CN"/>
        </w:rPr>
        <w:t>拓展农业多元功能，推动农业从生产型向“生产+生活+生态+休闲”复合型转变，打造“半郊型都市农业体验圈”。统筹新韶镇、乐园镇、十里亭镇近郊农业生态空间，整合犁市镇、花坪镇连片农文旅资源，集中打造1—3个集智慧温室、亲子农场、共享菜园、萌宠乐园于一体的都市农业综合体，创建一批观光农业园区、A级乡村景区、美丽乡村片区。推动农事体验与科普教育深度融合，联合研学基地开发农耕实践、自然教育、食品加工等特色课程，打造“浈江农耕研学”品牌。盘活特色保护类村庄闲置宅基地和农房，建设“艺术家公社”“传统技艺研习所”，打造乡村文化创意产业园。培育“浈江农耕文化节”特色IP，策划采摘节、花卉展、农田艺术季等消费场景，丰富“古韵韶城·风采浈江”都市农业板块内涵。引入社会资本和专业第三方运营团队，提升农业休闲旅游规范化、市场化运营水平。</w:t>
      </w:r>
    </w:p>
    <w:p w14:paraId="1A11C5BD">
      <w:pPr>
        <w:shd w:val="clear"/>
        <w:kinsoku/>
        <w:bidi w:val="0"/>
        <w:rPr>
          <w:rFonts w:hint="eastAsia"/>
          <w:color w:val="auto"/>
          <w:highlight w:val="none"/>
          <w:lang w:val="en-US" w:eastAsia="zh-CN"/>
        </w:rPr>
      </w:pPr>
    </w:p>
    <w:bookmarkEnd w:id="591"/>
    <w:bookmarkEnd w:id="592"/>
    <w:p w14:paraId="5DCC2807">
      <w:pPr>
        <w:pStyle w:val="4"/>
        <w:shd w:val="clear"/>
        <w:kinsoku/>
        <w:bidi w:val="0"/>
        <w:rPr>
          <w:rFonts w:hint="eastAsia"/>
          <w:color w:val="auto"/>
          <w:highlight w:val="none"/>
          <w:lang w:val="en-US" w:eastAsia="zh-CN"/>
        </w:rPr>
      </w:pPr>
      <w:bookmarkStart w:id="612" w:name="_Toc9645"/>
      <w:bookmarkStart w:id="613" w:name="_Toc4291"/>
      <w:bookmarkStart w:id="614" w:name="_Toc9058"/>
      <w:bookmarkStart w:id="615" w:name="_Toc13433"/>
      <w:bookmarkStart w:id="616" w:name="_Toc11263"/>
      <w:bookmarkStart w:id="617" w:name="_Toc18068"/>
      <w:bookmarkStart w:id="618" w:name="_Toc22772"/>
      <w:bookmarkStart w:id="619" w:name="_Toc5781"/>
      <w:bookmarkStart w:id="620" w:name="_Toc28129"/>
      <w:bookmarkStart w:id="621" w:name="_Toc30264"/>
      <w:bookmarkStart w:id="622" w:name="_Toc8687"/>
      <w:bookmarkStart w:id="623" w:name="_Toc31235"/>
      <w:bookmarkStart w:id="624" w:name="_Toc24425"/>
      <w:bookmarkStart w:id="625" w:name="_Toc915"/>
      <w:bookmarkStart w:id="626" w:name="_Toc8769"/>
      <w:bookmarkStart w:id="627" w:name="_Toc31104"/>
      <w:bookmarkStart w:id="628" w:name="_Toc30268"/>
      <w:bookmarkStart w:id="629" w:name="_Toc26097"/>
      <w:bookmarkStart w:id="630" w:name="_Toc14384"/>
      <w:bookmarkStart w:id="631" w:name="_Toc3063"/>
      <w:r>
        <w:rPr>
          <w:rFonts w:hint="eastAsia"/>
          <w:color w:val="auto"/>
          <w:highlight w:val="none"/>
          <w:lang w:val="en-US" w:eastAsia="zh-CN"/>
        </w:rPr>
        <w:t>第三节 促进乡村全面振兴</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0CA66805">
      <w:pPr>
        <w:shd w:val="clear"/>
        <w:kinsoku/>
        <w:autoSpaceDE/>
        <w:autoSpaceDN/>
        <w:bidi w:val="0"/>
        <w:ind w:firstLine="643"/>
        <w:rPr>
          <w:rFonts w:hint="eastAsia" w:ascii="仿宋_GB2312" w:hAnsi="仿宋_GB2312" w:cs="仿宋_GB2312"/>
          <w:b/>
          <w:bCs/>
          <w:color w:val="auto"/>
          <w:highlight w:val="none"/>
          <w:lang w:val="en-US" w:eastAsia="zh-CN"/>
        </w:rPr>
      </w:pPr>
      <w:bookmarkStart w:id="632" w:name="_Toc7727"/>
    </w:p>
    <w:p w14:paraId="7661BCB4">
      <w:pPr>
        <w:shd w:val="clear"/>
        <w:kinsoku/>
        <w:autoSpaceDE/>
        <w:autoSpaceDN/>
        <w:bidi w:val="0"/>
        <w:ind w:firstLine="643"/>
        <w:rPr>
          <w:rFonts w:hint="eastAsia" w:ascii="仿宋_GB2312" w:hAnsi="仿宋_GB2312" w:cs="仿宋_GB2312"/>
          <w:color w:val="auto"/>
          <w:highlight w:val="none"/>
          <w:lang w:val="en-US" w:eastAsia="zh-CN"/>
        </w:rPr>
      </w:pPr>
      <w:r>
        <w:rPr>
          <w:rFonts w:hint="eastAsia" w:ascii="仿宋_GB2312" w:hAnsi="仿宋_GB2312" w:cs="仿宋_GB2312"/>
          <w:b/>
          <w:bCs/>
          <w:color w:val="auto"/>
          <w:highlight w:val="none"/>
          <w:lang w:val="en-US" w:eastAsia="zh-CN"/>
        </w:rPr>
        <w:t>片区联动共建乡村振兴。</w:t>
      </w:r>
      <w:r>
        <w:rPr>
          <w:rFonts w:hint="eastAsia" w:ascii="仿宋_GB2312" w:hAnsi="仿宋_GB2312" w:cs="仿宋_GB2312"/>
          <w:color w:val="auto"/>
          <w:highlight w:val="none"/>
          <w:lang w:val="en-US" w:eastAsia="zh-CN"/>
        </w:rPr>
        <w:t>以片区化发展为抓手，整合各村资源要素，发展高附加值特色产业，深入开展人居环境整治，提升农房风貌和路域环境质量，串珠成链、连片打造“产业兴旺+风貌优美”的乡村振兴样板。坚持规划引领、因地制宜，优化村庄整体风貌和功能布局，创建</w:t>
      </w:r>
      <w:r>
        <w:rPr>
          <w:rFonts w:hint="eastAsia" w:ascii="Times New Roman" w:hAnsi="Times New Roman" w:cs="Times New Roman"/>
          <w:color w:val="auto"/>
          <w:highlight w:val="none"/>
          <w:lang w:val="en-US" w:eastAsia="zh-CN"/>
        </w:rPr>
        <w:t>3</w:t>
      </w:r>
      <w:r>
        <w:rPr>
          <w:rFonts w:hint="eastAsia" w:ascii="仿宋_GB2312" w:hAnsi="仿宋_GB2312" w:cs="仿宋_GB2312"/>
          <w:color w:val="auto"/>
          <w:highlight w:val="none"/>
          <w:lang w:val="en-US" w:eastAsia="zh-CN"/>
        </w:rPr>
        <w:t>个特色精品村。开展乡村绿化美化和村庄清洁行动，提升农房质量安全水平，持续推进农村危房改造，建设现代宜居农房。到“十五五”末，力争</w:t>
      </w:r>
      <w:r>
        <w:rPr>
          <w:rFonts w:hint="eastAsia" w:ascii="Times New Roman" w:hAnsi="Times New Roman" w:cs="Times New Roman"/>
          <w:color w:val="auto"/>
          <w:highlight w:val="none"/>
          <w:lang w:val="en-US" w:eastAsia="zh-CN"/>
        </w:rPr>
        <w:t>90%</w:t>
      </w:r>
      <w:r>
        <w:rPr>
          <w:rFonts w:hint="eastAsia" w:ascii="仿宋_GB2312" w:hAnsi="仿宋_GB2312" w:cs="仿宋_GB2312"/>
          <w:color w:val="auto"/>
          <w:highlight w:val="none"/>
          <w:lang w:val="en-US" w:eastAsia="zh-CN"/>
        </w:rPr>
        <w:t>以上行政村达到美丽宜居标准，打造“浈江和美乡村”样板。</w:t>
      </w:r>
    </w:p>
    <w:p w14:paraId="49F1E893">
      <w:pPr>
        <w:shd w:val="clear"/>
        <w:kinsoku/>
        <w:bidi w:val="0"/>
        <w:ind w:firstLine="0"/>
        <w:rPr>
          <w:rFonts w:hint="eastAsia"/>
          <w:b w:val="0"/>
          <w:bCs w:val="0"/>
          <w:color w:val="auto"/>
          <w:highlight w:val="none"/>
          <w:lang w:val="en-US" w:eastAsia="zh-CN"/>
        </w:rPr>
      </w:pPr>
      <w:r>
        <w:rPr>
          <w:rFonts w:hint="eastAsia"/>
          <w:b/>
          <w:bCs/>
          <w:color w:val="auto"/>
          <w:highlight w:val="none"/>
          <w:lang w:val="en-US" w:eastAsia="zh-CN"/>
        </w:rPr>
        <w:t>补齐乡村基础设施和公共服务短板。</w:t>
      </w:r>
      <w:r>
        <w:rPr>
          <w:rFonts w:hint="eastAsia" w:ascii="BatangChe" w:hAnsi="BatangChe" w:eastAsia="仿宋_GB2312" w:cs="仿宋_GB2312"/>
          <w:b w:val="0"/>
          <w:bCs w:val="0"/>
          <w:color w:val="auto"/>
          <w:kern w:val="2"/>
          <w:sz w:val="32"/>
          <w:szCs w:val="32"/>
          <w:highlight w:val="none"/>
          <w:lang w:val="en-US" w:eastAsia="zh-CN" w:bidi="ar-SA"/>
        </w:rPr>
        <w:t>实施“乡村基建提标行动”，全面提升乡村基础设施保障能力。推进“四好农村路”提质升级，加快农村公路骨干路网提档和基础网络延伸，完善城乡交通一体化体系。</w:t>
      </w:r>
      <w:r>
        <w:rPr>
          <w:rFonts w:hint="eastAsia" w:ascii="BatangChe" w:hAnsi="BatangChe" w:cs="仿宋_GB2312"/>
          <w:b w:val="0"/>
          <w:bCs w:val="0"/>
          <w:color w:val="auto"/>
          <w:kern w:val="2"/>
          <w:sz w:val="32"/>
          <w:szCs w:val="32"/>
          <w:highlight w:val="none"/>
          <w:lang w:val="en-US" w:eastAsia="zh-CN" w:bidi="ar-SA"/>
        </w:rPr>
        <w:t>推进农村厕所、垃圾、污水治理和运维。</w:t>
      </w:r>
      <w:r>
        <w:rPr>
          <w:rFonts w:hint="eastAsia" w:ascii="BatangChe" w:hAnsi="BatangChe" w:eastAsia="仿宋_GB2312" w:cs="仿宋_GB2312"/>
          <w:b w:val="0"/>
          <w:bCs w:val="0"/>
          <w:color w:val="auto"/>
          <w:kern w:val="2"/>
          <w:sz w:val="32"/>
          <w:szCs w:val="32"/>
          <w:highlight w:val="none"/>
          <w:lang w:val="en-US" w:eastAsia="zh-CN" w:bidi="ar-SA"/>
        </w:rPr>
        <w:t>保障农村供水安全，推进城乡供水一体化</w:t>
      </w:r>
      <w:r>
        <w:rPr>
          <w:rFonts w:hint="eastAsia" w:ascii="BatangChe" w:hAnsi="BatangChe" w:cs="仿宋_GB2312"/>
          <w:b w:val="0"/>
          <w:bCs w:val="0"/>
          <w:color w:val="auto"/>
          <w:kern w:val="2"/>
          <w:sz w:val="32"/>
          <w:szCs w:val="32"/>
          <w:highlight w:val="none"/>
          <w:lang w:val="en-US" w:eastAsia="zh-CN" w:bidi="ar-SA"/>
        </w:rPr>
        <w:t>。</w:t>
      </w:r>
      <w:r>
        <w:rPr>
          <w:rFonts w:hint="eastAsia" w:ascii="BatangChe" w:hAnsi="BatangChe" w:eastAsia="仿宋_GB2312" w:cs="仿宋_GB2312"/>
          <w:b w:val="0"/>
          <w:bCs w:val="0"/>
          <w:color w:val="auto"/>
          <w:kern w:val="2"/>
          <w:sz w:val="32"/>
          <w:szCs w:val="32"/>
          <w:highlight w:val="none"/>
          <w:lang w:val="en-US" w:eastAsia="zh-CN" w:bidi="ar-SA"/>
        </w:rPr>
        <w:t>优化农村能源供给，巩固提升农村电网，因地制宜发展太阳能、生物质能等清洁能源。抓好人居环境常态化整治和“三线”整治。</w:t>
      </w:r>
      <w:r>
        <w:rPr>
          <w:rFonts w:hint="eastAsia" w:cs="Times New Roman"/>
          <w:b w:val="0"/>
          <w:bCs w:val="0"/>
          <w:color w:val="auto"/>
          <w:highlight w:val="none"/>
          <w:lang w:val="en-US" w:eastAsia="zh-CN"/>
        </w:rPr>
        <w:t>优化</w:t>
      </w:r>
      <w:r>
        <w:rPr>
          <w:rFonts w:hint="eastAsia"/>
          <w:b w:val="0"/>
          <w:bCs w:val="0"/>
          <w:color w:val="auto"/>
          <w:highlight w:val="none"/>
          <w:lang w:val="en-US" w:eastAsia="zh-CN"/>
        </w:rPr>
        <w:t>公共服务资源配置，</w:t>
      </w:r>
      <w:r>
        <w:rPr>
          <w:rFonts w:hint="eastAsia" w:ascii="Times New Roman" w:hAnsi="Times New Roman" w:cs="Times New Roman"/>
          <w:b w:val="0"/>
          <w:bCs w:val="0"/>
          <w:color w:val="auto"/>
          <w:highlight w:val="none"/>
          <w:lang w:val="en-US" w:eastAsia="zh-CN"/>
        </w:rPr>
        <w:t>提高</w:t>
      </w:r>
      <w:r>
        <w:rPr>
          <w:rFonts w:hint="eastAsia" w:cs="Times New Roman"/>
          <w:b w:val="0"/>
          <w:bCs w:val="0"/>
          <w:color w:val="auto"/>
          <w:highlight w:val="none"/>
          <w:lang w:val="en-US" w:eastAsia="zh-CN"/>
        </w:rPr>
        <w:t>乡村教育、医疗、文化、养老等</w:t>
      </w:r>
      <w:r>
        <w:rPr>
          <w:rFonts w:hint="eastAsia" w:ascii="Times New Roman" w:hAnsi="Times New Roman" w:cs="Times New Roman"/>
          <w:b w:val="0"/>
          <w:bCs w:val="0"/>
          <w:color w:val="auto"/>
          <w:highlight w:val="none"/>
          <w:lang w:val="en-US" w:eastAsia="zh-CN"/>
        </w:rPr>
        <w:t>公共服务供给能力</w:t>
      </w:r>
      <w:r>
        <w:rPr>
          <w:rFonts w:hint="eastAsia"/>
          <w:b w:val="0"/>
          <w:bCs w:val="0"/>
          <w:color w:val="auto"/>
          <w:highlight w:val="none"/>
          <w:lang w:val="en-US" w:eastAsia="zh-CN"/>
        </w:rPr>
        <w:t>。</w:t>
      </w:r>
    </w:p>
    <w:bookmarkEnd w:id="588"/>
    <w:bookmarkEnd w:id="630"/>
    <w:bookmarkEnd w:id="631"/>
    <w:bookmarkEnd w:id="632"/>
    <w:p w14:paraId="3E4823AD">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探索农村集体经济发展新模式。</w:t>
      </w:r>
      <w:r>
        <w:rPr>
          <w:rFonts w:hint="eastAsia"/>
          <w:color w:val="auto"/>
          <w:highlight w:val="none"/>
          <w:lang w:val="en-US" w:eastAsia="zh-CN"/>
        </w:rPr>
        <w:t>深化“集体资产盘活增效”行动，拓宽农民经营性、财产性收入渠道。探索农村集体经营性建设用地入市、村集体留用地开发建设商贸综合体等模式，推广整镇整村运营模式，培育壮大农民专业合作社、家庭农场等新型农业经营主体。建立农产品优质正向激励机制，推广“订单收购+分红”“入股+保底收益+按股分红”等紧密型利益联结方式，让农户深度参与全产业链发展。巩固拓展脱贫攻坚成果，健全防止返贫致贫动态监测和常态化帮扶机制，强化精准帮扶，提升防返贫效能。</w:t>
      </w:r>
    </w:p>
    <w:p w14:paraId="3EFE0672">
      <w:pPr>
        <w:shd w:val="clear"/>
        <w:kinsoku/>
        <w:bidi w:val="0"/>
        <w:rPr>
          <w:rFonts w:hint="eastAsia"/>
          <w:color w:val="auto"/>
          <w:highlight w:val="none"/>
          <w:lang w:val="en-US" w:eastAsia="zh-CN"/>
        </w:rPr>
        <w:sectPr>
          <w:pgSz w:w="11906" w:h="16839"/>
          <w:pgMar w:top="2098" w:right="1474" w:bottom="1984" w:left="1587" w:header="454" w:footer="1417" w:gutter="0"/>
          <w:pgNumType w:fmt="numberInDash"/>
          <w:cols w:space="720" w:num="1"/>
          <w:rtlGutter w:val="0"/>
        </w:sectPr>
      </w:pPr>
      <w:r>
        <w:rPr>
          <w:rFonts w:hint="eastAsia" w:ascii="Times New Roman" w:hAnsi="Times New Roman" w:cs="Times New Roman"/>
          <w:b/>
          <w:bCs/>
          <w:color w:val="auto"/>
          <w:highlight w:val="none"/>
          <w:lang w:val="en-US" w:eastAsia="zh-CN"/>
        </w:rPr>
        <w:t>提升乡村治理现代化水平。</w:t>
      </w:r>
      <w:r>
        <w:rPr>
          <w:rFonts w:hint="eastAsia"/>
          <w:color w:val="auto"/>
          <w:highlight w:val="none"/>
          <w:lang w:val="en-US" w:eastAsia="zh-CN"/>
        </w:rPr>
        <w:t>强化农村基层党组织建设，集中整顿软弱涣散村党组织，健全党组织领导的“自治、法治、德治”融合治理体系。</w:t>
      </w:r>
      <w:r>
        <w:rPr>
          <w:rFonts w:hint="eastAsia"/>
          <w:strike w:val="0"/>
          <w:dstrike w:val="0"/>
          <w:color w:val="auto"/>
          <w:sz w:val="32"/>
          <w:szCs w:val="32"/>
          <w:highlight w:val="none"/>
          <w:u w:val="none" w:color="auto"/>
          <w:lang w:val="en-US" w:eastAsia="zh-CN"/>
        </w:rPr>
        <w:t>做好</w:t>
      </w:r>
      <w:r>
        <w:rPr>
          <w:rFonts w:hint="eastAsia"/>
          <w:color w:val="auto"/>
          <w:highlight w:val="none"/>
          <w:lang w:val="en-US" w:eastAsia="zh-CN"/>
        </w:rPr>
        <w:t>村“两委”换届选举，选优配强“两委”班子，充分发挥基层党组织战斗堡垒作用与党员先锋模范作用。深化农村移风易俗，推进殡葬改革和公益性生态安葬设施建设。加强农村科普阵地建设，反对封建迷信，提升村民科学素养。健全农村矛盾纠纷排查化解机制，实现小事不出村、大事不出镇。推行“和美乡村治理积分制”，引导农户主动参与人居环境整治、乡风文明建设等工作，形成共建共治共享的和美乡村建设格局。</w:t>
      </w:r>
    </w:p>
    <w:bookmarkEnd w:id="540"/>
    <w:bookmarkEnd w:id="541"/>
    <w:bookmarkEnd w:id="542"/>
    <w:p w14:paraId="334CCB5B">
      <w:pPr>
        <w:pStyle w:val="3"/>
        <w:shd w:val="clear"/>
        <w:kinsoku/>
        <w:bidi w:val="0"/>
        <w:rPr>
          <w:rFonts w:hint="eastAsia"/>
          <w:color w:val="auto"/>
          <w:highlight w:val="none"/>
          <w:lang w:val="en-US" w:eastAsia="zh-CN"/>
        </w:rPr>
      </w:pPr>
      <w:bookmarkStart w:id="633" w:name="_Toc7483"/>
      <w:bookmarkStart w:id="634" w:name="_Toc22054"/>
      <w:bookmarkStart w:id="635" w:name="_Toc28010"/>
      <w:bookmarkStart w:id="636" w:name="_Toc17364"/>
      <w:bookmarkStart w:id="637" w:name="_Toc794"/>
      <w:bookmarkStart w:id="638" w:name="_Toc3170"/>
      <w:bookmarkStart w:id="639" w:name="_Toc12949"/>
      <w:bookmarkStart w:id="640" w:name="_Toc7966"/>
      <w:bookmarkStart w:id="641" w:name="_Toc17624"/>
      <w:bookmarkStart w:id="642" w:name="_Toc13848"/>
      <w:bookmarkStart w:id="643" w:name="_Toc18358"/>
      <w:bookmarkStart w:id="644" w:name="_Toc20957"/>
      <w:bookmarkStart w:id="645" w:name="_Toc13809"/>
      <w:bookmarkStart w:id="646" w:name="_Toc21510"/>
      <w:bookmarkStart w:id="647" w:name="_Toc12998"/>
      <w:bookmarkStart w:id="648" w:name="_Toc7125"/>
      <w:bookmarkStart w:id="649" w:name="_Toc19660"/>
      <w:bookmarkStart w:id="650" w:name="_Toc16398"/>
      <w:bookmarkStart w:id="651" w:name="_Toc27632"/>
      <w:bookmarkStart w:id="652" w:name="_Toc1656"/>
      <w:bookmarkStart w:id="653" w:name="_Toc31026"/>
      <w:bookmarkStart w:id="654" w:name="_Toc11387"/>
      <w:bookmarkStart w:id="655" w:name="_Toc7328"/>
      <w:bookmarkStart w:id="656" w:name="_Toc20070"/>
      <w:r>
        <w:rPr>
          <w:rFonts w:hint="eastAsia"/>
          <w:color w:val="auto"/>
          <w:highlight w:val="none"/>
          <w:lang w:val="en-US" w:eastAsia="zh-CN"/>
        </w:rPr>
        <w:t xml:space="preserve">第七章 </w:t>
      </w:r>
      <w:bookmarkEnd w:id="633"/>
      <w:bookmarkEnd w:id="634"/>
      <w:bookmarkEnd w:id="635"/>
      <w:r>
        <w:rPr>
          <w:rFonts w:hint="eastAsia"/>
          <w:color w:val="auto"/>
          <w:highlight w:val="none"/>
          <w:lang w:val="en-US" w:eastAsia="zh-CN"/>
        </w:rPr>
        <w:t>坚持人民城市人民建，建设现代化人民城市</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42F54894">
      <w:pPr>
        <w:shd w:val="clear"/>
        <w:kinsoku/>
        <w:bidi w:val="0"/>
        <w:rPr>
          <w:rFonts w:hint="eastAsia" w:ascii="BatangChe" w:hAnsi="BatangChe" w:cs="仿宋_GB2312"/>
          <w:b w:val="0"/>
          <w:bCs w:val="0"/>
          <w:color w:val="auto"/>
          <w:sz w:val="32"/>
          <w:szCs w:val="32"/>
          <w:highlight w:val="none"/>
          <w:lang w:val="en-US" w:eastAsia="zh-CN"/>
        </w:rPr>
      </w:pPr>
    </w:p>
    <w:p w14:paraId="45D41DEB">
      <w:pPr>
        <w:shd w:val="clear"/>
        <w:kinsoku/>
        <w:bidi w:val="0"/>
        <w:rPr>
          <w:rFonts w:hint="eastAsia" w:ascii="BatangChe" w:hAnsi="BatangChe" w:eastAsia="仿宋_GB2312" w:cs="仿宋_GB2312"/>
          <w:b w:val="0"/>
          <w:bCs w:val="0"/>
          <w:color w:val="auto"/>
          <w:sz w:val="32"/>
          <w:szCs w:val="32"/>
          <w:highlight w:val="none"/>
          <w:lang w:val="en-US" w:eastAsia="zh-CN"/>
        </w:rPr>
      </w:pPr>
      <w:r>
        <w:rPr>
          <w:rFonts w:hint="eastAsia" w:ascii="BatangChe" w:hAnsi="BatangChe" w:cs="仿宋_GB2312"/>
          <w:b w:val="0"/>
          <w:bCs w:val="0"/>
          <w:color w:val="auto"/>
          <w:sz w:val="32"/>
          <w:szCs w:val="32"/>
          <w:highlight w:val="none"/>
          <w:lang w:val="en-US" w:eastAsia="zh-CN"/>
        </w:rPr>
        <w:t>贯彻</w:t>
      </w:r>
      <w:r>
        <w:rPr>
          <w:rFonts w:hint="eastAsia" w:ascii="BatangChe" w:hAnsi="BatangChe" w:eastAsia="仿宋_GB2312" w:cs="仿宋_GB2312"/>
          <w:b w:val="0"/>
          <w:bCs w:val="0"/>
          <w:color w:val="auto"/>
          <w:sz w:val="32"/>
          <w:szCs w:val="32"/>
          <w:highlight w:val="none"/>
          <w:lang w:val="en-US" w:eastAsia="zh-CN"/>
        </w:rPr>
        <w:t>落实市委</w:t>
      </w:r>
      <w:r>
        <w:rPr>
          <w:rFonts w:hint="eastAsia" w:ascii="BatangChe" w:hAnsi="BatangChe" w:cs="仿宋_GB2312"/>
          <w:b w:val="0"/>
          <w:bCs w:val="0"/>
          <w:color w:val="auto"/>
          <w:sz w:val="32"/>
          <w:szCs w:val="32"/>
          <w:highlight w:val="none"/>
          <w:lang w:val="en-US" w:eastAsia="zh-CN"/>
        </w:rPr>
        <w:t>关于</w:t>
      </w:r>
      <w:r>
        <w:rPr>
          <w:rFonts w:hint="eastAsia" w:ascii="BatangChe" w:hAnsi="BatangChe" w:eastAsia="仿宋_GB2312" w:cs="仿宋_GB2312"/>
          <w:b w:val="0"/>
          <w:bCs w:val="0"/>
          <w:color w:val="auto"/>
          <w:sz w:val="32"/>
          <w:szCs w:val="32"/>
          <w:highlight w:val="none"/>
          <w:lang w:val="en-US" w:eastAsia="zh-CN"/>
        </w:rPr>
        <w:t>“做强主城”的</w:t>
      </w:r>
      <w:r>
        <w:rPr>
          <w:rFonts w:hint="eastAsia" w:ascii="BatangChe" w:hAnsi="BatangChe" w:cs="仿宋_GB2312"/>
          <w:b w:val="0"/>
          <w:bCs w:val="0"/>
          <w:color w:val="auto"/>
          <w:sz w:val="32"/>
          <w:szCs w:val="32"/>
          <w:highlight w:val="none"/>
          <w:lang w:val="en-US" w:eastAsia="zh-CN"/>
        </w:rPr>
        <w:t>决策部署</w:t>
      </w:r>
      <w:r>
        <w:rPr>
          <w:rFonts w:hint="eastAsia" w:ascii="BatangChe" w:hAnsi="BatangChe" w:eastAsia="仿宋_GB2312" w:cs="仿宋_GB2312"/>
          <w:b w:val="0"/>
          <w:bCs w:val="0"/>
          <w:color w:val="auto"/>
          <w:sz w:val="32"/>
          <w:szCs w:val="32"/>
          <w:highlight w:val="none"/>
          <w:lang w:val="en-US" w:eastAsia="zh-CN"/>
        </w:rPr>
        <w:t>，以推动城市高质量发展为主题，以坚持城市内涵式发展为主线，以推进城市更新为重要抓手，</w:t>
      </w:r>
      <w:r>
        <w:rPr>
          <w:rFonts w:hint="eastAsia" w:ascii="BatangChe" w:hAnsi="BatangChe" w:cs="仿宋_GB2312"/>
          <w:b w:val="0"/>
          <w:bCs w:val="0"/>
          <w:color w:val="auto"/>
          <w:sz w:val="32"/>
          <w:szCs w:val="32"/>
          <w:highlight w:val="none"/>
          <w:lang w:val="en-US" w:eastAsia="zh-CN"/>
        </w:rPr>
        <w:t>以“十个片区、百个项目、千亩焕新、万户受益”为目标，</w:t>
      </w:r>
      <w:r>
        <w:rPr>
          <w:rFonts w:hint="eastAsia" w:ascii="BatangChe" w:hAnsi="BatangChe" w:eastAsia="仿宋_GB2312" w:cs="仿宋_GB2312"/>
          <w:b w:val="0"/>
          <w:bCs w:val="0"/>
          <w:color w:val="auto"/>
          <w:sz w:val="32"/>
          <w:szCs w:val="32"/>
          <w:highlight w:val="none"/>
          <w:lang w:val="en-US" w:eastAsia="zh-CN"/>
        </w:rPr>
        <w:t>建设创新、宜居、美丽、韧性、文明、智慧的现代化人民城市。</w:t>
      </w:r>
    </w:p>
    <w:p w14:paraId="4ADE781D">
      <w:pPr>
        <w:shd w:val="clear"/>
        <w:kinsoku/>
        <w:bidi w:val="0"/>
        <w:rPr>
          <w:rFonts w:hint="eastAsia" w:ascii="BatangChe" w:hAnsi="BatangChe" w:eastAsia="仿宋_GB2312" w:cs="仿宋_GB2312"/>
          <w:b w:val="0"/>
          <w:bCs w:val="0"/>
          <w:color w:val="auto"/>
          <w:sz w:val="32"/>
          <w:szCs w:val="32"/>
          <w:highlight w:val="none"/>
          <w:lang w:val="en-US" w:eastAsia="zh-CN"/>
        </w:rPr>
      </w:pPr>
    </w:p>
    <w:p w14:paraId="18BBAC23">
      <w:pPr>
        <w:pStyle w:val="4"/>
        <w:numPr>
          <w:ilvl w:val="0"/>
          <w:numId w:val="0"/>
        </w:numPr>
        <w:shd w:val="clear"/>
        <w:kinsoku/>
        <w:bidi w:val="0"/>
        <w:ind w:firstLine="0" w:firstLineChars="0"/>
        <w:rPr>
          <w:rFonts w:hint="eastAsia" w:ascii="楷体_GB2312" w:hAnsi="楷体_GB2312" w:cs="楷体_GB2312"/>
          <w:color w:val="auto"/>
          <w:highlight w:val="none"/>
          <w:lang w:val="en-US" w:eastAsia="zh-CN"/>
        </w:rPr>
      </w:pPr>
      <w:bookmarkStart w:id="657" w:name="_Toc20875"/>
      <w:bookmarkStart w:id="658" w:name="_Toc18107"/>
      <w:bookmarkStart w:id="659" w:name="_Toc25387"/>
      <w:bookmarkStart w:id="660" w:name="_Toc12715"/>
      <w:bookmarkStart w:id="661" w:name="_Toc26989"/>
      <w:bookmarkStart w:id="662" w:name="_Toc17950"/>
      <w:bookmarkStart w:id="663" w:name="_Toc15195"/>
      <w:bookmarkStart w:id="664" w:name="_Toc31624"/>
      <w:bookmarkStart w:id="665" w:name="_Toc12112"/>
      <w:bookmarkStart w:id="666" w:name="_Toc19658"/>
      <w:bookmarkStart w:id="667" w:name="_Toc30312"/>
      <w:bookmarkStart w:id="668" w:name="_Toc31113"/>
      <w:bookmarkStart w:id="669" w:name="_Toc21150"/>
      <w:bookmarkStart w:id="670" w:name="_Toc26961"/>
      <w:bookmarkStart w:id="671" w:name="_Toc23080"/>
      <w:bookmarkStart w:id="672" w:name="_Toc12085"/>
      <w:bookmarkStart w:id="673" w:name="_Toc26267"/>
      <w:bookmarkStart w:id="674" w:name="_Toc15369"/>
      <w:bookmarkStart w:id="675" w:name="_Toc1586"/>
      <w:bookmarkStart w:id="676" w:name="_Toc10741"/>
      <w:bookmarkStart w:id="677" w:name="_Toc143"/>
      <w:r>
        <w:rPr>
          <w:rFonts w:hint="eastAsia" w:ascii="楷体_GB2312" w:hAnsi="楷体_GB2312" w:eastAsia="楷体_GB2312" w:cs="楷体_GB2312"/>
          <w:b w:val="0"/>
          <w:bCs w:val="0"/>
          <w:snapToGrid w:val="0"/>
          <w:color w:val="auto"/>
          <w:kern w:val="0"/>
          <w:sz w:val="32"/>
          <w:szCs w:val="27"/>
          <w:highlight w:val="none"/>
          <w:lang w:val="en-US" w:eastAsia="zh-CN" w:bidi="ar"/>
        </w:rPr>
        <w:t>第一节</w:t>
      </w:r>
      <w:r>
        <w:rPr>
          <w:rFonts w:hint="eastAsia" w:ascii="楷体_GB2312" w:hAnsi="楷体_GB2312" w:cs="楷体_GB2312"/>
          <w:b w:val="0"/>
          <w:bCs w:val="0"/>
          <w:snapToGrid w:val="0"/>
          <w:color w:val="auto"/>
          <w:kern w:val="0"/>
          <w:sz w:val="32"/>
          <w:szCs w:val="27"/>
          <w:highlight w:val="none"/>
          <w:lang w:val="en-US" w:eastAsia="zh-CN" w:bidi="ar"/>
        </w:rPr>
        <w:t xml:space="preserve"> </w:t>
      </w:r>
      <w:r>
        <w:rPr>
          <w:rFonts w:hint="eastAsia" w:ascii="楷体_GB2312" w:hAnsi="楷体_GB2312" w:cs="楷体_GB2312"/>
          <w:color w:val="auto"/>
          <w:highlight w:val="none"/>
          <w:lang w:val="en-US" w:eastAsia="zh-CN"/>
        </w:rPr>
        <w:t>高品质提升韶州古城风貌</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77D2632E">
      <w:pPr>
        <w:shd w:val="clear"/>
        <w:kinsoku/>
        <w:bidi w:val="0"/>
        <w:rPr>
          <w:rFonts w:hint="eastAsia" w:ascii="Times New Roman" w:hAnsi="Times New Roman" w:cs="Times New Roman"/>
          <w:b/>
          <w:bCs/>
          <w:color w:val="auto"/>
          <w:highlight w:val="none"/>
          <w:lang w:val="en-US" w:eastAsia="zh-CN"/>
        </w:rPr>
      </w:pPr>
    </w:p>
    <w:p w14:paraId="65878411">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保护修缮古建老街。</w:t>
      </w:r>
      <w:r>
        <w:rPr>
          <w:rFonts w:hint="eastAsia"/>
          <w:color w:val="auto"/>
          <w:highlight w:val="none"/>
          <w:lang w:val="en-US" w:eastAsia="zh-CN"/>
        </w:rPr>
        <w:t>实施古建“修旧如旧”工程，</w:t>
      </w:r>
      <w:r>
        <w:rPr>
          <w:rFonts w:hint="eastAsia"/>
          <w:strike w:val="0"/>
          <w:color w:val="auto"/>
          <w:highlight w:val="none"/>
          <w:lang w:val="en-US" w:eastAsia="zh-CN"/>
        </w:rPr>
        <w:t>对标志性历史建筑进行预防性保护与精细化管理，对损坏历史建筑开展保护性修缮。</w:t>
      </w:r>
      <w:r>
        <w:rPr>
          <w:rFonts w:hint="eastAsia"/>
          <w:color w:val="auto"/>
          <w:highlight w:val="none"/>
          <w:lang w:val="en-US" w:eastAsia="zh-CN"/>
        </w:rPr>
        <w:t>推行“渐进式微更新”模式，同步补齐消防、安防、给排水、无障碍设施等基础设施短板，兼顾历史韵味与现代生活需求。深入挖掘街巷历史典故、名人轶事，通过艺术地刻、智能标识解说、AR实景导览等多元形式，串联碎片化文化节点，打造可阅读、可漫步、可体验的“街巷活态博物馆群落”，让历史文化融入日常烟火。</w:t>
      </w:r>
    </w:p>
    <w:p w14:paraId="4ADB5820">
      <w:pPr>
        <w:keepNext w:val="0"/>
        <w:keepLines w:val="0"/>
        <w:pageBreakBefore w:val="0"/>
        <w:widowControl/>
        <w:shd w:val="clear"/>
        <w:kinsoku/>
        <w:wordWrap/>
        <w:overflowPunct/>
        <w:topLinePunct w:val="0"/>
        <w:autoSpaceDE w:val="0"/>
        <w:autoSpaceDN w:val="0"/>
        <w:bidi w:val="0"/>
        <w:adjustRightInd w:val="0"/>
        <w:snapToGrid w:val="0"/>
        <w:textAlignment w:val="baseline"/>
        <w:rPr>
          <w:rFonts w:hint="eastAsia" w:ascii="Times New Roman" w:hAnsi="Times New Roman" w:cs="Times New Roman"/>
          <w:b w:val="0"/>
          <w:bCs w:val="0"/>
          <w:color w:val="auto"/>
          <w:highlight w:val="none"/>
          <w:lang w:val="en-US" w:eastAsia="zh-CN"/>
        </w:rPr>
      </w:pPr>
      <w:r>
        <w:rPr>
          <w:rFonts w:hint="eastAsia" w:ascii="Times New Roman" w:hAnsi="Times New Roman" w:cs="Times New Roman"/>
          <w:b/>
          <w:bCs/>
          <w:color w:val="auto"/>
          <w:highlight w:val="none"/>
          <w:lang w:val="en-US" w:eastAsia="zh-CN"/>
        </w:rPr>
        <w:t>活化利用文化遗存。</w:t>
      </w:r>
      <w:r>
        <w:rPr>
          <w:rFonts w:hint="eastAsia" w:ascii="Times New Roman" w:hAnsi="Times New Roman" w:cs="Times New Roman"/>
          <w:b w:val="0"/>
          <w:bCs w:val="0"/>
          <w:color w:val="auto"/>
          <w:highlight w:val="none"/>
          <w:lang w:val="en-US" w:eastAsia="zh-CN"/>
        </w:rPr>
        <w:t>整合九龄文化、红色文化、骑楼文化等核心资源，推动文化创意与风采楼、韶阳楼等重点景区深度融合，打造“韶州古城”文化IP核心展示区。开展老旧宿舍、低效楼宇安全性评估与适应性改造，重点引入文化创意、非遗工坊、设计工作室、精品民宿、特色书店、文化沙龙等新业态。规划植入“古城夜游经济带”“互动式文化探访剧”“文化创意市集”等新型消费场景，完善“文化展示—旅游体验—文创消费”产业链条，实现社会效益与经济效益双赢。</w:t>
      </w:r>
    </w:p>
    <w:p w14:paraId="26CB5626">
      <w:pPr>
        <w:keepNext w:val="0"/>
        <w:keepLines w:val="0"/>
        <w:pageBreakBefore w:val="0"/>
        <w:widowControl/>
        <w:shd w:val="clear"/>
        <w:kinsoku/>
        <w:wordWrap/>
        <w:overflowPunct/>
        <w:topLinePunct w:val="0"/>
        <w:autoSpaceDE w:val="0"/>
        <w:autoSpaceDN w:val="0"/>
        <w:bidi w:val="0"/>
        <w:adjustRightInd w:val="0"/>
        <w:snapToGrid w:val="0"/>
        <w:textAlignment w:val="baseline"/>
        <w:rPr>
          <w:rFonts w:hint="eastAsia" w:ascii="Times New Roman" w:hAnsi="Times New Roman" w:cs="Times New Roman"/>
          <w:b w:val="0"/>
          <w:bCs w:val="0"/>
          <w:color w:val="auto"/>
          <w:highlight w:val="none"/>
          <w:lang w:val="en-US" w:eastAsia="zh-CN"/>
        </w:rPr>
      </w:pPr>
    </w:p>
    <w:p w14:paraId="2225F83A">
      <w:pPr>
        <w:pStyle w:val="4"/>
        <w:shd w:val="clear"/>
        <w:kinsoku/>
        <w:bidi w:val="0"/>
        <w:rPr>
          <w:rFonts w:hint="eastAsia"/>
          <w:color w:val="auto"/>
          <w:highlight w:val="none"/>
          <w:lang w:val="en-US" w:eastAsia="zh-CN"/>
        </w:rPr>
      </w:pPr>
      <w:bookmarkStart w:id="678" w:name="_Toc11864"/>
      <w:bookmarkStart w:id="679" w:name="_Toc11035"/>
      <w:bookmarkStart w:id="680" w:name="_Toc31132"/>
      <w:bookmarkStart w:id="681" w:name="_Toc10616"/>
      <w:bookmarkStart w:id="682" w:name="_Toc2150"/>
      <w:bookmarkStart w:id="683" w:name="_Toc11957"/>
      <w:bookmarkStart w:id="684" w:name="_Toc15730"/>
      <w:bookmarkStart w:id="685" w:name="_Toc7145"/>
      <w:bookmarkStart w:id="686" w:name="_Toc13411"/>
      <w:bookmarkStart w:id="687" w:name="_Toc21095"/>
      <w:bookmarkStart w:id="688" w:name="_Toc11316"/>
      <w:bookmarkStart w:id="689" w:name="_Toc24915"/>
      <w:bookmarkStart w:id="690" w:name="_Toc10712"/>
      <w:bookmarkStart w:id="691" w:name="_Toc15349"/>
      <w:bookmarkStart w:id="692" w:name="_Toc25508"/>
      <w:bookmarkStart w:id="693" w:name="_Toc5848"/>
      <w:bookmarkStart w:id="694" w:name="_Toc2349"/>
      <w:bookmarkStart w:id="695" w:name="_Toc17401"/>
      <w:bookmarkStart w:id="696" w:name="_Toc22814"/>
      <w:bookmarkStart w:id="697" w:name="_Toc16387"/>
      <w:bookmarkStart w:id="698" w:name="_Toc17915"/>
      <w:r>
        <w:rPr>
          <w:rFonts w:hint="eastAsia"/>
          <w:color w:val="auto"/>
          <w:highlight w:val="none"/>
          <w:lang w:val="en-US" w:eastAsia="zh-CN"/>
        </w:rPr>
        <w:t xml:space="preserve">第二节 </w:t>
      </w:r>
      <w:bookmarkEnd w:id="678"/>
      <w:bookmarkEnd w:id="679"/>
      <w:r>
        <w:rPr>
          <w:rFonts w:hint="eastAsia"/>
          <w:color w:val="auto"/>
          <w:highlight w:val="none"/>
          <w:lang w:val="en-US" w:eastAsia="zh-CN"/>
        </w:rPr>
        <w:t>高站位建设莲花科创新城</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55A54CAD">
      <w:pPr>
        <w:kinsoku/>
        <w:autoSpaceDE/>
        <w:autoSpaceDN/>
        <w:bidi w:val="0"/>
        <w:ind w:firstLine="643"/>
        <w:rPr>
          <w:rFonts w:hint="eastAsia"/>
          <w:b/>
          <w:bCs/>
          <w:color w:val="auto"/>
          <w:highlight w:val="none"/>
          <w:lang w:val="en-US" w:eastAsia="zh-CN"/>
        </w:rPr>
      </w:pPr>
      <w:bookmarkStart w:id="699" w:name="_Toc13142"/>
    </w:p>
    <w:p w14:paraId="45A4B575">
      <w:pPr>
        <w:kinsoku/>
        <w:autoSpaceDE/>
        <w:autoSpaceDN/>
        <w:bidi w:val="0"/>
        <w:ind w:firstLine="643"/>
        <w:rPr>
          <w:rFonts w:hint="eastAsia" w:eastAsia="仿宋_GB2312"/>
          <w:color w:val="auto"/>
          <w:highlight w:val="none"/>
          <w:lang w:val="en-US" w:eastAsia="zh-CN"/>
        </w:rPr>
      </w:pPr>
      <w:r>
        <w:rPr>
          <w:rFonts w:hint="eastAsia"/>
          <w:b/>
          <w:bCs/>
          <w:color w:val="auto"/>
          <w:highlight w:val="none"/>
          <w:lang w:val="en-US" w:eastAsia="zh-CN"/>
        </w:rPr>
        <w:t>强化城市规划引领。</w:t>
      </w:r>
      <w:r>
        <w:rPr>
          <w:rFonts w:hint="eastAsia"/>
          <w:b w:val="0"/>
          <w:bCs w:val="0"/>
          <w:color w:val="auto"/>
          <w:highlight w:val="none"/>
          <w:lang w:val="en-US" w:eastAsia="zh-CN"/>
        </w:rPr>
        <w:t>加快编制莲花科创新城控制性详细规划，</w:t>
      </w:r>
      <w:r>
        <w:rPr>
          <w:rFonts w:hint="eastAsia" w:cs="仿宋_GB2312"/>
          <w:color w:val="auto"/>
          <w:szCs w:val="32"/>
          <w:highlight w:val="none"/>
          <w:lang w:eastAsia="zh-CN"/>
        </w:rPr>
        <w:t>筑牢法定规划支撑。依托</w:t>
      </w:r>
      <w:r>
        <w:rPr>
          <w:rFonts w:hint="eastAsia" w:cs="仿宋_GB2312"/>
          <w:color w:val="auto"/>
          <w:szCs w:val="32"/>
          <w:highlight w:val="none"/>
          <w:lang w:val="en-US" w:eastAsia="zh-CN"/>
        </w:rPr>
        <w:t>韶关市</w:t>
      </w:r>
      <w:r>
        <w:rPr>
          <w:rFonts w:hint="eastAsia" w:cs="仿宋_GB2312"/>
          <w:color w:val="auto"/>
          <w:szCs w:val="32"/>
          <w:highlight w:val="none"/>
          <w:lang w:eastAsia="zh-CN"/>
        </w:rPr>
        <w:t>中心城区“三心、六轴、五片”空间</w:t>
      </w:r>
      <w:r>
        <w:rPr>
          <w:rFonts w:hint="eastAsia" w:cs="仿宋_GB2312"/>
          <w:color w:val="auto"/>
          <w:szCs w:val="32"/>
          <w:highlight w:val="none"/>
          <w:lang w:val="en-US" w:eastAsia="zh-CN"/>
        </w:rPr>
        <w:t>布局</w:t>
      </w:r>
      <w:r>
        <w:rPr>
          <w:rFonts w:hint="eastAsia" w:cs="仿宋_GB2312"/>
          <w:color w:val="auto"/>
          <w:szCs w:val="32"/>
          <w:highlight w:val="none"/>
          <w:lang w:eastAsia="zh-CN"/>
        </w:rPr>
        <w:t>，立足莲花科创新城资源禀赋，差异化打造</w:t>
      </w:r>
      <w:r>
        <w:rPr>
          <w:rFonts w:hint="eastAsia" w:cs="仿宋_GB2312"/>
          <w:color w:val="auto"/>
          <w:szCs w:val="32"/>
          <w:highlight w:val="none"/>
          <w:lang w:val="en-US" w:eastAsia="zh-CN"/>
        </w:rPr>
        <w:t>韶关</w:t>
      </w:r>
      <w:r>
        <w:rPr>
          <w:rFonts w:hint="eastAsia" w:cs="仿宋_GB2312"/>
          <w:color w:val="auto"/>
          <w:szCs w:val="32"/>
          <w:highlight w:val="none"/>
          <w:lang w:eastAsia="zh-CN"/>
        </w:rPr>
        <w:t>东部科研创新发展片区。以韶关学院、华南装备园为核心载体，重点</w:t>
      </w:r>
      <w:r>
        <w:rPr>
          <w:rFonts w:hint="eastAsia" w:cs="仿宋_GB2312"/>
          <w:color w:val="auto"/>
          <w:szCs w:val="32"/>
          <w:highlight w:val="none"/>
          <w:lang w:val="en-US" w:eastAsia="zh-CN"/>
        </w:rPr>
        <w:t>发展</w:t>
      </w:r>
      <w:r>
        <w:rPr>
          <w:rFonts w:hint="eastAsia" w:cs="仿宋_GB2312"/>
          <w:color w:val="auto"/>
          <w:szCs w:val="32"/>
          <w:highlight w:val="none"/>
          <w:lang w:eastAsia="zh-CN"/>
        </w:rPr>
        <w:t>大数据、装备制造、现代商贸物流等产业。推动产业、居住、公共服务同步配套，高标准</w:t>
      </w:r>
      <w:r>
        <w:rPr>
          <w:rFonts w:hint="eastAsia" w:cs="仿宋_GB2312"/>
          <w:color w:val="auto"/>
          <w:szCs w:val="32"/>
          <w:highlight w:val="none"/>
          <w:lang w:val="en-US" w:eastAsia="zh-CN"/>
        </w:rPr>
        <w:t>规划建设</w:t>
      </w:r>
      <w:r>
        <w:rPr>
          <w:rFonts w:hint="eastAsia" w:cs="仿宋_GB2312"/>
          <w:color w:val="auto"/>
          <w:szCs w:val="32"/>
          <w:highlight w:val="none"/>
          <w:lang w:eastAsia="zh-CN"/>
        </w:rPr>
        <w:t>莲花</w:t>
      </w:r>
      <w:r>
        <w:rPr>
          <w:rFonts w:hint="eastAsia" w:cs="仿宋_GB2312"/>
          <w:color w:val="auto"/>
          <w:szCs w:val="32"/>
          <w:highlight w:val="none"/>
          <w:lang w:val="en-US" w:eastAsia="zh-CN"/>
        </w:rPr>
        <w:t>科创</w:t>
      </w:r>
      <w:r>
        <w:rPr>
          <w:rFonts w:hint="eastAsia" w:cs="仿宋_GB2312"/>
          <w:color w:val="auto"/>
          <w:szCs w:val="32"/>
          <w:highlight w:val="none"/>
          <w:lang w:eastAsia="zh-CN"/>
        </w:rPr>
        <w:t>新城。</w:t>
      </w:r>
    </w:p>
    <w:p w14:paraId="02E6CB37">
      <w:pPr>
        <w:shd w:val="clear"/>
        <w:kinsoku/>
        <w:bidi w:val="0"/>
        <w:rPr>
          <w:rFonts w:hint="eastAsia" w:ascii="BatangChe" w:hAnsi="BatangChe" w:eastAsia="仿宋_GB2312" w:cs="仿宋_GB2312"/>
          <w:color w:val="auto"/>
          <w:sz w:val="32"/>
          <w:szCs w:val="32"/>
          <w:highlight w:val="none"/>
        </w:rPr>
      </w:pPr>
      <w:r>
        <w:rPr>
          <w:rFonts w:hint="eastAsia"/>
          <w:b/>
          <w:bCs/>
          <w:color w:val="auto"/>
          <w:highlight w:val="none"/>
          <w:lang w:val="en-US" w:eastAsia="zh-CN"/>
        </w:rPr>
        <w:t>提升新城基础设施配套功能。</w:t>
      </w:r>
      <w:r>
        <w:rPr>
          <w:rFonts w:hint="eastAsia" w:ascii="BatangChe" w:hAnsi="BatangChe" w:eastAsia="仿宋_GB2312" w:cs="仿宋_GB2312"/>
          <w:color w:val="auto"/>
          <w:sz w:val="32"/>
          <w:szCs w:val="32"/>
          <w:highlight w:val="none"/>
        </w:rPr>
        <w:t>以路网建设为突破口，</w:t>
      </w:r>
      <w:r>
        <w:rPr>
          <w:rFonts w:hint="eastAsia" w:ascii="BatangChe" w:hAnsi="BatangChe" w:cs="仿宋_GB2312"/>
          <w:color w:val="auto"/>
          <w:sz w:val="32"/>
          <w:szCs w:val="32"/>
          <w:highlight w:val="none"/>
          <w:lang w:val="en-US" w:eastAsia="zh-CN"/>
        </w:rPr>
        <w:t>构建</w:t>
      </w:r>
      <w:r>
        <w:rPr>
          <w:rFonts w:hint="eastAsia" w:ascii="BatangChe" w:hAnsi="BatangChe" w:eastAsia="仿宋_GB2312" w:cs="仿宋_GB2312"/>
          <w:color w:val="auto"/>
          <w:sz w:val="32"/>
          <w:szCs w:val="32"/>
          <w:highlight w:val="none"/>
        </w:rPr>
        <w:t>莲花科创新城“</w:t>
      </w:r>
      <w:r>
        <w:rPr>
          <w:rFonts w:hint="eastAsia" w:ascii="BatangChe" w:hAnsi="BatangChe" w:cs="仿宋_GB2312"/>
          <w:color w:val="auto"/>
          <w:sz w:val="32"/>
          <w:szCs w:val="32"/>
          <w:highlight w:val="none"/>
          <w:lang w:val="en-US" w:eastAsia="zh-CN"/>
        </w:rPr>
        <w:t>两</w:t>
      </w:r>
      <w:r>
        <w:rPr>
          <w:rFonts w:hint="eastAsia" w:ascii="BatangChe" w:hAnsi="BatangChe" w:eastAsia="仿宋_GB2312" w:cs="仿宋_GB2312"/>
          <w:color w:val="auto"/>
          <w:sz w:val="32"/>
          <w:szCs w:val="32"/>
          <w:highlight w:val="none"/>
        </w:rPr>
        <w:t>纵三横”城市交通格局，</w:t>
      </w:r>
      <w:r>
        <w:rPr>
          <w:rFonts w:hint="eastAsia" w:ascii="BatangChe" w:hAnsi="BatangChe" w:cs="仿宋_GB2312"/>
          <w:color w:val="auto"/>
          <w:sz w:val="32"/>
          <w:szCs w:val="32"/>
          <w:highlight w:val="none"/>
          <w:lang w:eastAsia="zh-CN"/>
        </w:rPr>
        <w:t>重点实施生态路建设工程，</w:t>
      </w:r>
      <w:r>
        <w:rPr>
          <w:rFonts w:hint="eastAsia" w:ascii="BatangChe" w:hAnsi="BatangChe" w:eastAsia="仿宋_GB2312" w:cs="仿宋_GB2312"/>
          <w:color w:val="auto"/>
          <w:sz w:val="32"/>
          <w:szCs w:val="32"/>
          <w:highlight w:val="none"/>
        </w:rPr>
        <w:t>实现新城与主城、</w:t>
      </w:r>
      <w:r>
        <w:rPr>
          <w:rFonts w:hint="eastAsia" w:ascii="BatangChe" w:hAnsi="BatangChe" w:cs="仿宋_GB2312"/>
          <w:color w:val="auto"/>
          <w:sz w:val="32"/>
          <w:szCs w:val="32"/>
          <w:highlight w:val="none"/>
          <w:lang w:val="en-US" w:eastAsia="zh-CN"/>
        </w:rPr>
        <w:t>华南装备园</w:t>
      </w:r>
      <w:r>
        <w:rPr>
          <w:rFonts w:hint="eastAsia" w:ascii="BatangChe" w:hAnsi="BatangChe" w:eastAsia="仿宋_GB2312" w:cs="仿宋_GB2312"/>
          <w:color w:val="auto"/>
          <w:sz w:val="32"/>
          <w:szCs w:val="32"/>
          <w:highlight w:val="none"/>
        </w:rPr>
        <w:t>与外界的快速通达</w:t>
      </w:r>
      <w:r>
        <w:rPr>
          <w:rFonts w:hint="eastAsia" w:ascii="BatangChe" w:hAnsi="BatangChe" w:cs="仿宋_GB2312"/>
          <w:color w:val="auto"/>
          <w:sz w:val="32"/>
          <w:szCs w:val="32"/>
          <w:highlight w:val="none"/>
          <w:lang w:eastAsia="zh-CN"/>
        </w:rPr>
        <w:t>。</w:t>
      </w:r>
      <w:r>
        <w:rPr>
          <w:rFonts w:hint="eastAsia" w:ascii="BatangChe" w:hAnsi="BatangChe" w:eastAsia="仿宋_GB2312" w:cs="仿宋_GB2312"/>
          <w:color w:val="auto"/>
          <w:sz w:val="32"/>
          <w:szCs w:val="32"/>
          <w:highlight w:val="none"/>
        </w:rPr>
        <w:t>推进</w:t>
      </w:r>
      <w:r>
        <w:rPr>
          <w:rFonts w:hint="eastAsia" w:ascii="BatangChe" w:hAnsi="BatangChe" w:cs="仿宋_GB2312"/>
          <w:color w:val="auto"/>
          <w:sz w:val="32"/>
          <w:szCs w:val="32"/>
          <w:highlight w:val="none"/>
          <w:lang w:val="en-US" w:eastAsia="zh-CN"/>
        </w:rPr>
        <w:t>新城</w:t>
      </w:r>
      <w:r>
        <w:rPr>
          <w:rFonts w:hint="eastAsia" w:ascii="BatangChe" w:hAnsi="BatangChe" w:eastAsia="仿宋_GB2312" w:cs="仿宋_GB2312"/>
          <w:color w:val="auto"/>
          <w:sz w:val="32"/>
          <w:szCs w:val="32"/>
          <w:highlight w:val="none"/>
        </w:rPr>
        <w:t>综合交通体系升级，</w:t>
      </w:r>
      <w:r>
        <w:rPr>
          <w:rFonts w:hint="eastAsia" w:ascii="BatangChe" w:hAnsi="BatangChe" w:cs="仿宋_GB2312"/>
          <w:color w:val="auto"/>
          <w:sz w:val="32"/>
          <w:szCs w:val="32"/>
          <w:highlight w:val="none"/>
          <w:lang w:eastAsia="zh-CN"/>
        </w:rPr>
        <w:t>提升城市交通集疏运效率和服务水平，配合开展粤赣运河（广东段）项目前期研究工作。</w:t>
      </w:r>
      <w:r>
        <w:rPr>
          <w:rFonts w:hint="eastAsia" w:ascii="BatangChe" w:hAnsi="BatangChe" w:cs="仿宋_GB2312"/>
          <w:color w:val="auto"/>
          <w:sz w:val="32"/>
          <w:szCs w:val="32"/>
          <w:highlight w:val="none"/>
          <w:lang w:val="en-US" w:eastAsia="zh-CN"/>
        </w:rPr>
        <w:t>完善供排水、教育、文体等配套设施，</w:t>
      </w:r>
      <w:r>
        <w:rPr>
          <w:rFonts w:hint="eastAsia" w:ascii="BatangChe" w:hAnsi="BatangChe" w:eastAsia="仿宋_GB2312" w:cs="仿宋_GB2312"/>
          <w:color w:val="auto"/>
          <w:sz w:val="32"/>
          <w:szCs w:val="32"/>
          <w:highlight w:val="none"/>
        </w:rPr>
        <w:t>引导资源、产业、人口向新城集聚，打造主城东部功能完善、宜居宜业的新增长极。</w:t>
      </w:r>
    </w:p>
    <w:p w14:paraId="1FCC1167">
      <w:pPr>
        <w:shd w:val="clear"/>
        <w:kinsoku/>
        <w:bidi w:val="0"/>
        <w:rPr>
          <w:rFonts w:hint="eastAsia" w:ascii="BatangChe" w:hAnsi="BatangChe" w:eastAsia="仿宋_GB2312" w:cs="仿宋_GB2312"/>
          <w:color w:val="auto"/>
          <w:sz w:val="32"/>
          <w:szCs w:val="32"/>
          <w:highlight w:val="none"/>
          <w:lang w:val="en-US" w:eastAsia="zh-CN"/>
        </w:rPr>
      </w:pPr>
    </w:p>
    <w:bookmarkEnd w:id="699"/>
    <w:p w14:paraId="6FA126DD">
      <w:pPr>
        <w:pStyle w:val="4"/>
        <w:shd w:val="clear"/>
        <w:kinsoku/>
        <w:bidi w:val="0"/>
        <w:rPr>
          <w:rFonts w:hint="eastAsia"/>
          <w:color w:val="auto"/>
          <w:highlight w:val="none"/>
          <w:lang w:val="en-US" w:eastAsia="zh-CN"/>
        </w:rPr>
      </w:pPr>
      <w:bookmarkStart w:id="700" w:name="_Toc30402"/>
      <w:bookmarkStart w:id="701" w:name="_Toc13229"/>
      <w:bookmarkStart w:id="702" w:name="_Toc14638"/>
      <w:bookmarkStart w:id="703" w:name="_Toc17921"/>
      <w:bookmarkStart w:id="704" w:name="_Toc7384"/>
      <w:bookmarkStart w:id="705" w:name="_Toc744"/>
      <w:bookmarkStart w:id="706" w:name="_Toc5036"/>
      <w:bookmarkStart w:id="707" w:name="_Toc4399"/>
      <w:bookmarkStart w:id="708" w:name="_Toc29771"/>
      <w:bookmarkStart w:id="709" w:name="_Toc5309"/>
      <w:bookmarkStart w:id="710" w:name="_Toc6531"/>
      <w:bookmarkStart w:id="711" w:name="_Toc27160"/>
      <w:bookmarkStart w:id="712" w:name="_Toc27694"/>
      <w:bookmarkStart w:id="713" w:name="_Toc13925"/>
      <w:bookmarkStart w:id="714" w:name="_Toc15950"/>
      <w:bookmarkStart w:id="715" w:name="_Toc8112"/>
      <w:bookmarkStart w:id="716" w:name="_Toc21318"/>
      <w:bookmarkStart w:id="717" w:name="_Toc9025"/>
      <w:r>
        <w:rPr>
          <w:rFonts w:hint="eastAsia"/>
          <w:color w:val="auto"/>
          <w:highlight w:val="none"/>
          <w:lang w:val="en-US" w:eastAsia="zh-CN"/>
        </w:rPr>
        <w:t xml:space="preserve">第三节 </w:t>
      </w:r>
      <w:bookmarkEnd w:id="675"/>
      <w:bookmarkEnd w:id="676"/>
      <w:bookmarkEnd w:id="677"/>
      <w:r>
        <w:rPr>
          <w:rFonts w:hint="eastAsia"/>
          <w:color w:val="auto"/>
          <w:highlight w:val="none"/>
          <w:lang w:val="en-US" w:eastAsia="zh-CN"/>
        </w:rPr>
        <w:t>高质量推进城市更新</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7F5FDD0E">
      <w:pPr>
        <w:shd w:val="clear"/>
        <w:kinsoku/>
        <w:bidi w:val="0"/>
        <w:rPr>
          <w:rFonts w:hint="eastAsia" w:cs="Times New Roman"/>
          <w:b/>
          <w:bCs/>
          <w:color w:val="auto"/>
          <w:highlight w:val="none"/>
          <w:lang w:val="en-US" w:eastAsia="zh-CN"/>
        </w:rPr>
      </w:pPr>
    </w:p>
    <w:p w14:paraId="0BE0603A">
      <w:pPr>
        <w:shd w:val="clear"/>
        <w:kinsoku/>
        <w:bidi w:val="0"/>
        <w:rPr>
          <w:rFonts w:hint="eastAsia"/>
          <w:color w:val="auto"/>
          <w:highlight w:val="none"/>
          <w:lang w:val="en-US" w:eastAsia="zh-CN"/>
        </w:rPr>
      </w:pPr>
      <w:r>
        <w:rPr>
          <w:rFonts w:hint="eastAsia" w:cs="Times New Roman"/>
          <w:b/>
          <w:bCs/>
          <w:color w:val="auto"/>
          <w:highlight w:val="none"/>
          <w:lang w:val="en-US" w:eastAsia="zh-CN"/>
        </w:rPr>
        <w:t>实施城市功能提质行动。</w:t>
      </w:r>
      <w:r>
        <w:rPr>
          <w:rFonts w:hint="eastAsia" w:cs="Times New Roman"/>
          <w:b w:val="0"/>
          <w:bCs w:val="0"/>
          <w:color w:val="auto"/>
          <w:highlight w:val="none"/>
          <w:lang w:val="en-US" w:eastAsia="zh-CN"/>
        </w:rPr>
        <w:t>结合城市体检评估结果，制定实施城市更新专项规划，确定城市更新行动目标、重点任务、建设项目和实施时序。</w:t>
      </w:r>
      <w:r>
        <w:rPr>
          <w:rFonts w:hint="eastAsia" w:ascii="BatangChe" w:hAnsi="BatangChe" w:eastAsia="仿宋_GB2312" w:cs="仿宋_GB2312"/>
          <w:color w:val="auto"/>
          <w:sz w:val="32"/>
          <w:szCs w:val="32"/>
          <w:highlight w:val="none"/>
          <w:lang w:val="en-US" w:eastAsia="zh-CN"/>
        </w:rPr>
        <w:t>聚焦“好房子、好小区、好社区、好城区”</w:t>
      </w:r>
      <w:r>
        <w:rPr>
          <w:rFonts w:hint="eastAsia" w:ascii="BatangChe" w:hAnsi="BatangChe" w:cs="仿宋_GB2312"/>
          <w:b w:val="0"/>
          <w:bCs w:val="0"/>
          <w:color w:val="auto"/>
          <w:sz w:val="32"/>
          <w:szCs w:val="32"/>
          <w:highlight w:val="none"/>
          <w:lang w:val="en-US" w:eastAsia="zh-CN"/>
        </w:rPr>
        <w:t>，</w:t>
      </w:r>
      <w:r>
        <w:rPr>
          <w:rFonts w:hint="eastAsia" w:cs="仿宋_GB2312"/>
          <w:color w:val="auto"/>
          <w:highlight w:val="none"/>
        </w:rPr>
        <w:t>做精做细城市微观设计，深化历史文脉与现代文明融合</w:t>
      </w:r>
      <w:r>
        <w:rPr>
          <w:rFonts w:hint="eastAsia" w:cs="仿宋_GB2312"/>
          <w:color w:val="auto"/>
          <w:highlight w:val="none"/>
          <w:lang w:eastAsia="zh-CN"/>
        </w:rPr>
        <w:t>。</w:t>
      </w:r>
      <w:r>
        <w:rPr>
          <w:rFonts w:hint="eastAsia" w:cs="仿宋_GB2312"/>
          <w:color w:val="auto"/>
          <w:highlight w:val="none"/>
        </w:rPr>
        <w:t>统筹推进老旧小区、老旧街区、老旧厂区改造，到</w:t>
      </w:r>
      <w:r>
        <w:rPr>
          <w:rFonts w:hint="eastAsia" w:cs="Times New Roman"/>
          <w:color w:val="auto"/>
          <w:highlight w:val="none"/>
          <w:lang w:eastAsia="zh-CN"/>
        </w:rPr>
        <w:t>2030</w:t>
      </w:r>
      <w:r>
        <w:rPr>
          <w:rFonts w:hint="eastAsia" w:cs="仿宋_GB2312"/>
          <w:color w:val="auto"/>
          <w:highlight w:val="none"/>
        </w:rPr>
        <w:t>年力争完成</w:t>
      </w:r>
      <w:r>
        <w:rPr>
          <w:rFonts w:hint="eastAsia" w:cs="Times New Roman"/>
          <w:color w:val="auto"/>
          <w:highlight w:val="none"/>
          <w:lang w:eastAsia="zh-CN"/>
        </w:rPr>
        <w:t>100</w:t>
      </w:r>
      <w:r>
        <w:rPr>
          <w:rFonts w:hint="eastAsia" w:cs="仿宋_GB2312"/>
          <w:color w:val="auto"/>
          <w:highlight w:val="none"/>
        </w:rPr>
        <w:t>个老旧小区更新改造</w:t>
      </w:r>
      <w:r>
        <w:rPr>
          <w:rFonts w:hint="eastAsia" w:cs="仿宋_GB2312"/>
          <w:color w:val="auto"/>
          <w:highlight w:val="none"/>
          <w:lang w:eastAsia="zh-CN"/>
        </w:rPr>
        <w:t>。</w:t>
      </w:r>
      <w:r>
        <w:rPr>
          <w:rFonts w:hint="eastAsia" w:cs="仿宋_GB2312"/>
          <w:color w:val="auto"/>
          <w:highlight w:val="none"/>
        </w:rPr>
        <w:t>完善停车、充电、消防、通信等基础设施，补齐教育文化、医疗</w:t>
      </w:r>
      <w:r>
        <w:rPr>
          <w:rFonts w:hint="eastAsia" w:cs="仿宋_GB2312"/>
          <w:color w:val="auto"/>
          <w:highlight w:val="none"/>
          <w:lang w:val="en-US" w:eastAsia="zh-CN"/>
        </w:rPr>
        <w:t>卫生、体育设施</w:t>
      </w:r>
      <w:r>
        <w:rPr>
          <w:rFonts w:hint="eastAsia" w:cs="仿宋_GB2312"/>
          <w:color w:val="auto"/>
          <w:highlight w:val="none"/>
        </w:rPr>
        <w:t>等公共服务短板</w:t>
      </w:r>
      <w:r>
        <w:rPr>
          <w:rFonts w:hint="eastAsia" w:cs="仿宋_GB2312"/>
          <w:color w:val="auto"/>
          <w:highlight w:val="none"/>
          <w:lang w:eastAsia="zh-CN"/>
        </w:rPr>
        <w:t>。推动实施小岛片区城市提质升级项目，</w:t>
      </w:r>
      <w:r>
        <w:rPr>
          <w:rFonts w:hint="eastAsia"/>
          <w:color w:val="auto"/>
          <w:highlight w:val="none"/>
          <w:lang w:val="en-US" w:eastAsia="zh-CN"/>
        </w:rPr>
        <w:t>提升火车东站广场，打造站南特色街区。</w:t>
      </w:r>
      <w:r>
        <w:rPr>
          <w:rFonts w:hint="eastAsia" w:cs="仿宋_GB2312"/>
          <w:color w:val="auto"/>
          <w:highlight w:val="none"/>
        </w:rPr>
        <w:t>支持陵西路社区加快未来社区建设，打造空间、功能、治理“三位一体”的新型城市功能单元。实施“公园城市串联工程”，将森林公园、中山公园、帽峰公园、滨江公园等绿色资源串珠成链，构建城市公园群</w:t>
      </w:r>
      <w:r>
        <w:rPr>
          <w:rFonts w:hint="eastAsia" w:cs="仿宋_GB2312"/>
          <w:color w:val="auto"/>
          <w:highlight w:val="none"/>
          <w:lang w:eastAsia="zh-CN"/>
        </w:rPr>
        <w:t>。</w:t>
      </w:r>
      <w:r>
        <w:rPr>
          <w:rFonts w:hint="eastAsia" w:cs="仿宋_GB2312"/>
          <w:color w:val="auto"/>
          <w:highlight w:val="none"/>
        </w:rPr>
        <w:t>推进海绵城市、韧性城市建设，合理规划产业与商住用地。</w:t>
      </w:r>
    </w:p>
    <w:p w14:paraId="4924611A">
      <w:pPr>
        <w:shd w:val="clear"/>
        <w:kinsoku/>
        <w:bidi w:val="0"/>
        <w:rPr>
          <w:rFonts w:hint="eastAsia"/>
          <w:color w:val="auto"/>
          <w:highlight w:val="none"/>
          <w:lang w:val="en-US" w:eastAsia="zh-CN"/>
        </w:rPr>
      </w:pPr>
      <w:bookmarkStart w:id="718" w:name="_Toc973"/>
      <w:r>
        <w:rPr>
          <w:rFonts w:hint="eastAsia" w:ascii="BatangChe" w:hAnsi="BatangChe" w:eastAsia="仿宋_GB2312" w:cs="仿宋_GB2312"/>
          <w:b/>
          <w:bCs/>
          <w:color w:val="auto"/>
          <w:sz w:val="32"/>
          <w:szCs w:val="32"/>
          <w:highlight w:val="none"/>
          <w:lang w:val="en-US" w:eastAsia="zh-CN"/>
        </w:rPr>
        <w:t>推进城市</w:t>
      </w:r>
      <w:r>
        <w:rPr>
          <w:rFonts w:hint="eastAsia" w:ascii="BatangChe" w:hAnsi="BatangChe" w:cs="仿宋_GB2312"/>
          <w:b/>
          <w:bCs/>
          <w:color w:val="auto"/>
          <w:sz w:val="32"/>
          <w:szCs w:val="32"/>
          <w:highlight w:val="none"/>
          <w:lang w:val="en-US" w:eastAsia="zh-CN"/>
        </w:rPr>
        <w:t>“平急两用”</w:t>
      </w:r>
      <w:r>
        <w:rPr>
          <w:rFonts w:hint="eastAsia" w:ascii="BatangChe" w:hAnsi="BatangChe" w:eastAsia="仿宋_GB2312" w:cs="仿宋_GB2312"/>
          <w:b/>
          <w:bCs/>
          <w:color w:val="auto"/>
          <w:sz w:val="32"/>
          <w:szCs w:val="32"/>
          <w:highlight w:val="none"/>
          <w:lang w:val="en-US" w:eastAsia="zh-CN"/>
        </w:rPr>
        <w:t>公共基础设施</w:t>
      </w:r>
      <w:r>
        <w:rPr>
          <w:rFonts w:hint="eastAsia" w:ascii="BatangChe" w:hAnsi="BatangChe" w:eastAsia="仿宋_GB2312" w:cs="仿宋_GB2312"/>
          <w:b/>
          <w:bCs/>
          <w:color w:val="auto"/>
          <w:sz w:val="32"/>
          <w:szCs w:val="32"/>
          <w:highlight w:val="none"/>
        </w:rPr>
        <w:t>建设</w:t>
      </w:r>
      <w:r>
        <w:rPr>
          <w:rFonts w:hint="eastAsia" w:ascii="Times New Roman" w:hAnsi="Times New Roman" w:cs="Times New Roman"/>
          <w:b/>
          <w:bCs/>
          <w:color w:val="auto"/>
          <w:highlight w:val="none"/>
          <w:lang w:val="en-US" w:eastAsia="zh-CN"/>
        </w:rPr>
        <w:t>。</w:t>
      </w:r>
      <w:r>
        <w:rPr>
          <w:rFonts w:hint="eastAsia" w:ascii="Times New Roman" w:hAnsi="Times New Roman" w:cs="Times New Roman"/>
          <w:b w:val="0"/>
          <w:bCs w:val="0"/>
          <w:color w:val="auto"/>
          <w:highlight w:val="none"/>
          <w:lang w:val="en-US" w:eastAsia="zh-CN"/>
        </w:rPr>
        <w:t>加快排水防涝设施建设改造，重点推进浈江区城市排水防涝工程</w:t>
      </w:r>
      <w:r>
        <w:rPr>
          <w:rFonts w:hint="eastAsia" w:cs="Times New Roman"/>
          <w:b w:val="0"/>
          <w:bCs w:val="0"/>
          <w:color w:val="auto"/>
          <w:highlight w:val="none"/>
          <w:lang w:val="en-US" w:eastAsia="zh-CN"/>
        </w:rPr>
        <w:t>、</w:t>
      </w:r>
      <w:r>
        <w:rPr>
          <w:rFonts w:hint="eastAsia" w:ascii="Times New Roman" w:hAnsi="Times New Roman" w:cs="Times New Roman"/>
          <w:b w:val="0"/>
          <w:bCs w:val="0"/>
          <w:color w:val="auto"/>
          <w:highlight w:val="none"/>
          <w:lang w:val="en-US" w:eastAsia="zh-CN"/>
        </w:rPr>
        <w:t>城市排水系统改造提升项目，构建“源头减排+管网收集+排涝除险”全链条防洪排涝体系</w:t>
      </w:r>
      <w:r>
        <w:rPr>
          <w:rFonts w:hint="eastAsia" w:cs="Times New Roman"/>
          <w:b w:val="0"/>
          <w:bCs w:val="0"/>
          <w:color w:val="auto"/>
          <w:highlight w:val="none"/>
          <w:lang w:val="en-US" w:eastAsia="zh-CN"/>
        </w:rPr>
        <w:t>。</w:t>
      </w:r>
      <w:r>
        <w:rPr>
          <w:rFonts w:hint="eastAsia" w:ascii="Times New Roman" w:hAnsi="Times New Roman" w:cs="Times New Roman"/>
          <w:b w:val="0"/>
          <w:bCs w:val="0"/>
          <w:color w:val="auto"/>
          <w:highlight w:val="none"/>
          <w:lang w:val="en-US" w:eastAsia="zh-CN"/>
        </w:rPr>
        <w:t>扎实推进污水管网全覆盖与雨污分流改造，“十五五”期间计划新增污水管网50公里。大力实施内涝治理工程，强化中小河流治理，全面提升防洪防潮能力与灾害预警应急处置水平。补齐充电基础设施短板，到2030年累计建成充电设施2000个</w:t>
      </w:r>
      <w:r>
        <w:rPr>
          <w:rFonts w:hint="eastAsia" w:cs="Times New Roman"/>
          <w:b w:val="0"/>
          <w:bCs w:val="0"/>
          <w:color w:val="auto"/>
          <w:highlight w:val="none"/>
          <w:lang w:val="en-US" w:eastAsia="zh-CN"/>
        </w:rPr>
        <w:t>以上</w:t>
      </w:r>
      <w:r>
        <w:rPr>
          <w:rFonts w:hint="eastAsia" w:ascii="Times New Roman" w:hAnsi="Times New Roman" w:cs="Times New Roman"/>
          <w:b w:val="0"/>
          <w:bCs w:val="0"/>
          <w:color w:val="auto"/>
          <w:highlight w:val="none"/>
          <w:lang w:val="en-US" w:eastAsia="zh-CN"/>
        </w:rPr>
        <w:t>，兼顾日常使用与应急保障需求，提升城市安全韧性。</w:t>
      </w:r>
    </w:p>
    <w:bookmarkEnd w:id="718"/>
    <w:p w14:paraId="072812A4">
      <w:pPr>
        <w:pStyle w:val="39"/>
        <w:keepNext w:val="0"/>
        <w:keepLines w:val="0"/>
        <w:pageBreakBefore w:val="0"/>
        <w:widowControl w:val="0"/>
        <w:kinsoku/>
        <w:overflowPunct/>
        <w:autoSpaceDE/>
        <w:autoSpaceDN/>
        <w:bidi w:val="0"/>
        <w:adjustRightInd w:val="0"/>
        <w:snapToGrid w:val="0"/>
        <w:spacing w:line="600" w:lineRule="exact"/>
        <w:ind w:firstLine="643" w:firstLineChars="200"/>
        <w:textAlignment w:val="baseline"/>
        <w:rPr>
          <w:rFonts w:hint="eastAsia" w:ascii="仿宋_GB2312" w:hAnsi="仿宋_GB2312" w:eastAsia="仿宋_GB2312" w:cs="仿宋_GB2312"/>
          <w:b w:val="0"/>
          <w:bCs w:val="0"/>
          <w:color w:val="auto"/>
          <w:sz w:val="32"/>
          <w:szCs w:val="22"/>
          <w:highlight w:val="none"/>
          <w:lang w:eastAsia="zh-CN"/>
        </w:rPr>
      </w:pPr>
      <w:bookmarkStart w:id="719" w:name="_Toc18016"/>
      <w:bookmarkStart w:id="720" w:name="_Toc17005"/>
      <w:bookmarkStart w:id="721" w:name="_Toc23532"/>
      <w:r>
        <w:rPr>
          <w:rFonts w:hint="eastAsia" w:ascii="BatangChe" w:hAnsi="BatangChe" w:eastAsia="仿宋_GB2312" w:cs="仿宋_GB2312"/>
          <w:b/>
          <w:bCs/>
          <w:color w:val="auto"/>
          <w:sz w:val="32"/>
          <w:szCs w:val="32"/>
          <w:highlight w:val="none"/>
        </w:rPr>
        <w:t>加快推进新型智慧城市建设。</w:t>
      </w:r>
      <w:r>
        <w:rPr>
          <w:rFonts w:hint="eastAsia" w:ascii="仿宋_GB2312" w:hAnsi="仿宋_GB2312" w:eastAsia="仿宋_GB2312" w:cs="仿宋_GB2312"/>
          <w:b w:val="0"/>
          <w:bCs w:val="0"/>
          <w:color w:val="auto"/>
          <w:sz w:val="32"/>
          <w:szCs w:val="22"/>
          <w:highlight w:val="none"/>
          <w:lang w:eastAsia="zh-CN"/>
        </w:rPr>
        <w:t>实施城市智慧治理提升行动，构建集约共享的数字政府基础支撑体系，推动物联感知设施统一规划、共建共享，夯实智慧城市建设底座。加快推进浈江区新型智慧城市建设项目，推动智慧城管、智慧交通、智慧安防等系统集成应用，提升数据赋能“惠民、强政、兴业”实效。深化城市运行“一网统管”建设，构建跨部门、跨层级协同指挥平台，整合应急指挥、城市管理、交通疏导、综治安防等领域数据资源，实现城市运行态势全感知、风险预警智能化、应急处置高效化。实施全民数字素养提升工程，优化适老化数字服务，逐步消除“数字鸿沟”，让智慧城市建设成果惠及全体市民。</w:t>
      </w:r>
    </w:p>
    <w:p w14:paraId="42628607">
      <w:pPr>
        <w:pStyle w:val="39"/>
        <w:keepNext w:val="0"/>
        <w:keepLines w:val="0"/>
        <w:pageBreakBefore w:val="0"/>
        <w:widowControl w:val="0"/>
        <w:kinsoku/>
        <w:overflowPunct/>
        <w:autoSpaceDE/>
        <w:autoSpaceDN/>
        <w:bidi w:val="0"/>
        <w:adjustRightInd w:val="0"/>
        <w:snapToGrid w:val="0"/>
        <w:spacing w:line="600" w:lineRule="exact"/>
        <w:ind w:firstLine="640" w:firstLineChars="200"/>
        <w:textAlignment w:val="baseline"/>
        <w:rPr>
          <w:rFonts w:hint="eastAsia" w:ascii="仿宋_GB2312" w:hAnsi="仿宋_GB2312" w:eastAsia="仿宋_GB2312" w:cs="仿宋_GB2312"/>
          <w:b w:val="0"/>
          <w:bCs w:val="0"/>
          <w:color w:val="auto"/>
          <w:sz w:val="32"/>
          <w:szCs w:val="22"/>
          <w:highlight w:val="none"/>
          <w:lang w:eastAsia="zh-CN"/>
        </w:rPr>
      </w:pPr>
    </w:p>
    <w:p w14:paraId="45F556D9">
      <w:pPr>
        <w:pStyle w:val="4"/>
        <w:shd w:val="clear"/>
        <w:kinsoku/>
        <w:bidi w:val="0"/>
        <w:rPr>
          <w:rFonts w:hint="eastAsia"/>
          <w:color w:val="auto"/>
          <w:highlight w:val="none"/>
          <w:lang w:val="en-US" w:eastAsia="zh-CN"/>
        </w:rPr>
      </w:pPr>
      <w:bookmarkStart w:id="722" w:name="_Toc19640"/>
      <w:bookmarkStart w:id="723" w:name="_Toc29893"/>
      <w:bookmarkStart w:id="724" w:name="_Toc5985"/>
      <w:bookmarkStart w:id="725" w:name="_Toc27343"/>
      <w:bookmarkStart w:id="726" w:name="_Toc11565"/>
      <w:bookmarkStart w:id="727" w:name="_Toc1602"/>
      <w:bookmarkStart w:id="728" w:name="_Toc6568"/>
      <w:bookmarkStart w:id="729" w:name="_Toc6253"/>
      <w:bookmarkStart w:id="730" w:name="_Toc32012"/>
      <w:bookmarkStart w:id="731" w:name="_Toc8910"/>
      <w:bookmarkStart w:id="732" w:name="_Toc15752"/>
      <w:bookmarkStart w:id="733" w:name="_Toc17479"/>
      <w:bookmarkStart w:id="734" w:name="_Toc28915"/>
      <w:bookmarkStart w:id="735" w:name="_Toc11296"/>
      <w:bookmarkStart w:id="736" w:name="_Toc24962"/>
      <w:bookmarkStart w:id="737" w:name="_Toc6660"/>
      <w:bookmarkStart w:id="738" w:name="_Toc20547"/>
      <w:bookmarkStart w:id="739" w:name="_Toc3108"/>
      <w:r>
        <w:rPr>
          <w:rFonts w:hint="eastAsia"/>
          <w:color w:val="auto"/>
          <w:highlight w:val="none"/>
          <w:lang w:val="en-US" w:eastAsia="zh-CN"/>
        </w:rPr>
        <w:t xml:space="preserve">第四节 </w:t>
      </w:r>
      <w:bookmarkEnd w:id="719"/>
      <w:bookmarkEnd w:id="720"/>
      <w:r>
        <w:rPr>
          <w:rFonts w:hint="eastAsia"/>
          <w:color w:val="auto"/>
          <w:highlight w:val="none"/>
          <w:lang w:val="en-US" w:eastAsia="zh-CN"/>
        </w:rPr>
        <w:t>完善城乡互联互通基础设施</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14:paraId="2406455C">
      <w:pPr>
        <w:shd w:val="clear"/>
        <w:kinsoku/>
        <w:bidi w:val="0"/>
        <w:rPr>
          <w:rFonts w:hint="eastAsia" w:ascii="Times New Roman" w:hAnsi="Times New Roman" w:cs="Times New Roman"/>
          <w:b/>
          <w:bCs/>
          <w:color w:val="auto"/>
          <w:highlight w:val="none"/>
          <w:lang w:val="en-US" w:eastAsia="zh-CN"/>
        </w:rPr>
      </w:pPr>
      <w:bookmarkStart w:id="740" w:name="_Toc600"/>
    </w:p>
    <w:p w14:paraId="70B9B567">
      <w:pPr>
        <w:shd w:val="clear"/>
        <w:kinsoku/>
        <w:bidi w:val="0"/>
        <w:rPr>
          <w:rFonts w:hint="default"/>
          <w:color w:val="auto"/>
          <w:highlight w:val="none"/>
          <w:lang w:val="en-US" w:eastAsia="zh-CN"/>
        </w:rPr>
      </w:pPr>
      <w:r>
        <w:rPr>
          <w:rFonts w:hint="eastAsia" w:ascii="Times New Roman" w:hAnsi="Times New Roman" w:cs="Times New Roman"/>
          <w:b/>
          <w:bCs/>
          <w:color w:val="auto"/>
          <w:highlight w:val="none"/>
          <w:lang w:val="en-US" w:eastAsia="zh-CN"/>
        </w:rPr>
        <w:t>加快城市道路改造提升</w:t>
      </w:r>
      <w:bookmarkEnd w:id="740"/>
      <w:r>
        <w:rPr>
          <w:rFonts w:hint="eastAsia" w:ascii="Times New Roman" w:hAnsi="Times New Roman" w:cs="Times New Roman"/>
          <w:b/>
          <w:bCs/>
          <w:color w:val="auto"/>
          <w:highlight w:val="none"/>
          <w:lang w:val="en-US" w:eastAsia="zh-CN"/>
        </w:rPr>
        <w:t>。</w:t>
      </w:r>
      <w:r>
        <w:rPr>
          <w:rFonts w:hint="eastAsia"/>
          <w:color w:val="auto"/>
          <w:highlight w:val="none"/>
          <w:lang w:val="en-US" w:eastAsia="zh-CN"/>
        </w:rPr>
        <w:t>抢抓全省建设“一中心三极点”综合交通枢纽机遇，系统推进城市主出入口及主干道功能与形象提升，构建服务主城高效畅通的交通体系。实施凤凰路至启明路北路面改造、凤凰路-莲花大道路域整治等工程，打通韶关高新区（浈江片区）与浈江产业园（犁市片区）联通道路，提升主干路网通行效率。加快推动打通“断头路”、改造“瓶颈路”，完善交通信号灯、标志标线、监控设备等配套设施，优化区内路网结构。推进城区道路提质工程等项目建设。</w:t>
      </w:r>
    </w:p>
    <w:p w14:paraId="38773CF9">
      <w:pPr>
        <w:shd w:val="clear"/>
        <w:kinsoku/>
        <w:bidi w:val="0"/>
        <w:rPr>
          <w:rFonts w:hint="eastAsia"/>
          <w:color w:val="auto"/>
          <w:highlight w:val="none"/>
          <w:lang w:val="en-US" w:eastAsia="zh-CN"/>
        </w:rPr>
      </w:pPr>
      <w:r>
        <w:rPr>
          <w:rFonts w:hint="eastAsia"/>
          <w:b/>
          <w:bCs/>
          <w:color w:val="auto"/>
          <w:highlight w:val="none"/>
          <w:lang w:val="en-US" w:eastAsia="zh-CN"/>
        </w:rPr>
        <w:t>优化完善农村公路交通网络。</w:t>
      </w:r>
      <w:r>
        <w:rPr>
          <w:rFonts w:hint="eastAsia"/>
          <w:color w:val="auto"/>
          <w:highlight w:val="none"/>
          <w:lang w:val="en-US" w:eastAsia="zh-CN"/>
        </w:rPr>
        <w:t>开展新一轮农村公路提档升级行动，强化镇村与城区、产业园区等关键节点道路连接，畅通城乡交通衔接“毛细血管”。按照三级及以上公路标准，对X848、X797等县道实施升级改造。推进通行镇村道路单改双工程及路网连接工程，延伸完善农村公路基础网络。实施桥梁改造工程，逐步推进X797线乌龙桥、Y213线冬青桥等桥梁拆除重建。到2030年，完成农村公路提升改造45公里，构建“安全、畅通、便捷、绿色”的农村公路网络，全面提升农村公路保障水平。</w:t>
      </w:r>
    </w:p>
    <w:bookmarkEnd w:id="654"/>
    <w:p w14:paraId="136C8A83">
      <w:pPr>
        <w:shd w:val="clear"/>
        <w:kinsoku/>
        <w:bidi w:val="0"/>
        <w:rPr>
          <w:rFonts w:hint="eastAsia"/>
          <w:color w:val="auto"/>
          <w:highlight w:val="none"/>
          <w:lang w:val="en-US" w:eastAsia="zh-CN"/>
        </w:rPr>
        <w:sectPr>
          <w:pgSz w:w="11906" w:h="16839"/>
          <w:pgMar w:top="2098" w:right="1474" w:bottom="1984" w:left="1587" w:header="1020" w:footer="1417" w:gutter="0"/>
          <w:pgNumType w:fmt="numberInDash"/>
          <w:cols w:space="720" w:num="1"/>
          <w:rtlGutter w:val="0"/>
        </w:sectPr>
      </w:pPr>
      <w:bookmarkStart w:id="741" w:name="_Toc27106"/>
      <w:bookmarkStart w:id="742" w:name="_Toc20392"/>
      <w:bookmarkStart w:id="743" w:name="_Toc19063"/>
      <w:bookmarkStart w:id="744" w:name="_Toc6557"/>
      <w:bookmarkStart w:id="745" w:name="_Toc32277"/>
      <w:bookmarkStart w:id="746" w:name="_Toc20428"/>
      <w:bookmarkStart w:id="747" w:name="_Toc23101"/>
    </w:p>
    <w:p w14:paraId="5DEFFAD3">
      <w:pPr>
        <w:pStyle w:val="3"/>
        <w:shd w:val="clear"/>
        <w:kinsoku/>
        <w:bidi w:val="0"/>
        <w:rPr>
          <w:rFonts w:hint="default"/>
          <w:b w:val="0"/>
          <w:bCs/>
          <w:color w:val="auto"/>
          <w:highlight w:val="none"/>
          <w:lang w:val="en-US" w:eastAsia="zh-CN"/>
        </w:rPr>
      </w:pPr>
      <w:bookmarkStart w:id="748" w:name="_Toc31320"/>
      <w:bookmarkStart w:id="749" w:name="_Toc31438"/>
      <w:bookmarkStart w:id="750" w:name="_Toc15848"/>
      <w:bookmarkStart w:id="751" w:name="_Toc17073"/>
      <w:bookmarkStart w:id="752" w:name="_Toc30983"/>
      <w:bookmarkStart w:id="753" w:name="_Toc1804"/>
      <w:bookmarkStart w:id="754" w:name="_Toc11459"/>
      <w:bookmarkStart w:id="755" w:name="_Toc24127"/>
      <w:bookmarkStart w:id="756" w:name="_Toc6005"/>
      <w:bookmarkStart w:id="757" w:name="_Toc24396"/>
      <w:bookmarkStart w:id="758" w:name="_Toc31486"/>
      <w:bookmarkStart w:id="759" w:name="_Toc31202"/>
      <w:bookmarkStart w:id="760" w:name="_Toc30780"/>
      <w:bookmarkStart w:id="761" w:name="_Toc23353"/>
      <w:bookmarkStart w:id="762" w:name="_Toc6944"/>
      <w:bookmarkStart w:id="763" w:name="_Toc9820"/>
      <w:bookmarkStart w:id="764" w:name="_Toc31942"/>
      <w:bookmarkStart w:id="765" w:name="_Toc4322"/>
      <w:r>
        <w:rPr>
          <w:rFonts w:hint="eastAsia"/>
          <w:b w:val="0"/>
          <w:bCs/>
          <w:color w:val="auto"/>
          <w:highlight w:val="none"/>
          <w:lang w:val="en-US" w:eastAsia="zh-CN"/>
        </w:rPr>
        <w:t>第八章 全面深化改革攻坚，</w:t>
      </w:r>
      <w:bookmarkEnd w:id="748"/>
      <w:bookmarkEnd w:id="749"/>
      <w:bookmarkEnd w:id="750"/>
      <w:r>
        <w:rPr>
          <w:rFonts w:hint="eastAsia"/>
          <w:b w:val="0"/>
          <w:bCs/>
          <w:color w:val="auto"/>
          <w:highlight w:val="none"/>
          <w:lang w:val="en-US" w:eastAsia="zh-CN"/>
        </w:rPr>
        <w:t>释放高质量发展动能</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14:paraId="0A7F366B">
      <w:pPr>
        <w:shd w:val="clear"/>
        <w:kinsoku/>
        <w:bidi w:val="0"/>
        <w:rPr>
          <w:rFonts w:hint="eastAsia" w:ascii="仿宋_GB2312" w:hAnsi="仿宋_GB2312" w:eastAsia="仿宋_GB2312" w:cs="仿宋_GB2312"/>
          <w:strike w:val="0"/>
          <w:dstrike w:val="0"/>
          <w:color w:val="auto"/>
          <w:sz w:val="32"/>
          <w:szCs w:val="32"/>
          <w:highlight w:val="none"/>
          <w:lang w:eastAsia="zh-CN"/>
        </w:rPr>
      </w:pPr>
    </w:p>
    <w:p w14:paraId="68CC2F0E">
      <w:pPr>
        <w:shd w:val="clear"/>
        <w:kinsoku/>
        <w:bidi w:val="0"/>
        <w:rPr>
          <w:rFonts w:hint="eastAsia" w:ascii="仿宋_GB2312" w:hAnsi="仿宋_GB2312" w:eastAsia="仿宋_GB2312" w:cs="仿宋_GB2312"/>
          <w:strike w:val="0"/>
          <w:dstrike w:val="0"/>
          <w:color w:val="auto"/>
          <w:sz w:val="32"/>
          <w:szCs w:val="32"/>
          <w:highlight w:val="none"/>
          <w:lang w:eastAsia="zh-CN"/>
        </w:rPr>
      </w:pPr>
      <w:r>
        <w:rPr>
          <w:rFonts w:hint="eastAsia" w:ascii="仿宋_GB2312" w:hAnsi="仿宋_GB2312" w:eastAsia="仿宋_GB2312" w:cs="仿宋_GB2312"/>
          <w:strike w:val="0"/>
          <w:dstrike w:val="0"/>
          <w:color w:val="auto"/>
          <w:sz w:val="32"/>
          <w:szCs w:val="32"/>
          <w:highlight w:val="none"/>
          <w:lang w:eastAsia="zh-CN"/>
        </w:rPr>
        <w:t>坚持以改革创新为根本动力，攻坚重点领域改革</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lang w:eastAsia="zh-CN"/>
        </w:rPr>
        <w:t>培育</w:t>
      </w:r>
      <w:r>
        <w:rPr>
          <w:rFonts w:hint="eastAsia" w:ascii="仿宋_GB2312" w:hAnsi="仿宋_GB2312" w:cs="仿宋_GB2312"/>
          <w:strike w:val="0"/>
          <w:dstrike w:val="0"/>
          <w:color w:val="auto"/>
          <w:sz w:val="32"/>
          <w:szCs w:val="32"/>
          <w:highlight w:val="none"/>
          <w:lang w:val="en-US" w:eastAsia="zh-CN"/>
        </w:rPr>
        <w:t>壮大</w:t>
      </w:r>
      <w:r>
        <w:rPr>
          <w:rFonts w:hint="eastAsia" w:ascii="仿宋_GB2312" w:hAnsi="仿宋_GB2312" w:eastAsia="仿宋_GB2312" w:cs="仿宋_GB2312"/>
          <w:strike w:val="0"/>
          <w:dstrike w:val="0"/>
          <w:color w:val="auto"/>
          <w:sz w:val="32"/>
          <w:szCs w:val="32"/>
          <w:highlight w:val="none"/>
          <w:lang w:eastAsia="zh-CN"/>
        </w:rPr>
        <w:t>高质量市场主体</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lang w:eastAsia="zh-CN"/>
        </w:rPr>
        <w:t>持续优化营商环境，为浈江高质量发展注入强劲动力，构筑区域竞争新优势。</w:t>
      </w:r>
    </w:p>
    <w:p w14:paraId="3F59FD08">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66AED5AB">
      <w:pPr>
        <w:pStyle w:val="4"/>
        <w:shd w:val="clear"/>
        <w:kinsoku/>
        <w:bidi w:val="0"/>
        <w:rPr>
          <w:rFonts w:hint="eastAsia"/>
          <w:b w:val="0"/>
          <w:bCs w:val="0"/>
          <w:color w:val="auto"/>
          <w:highlight w:val="none"/>
          <w:lang w:val="en-US" w:eastAsia="zh-CN"/>
        </w:rPr>
      </w:pPr>
      <w:bookmarkStart w:id="766" w:name="_Toc1747"/>
      <w:bookmarkStart w:id="767" w:name="_Toc8187"/>
      <w:bookmarkStart w:id="768" w:name="_Toc31287"/>
      <w:bookmarkStart w:id="769" w:name="_Toc2440"/>
      <w:bookmarkStart w:id="770" w:name="_Toc1604"/>
      <w:bookmarkStart w:id="771" w:name="_Toc830"/>
      <w:bookmarkStart w:id="772" w:name="_Toc25749"/>
      <w:bookmarkStart w:id="773" w:name="_Toc20273"/>
      <w:bookmarkStart w:id="774" w:name="_Toc7186"/>
      <w:bookmarkStart w:id="775" w:name="_Toc185"/>
      <w:bookmarkStart w:id="776" w:name="_Toc20770"/>
      <w:bookmarkStart w:id="777" w:name="_Toc25015"/>
      <w:bookmarkStart w:id="778" w:name="_Toc17492"/>
      <w:bookmarkStart w:id="779" w:name="_Toc17798"/>
      <w:bookmarkStart w:id="780" w:name="_Toc28840"/>
      <w:bookmarkStart w:id="781" w:name="_Toc15707"/>
      <w:bookmarkStart w:id="782" w:name="_Toc20220"/>
      <w:bookmarkStart w:id="783" w:name="_Toc32338"/>
      <w:r>
        <w:rPr>
          <w:rFonts w:hint="eastAsia"/>
          <w:b w:val="0"/>
          <w:bCs w:val="0"/>
          <w:color w:val="auto"/>
          <w:highlight w:val="none"/>
          <w:lang w:val="en-US" w:eastAsia="zh-CN"/>
        </w:rPr>
        <w:t>第一节 攻坚重点领域改革</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4E26C3B0">
      <w:pPr>
        <w:shd w:val="clear"/>
        <w:kinsoku/>
        <w:bidi w:val="0"/>
        <w:rPr>
          <w:rFonts w:hint="eastAsia" w:ascii="Times New Roman" w:hAnsi="Times New Roman" w:cs="Times New Roman"/>
          <w:b/>
          <w:bCs/>
          <w:color w:val="auto"/>
          <w:highlight w:val="none"/>
          <w:lang w:val="en-US" w:eastAsia="zh-CN"/>
        </w:rPr>
      </w:pPr>
    </w:p>
    <w:p w14:paraId="2B8544D5">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优化区级机构职能配置。</w:t>
      </w:r>
      <w:r>
        <w:rPr>
          <w:rFonts w:hint="eastAsia"/>
          <w:color w:val="auto"/>
          <w:highlight w:val="none"/>
          <w:lang w:val="en-US" w:eastAsia="zh-CN"/>
        </w:rPr>
        <w:t>立足浈江发展实际与机构运行现状，稳妥推进区级事业单位改革，系统优化产业发展、城乡治理、民生服务等重点领域机构设置与职能配置。精简整合各类议事协调机构，规范运行机制，提升决策效率。完善镇（街）管理体制，进一步厘清权责边界，推动治理重心下移、资源下沉，增强基层统筹协调和公共服务能力。</w:t>
      </w:r>
    </w:p>
    <w:p w14:paraId="3FF4DF79">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深化财税</w:t>
      </w:r>
      <w:r>
        <w:rPr>
          <w:rFonts w:hint="eastAsia" w:cs="Times New Roman"/>
          <w:b/>
          <w:bCs/>
          <w:color w:val="auto"/>
          <w:highlight w:val="none"/>
          <w:lang w:val="en-US" w:eastAsia="zh-CN"/>
        </w:rPr>
        <w:t>金融体制改革</w:t>
      </w:r>
      <w:r>
        <w:rPr>
          <w:rFonts w:hint="eastAsia" w:ascii="Times New Roman" w:hAnsi="Times New Roman" w:cs="Times New Roman"/>
          <w:b/>
          <w:bCs/>
          <w:color w:val="auto"/>
          <w:highlight w:val="none"/>
          <w:lang w:val="en-US" w:eastAsia="zh-CN"/>
        </w:rPr>
        <w:t>。</w:t>
      </w:r>
      <w:r>
        <w:rPr>
          <w:rFonts w:hint="eastAsia"/>
          <w:color w:val="auto"/>
          <w:highlight w:val="none"/>
          <w:lang w:val="en-US" w:eastAsia="zh-CN"/>
        </w:rPr>
        <w:t>强化财政收支管理，依法依规组织非税收入，积极盘活存量资产资源，拓宽财政收入来源。全面推行零基预算改革，提升预算绩效管理质效，推动财政管理数字化、智能化转型，增强财政可持续性和统筹保障能力。深入实施数字化税费征管“强基工程”，一体推进依法治税、以数治税、从严治税，高水平建设效能税务。引导金融机构加大对小微企业、私营企业等经营主体支持力度，扩大首贷、续贷、信易贷、中长期贷款投放规模。</w:t>
      </w:r>
    </w:p>
    <w:p w14:paraId="00C003BD">
      <w:pPr>
        <w:shd w:val="clear"/>
        <w:kinsoku/>
        <w:bidi w:val="0"/>
        <w:rPr>
          <w:rFonts w:hint="eastAsia"/>
          <w:color w:val="auto"/>
          <w:highlight w:val="none"/>
          <w:lang w:val="en-US" w:eastAsia="zh-CN"/>
        </w:rPr>
      </w:pPr>
      <w:r>
        <w:rPr>
          <w:rFonts w:hint="eastAsia" w:ascii="BatangChe" w:hAnsi="BatangChe" w:eastAsia="仿宋_GB2312" w:cs="仿宋_GB2312"/>
          <w:b/>
          <w:bCs/>
          <w:color w:val="auto"/>
          <w:sz w:val="32"/>
          <w:szCs w:val="32"/>
          <w:highlight w:val="none"/>
          <w:lang w:val="en-US" w:eastAsia="zh-CN"/>
        </w:rPr>
        <w:t>进一步深化农村改革。</w:t>
      </w:r>
      <w:r>
        <w:rPr>
          <w:rFonts w:hint="eastAsia" w:ascii="BatangChe" w:hAnsi="BatangChe" w:eastAsia="仿宋_GB2312" w:cs="仿宋_GB2312"/>
          <w:b w:val="0"/>
          <w:bCs w:val="0"/>
          <w:color w:val="auto"/>
          <w:sz w:val="32"/>
          <w:szCs w:val="32"/>
          <w:highlight w:val="none"/>
          <w:lang w:val="en-US" w:eastAsia="zh-CN"/>
        </w:rPr>
        <w:t>聚焦</w:t>
      </w:r>
      <w:r>
        <w:rPr>
          <w:rFonts w:hint="eastAsia" w:ascii="BatangChe" w:hAnsi="BatangChe" w:cs="仿宋_GB2312"/>
          <w:b w:val="0"/>
          <w:bCs w:val="0"/>
          <w:color w:val="auto"/>
          <w:sz w:val="32"/>
          <w:szCs w:val="32"/>
          <w:highlight w:val="none"/>
          <w:lang w:val="en-US" w:eastAsia="zh-CN"/>
        </w:rPr>
        <w:t>富民乡村产业、数字乡村、乡村人才振兴、乡村治理等四大创新机制</w:t>
      </w:r>
      <w:r>
        <w:rPr>
          <w:rFonts w:hint="eastAsia" w:ascii="BatangChe" w:hAnsi="BatangChe" w:eastAsia="仿宋_GB2312" w:cs="仿宋_GB2312"/>
          <w:color w:val="auto"/>
          <w:sz w:val="32"/>
          <w:szCs w:val="32"/>
          <w:highlight w:val="none"/>
          <w:lang w:val="en-US" w:eastAsia="zh-CN"/>
        </w:rPr>
        <w:t>，巩固扩大国家农村综合性改革试点成果。深化农村土地要素盘活，探索农村集体经营性建设用地入市、村集体留用地商贸综合体开发。建设农村宅基地管理平台。</w:t>
      </w:r>
      <w:r>
        <w:rPr>
          <w:rFonts w:hint="eastAsia" w:ascii="仿宋_GB2312" w:hAnsi="仿宋_GB2312" w:eastAsia="仿宋_GB2312" w:cs="仿宋_GB2312"/>
          <w:color w:val="auto"/>
          <w:sz w:val="32"/>
          <w:szCs w:val="32"/>
          <w:highlight w:val="none"/>
          <w:lang w:val="en-US" w:eastAsia="zh-CN"/>
        </w:rPr>
        <w:t>深化“三资”管理改革，通过全面清产核资、动态监管、经营模式创新、风险防控强化及制</w:t>
      </w:r>
      <w:r>
        <w:rPr>
          <w:rFonts w:hint="eastAsia" w:ascii="BatangChe" w:hAnsi="BatangChe" w:eastAsia="仿宋_GB2312" w:cs="仿宋_GB2312"/>
          <w:color w:val="auto"/>
          <w:sz w:val="32"/>
          <w:szCs w:val="32"/>
          <w:highlight w:val="none"/>
          <w:lang w:val="en-US" w:eastAsia="zh-CN"/>
        </w:rPr>
        <w:t>度规范健全，实现集体“三资”管理透明化、高效化、可持续化，夯实新型农村集体经济发展基础。</w:t>
      </w:r>
      <w:r>
        <w:rPr>
          <w:rFonts w:hint="eastAsia"/>
          <w:b w:val="0"/>
          <w:bCs w:val="0"/>
          <w:color w:val="auto"/>
          <w:highlight w:val="none"/>
          <w:lang w:val="en-US" w:eastAsia="zh-CN"/>
        </w:rPr>
        <w:t>完善改革推进落实机制，</w:t>
      </w:r>
      <w:r>
        <w:rPr>
          <w:rFonts w:hint="eastAsia"/>
          <w:color w:val="auto"/>
          <w:highlight w:val="none"/>
          <w:lang w:val="en-US" w:eastAsia="zh-CN"/>
        </w:rPr>
        <w:t>谋划更多创造型、引领型改革举措，以“小切口”改革撬动“大变化”，积极争取并开展重大改革试点，形成一批可复制、可推广的改革经验。</w:t>
      </w:r>
    </w:p>
    <w:p w14:paraId="4E4D6CA9">
      <w:pPr>
        <w:shd w:val="clear"/>
        <w:kinsoku/>
        <w:bidi w:val="0"/>
        <w:rPr>
          <w:rFonts w:hint="eastAsia"/>
          <w:color w:val="auto"/>
          <w:highlight w:val="none"/>
          <w:lang w:val="en-US" w:eastAsia="zh-CN"/>
        </w:rPr>
      </w:pPr>
    </w:p>
    <w:p w14:paraId="76599FDD">
      <w:pPr>
        <w:pStyle w:val="4"/>
        <w:keepNext w:val="0"/>
        <w:keepLines w:val="0"/>
        <w:pageBreakBefore w:val="0"/>
        <w:shd w:val="clear"/>
        <w:kinsoku/>
        <w:wordWrap/>
        <w:overflowPunct/>
        <w:topLinePunct w:val="0"/>
        <w:bidi w:val="0"/>
        <w:spacing w:before="0" w:line="600" w:lineRule="exact"/>
        <w:rPr>
          <w:rFonts w:hint="eastAsia"/>
          <w:b w:val="0"/>
          <w:bCs w:val="0"/>
          <w:color w:val="auto"/>
          <w:highlight w:val="none"/>
          <w:lang w:val="en-US" w:eastAsia="zh-CN"/>
        </w:rPr>
      </w:pPr>
      <w:bookmarkStart w:id="784" w:name="_Toc15573"/>
      <w:bookmarkStart w:id="785" w:name="_Toc21383"/>
      <w:bookmarkStart w:id="786" w:name="_Toc29504"/>
      <w:bookmarkStart w:id="787" w:name="_Toc15934"/>
      <w:bookmarkStart w:id="788" w:name="_Toc26036"/>
      <w:bookmarkStart w:id="789" w:name="_Toc170"/>
      <w:bookmarkStart w:id="790" w:name="_Toc27450"/>
      <w:bookmarkStart w:id="791" w:name="_Toc26657"/>
      <w:bookmarkStart w:id="792" w:name="_Toc22829"/>
      <w:bookmarkStart w:id="793" w:name="_Toc7059"/>
      <w:bookmarkStart w:id="794" w:name="_Toc30542"/>
      <w:bookmarkStart w:id="795" w:name="_Toc8348"/>
      <w:bookmarkStart w:id="796" w:name="_Toc8141"/>
      <w:bookmarkStart w:id="797" w:name="_Toc16103"/>
      <w:bookmarkStart w:id="798" w:name="_Toc8637"/>
      <w:bookmarkStart w:id="799" w:name="_Toc1218"/>
      <w:bookmarkStart w:id="800" w:name="_Toc7379"/>
      <w:bookmarkStart w:id="801" w:name="_Toc4888"/>
      <w:r>
        <w:rPr>
          <w:rFonts w:hint="eastAsia"/>
          <w:b w:val="0"/>
          <w:bCs w:val="0"/>
          <w:color w:val="auto"/>
          <w:highlight w:val="none"/>
          <w:lang w:val="en-US" w:eastAsia="zh-CN"/>
        </w:rPr>
        <w:t>第二节 培育壮大高质量市场主体</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4A49B703">
      <w:pPr>
        <w:keepNext w:val="0"/>
        <w:keepLines w:val="0"/>
        <w:pageBreakBefore w:val="0"/>
        <w:shd w:val="clear"/>
        <w:kinsoku/>
        <w:wordWrap/>
        <w:overflowPunct/>
        <w:topLinePunct w:val="0"/>
        <w:bidi w:val="0"/>
        <w:spacing w:line="600" w:lineRule="exact"/>
        <w:rPr>
          <w:rFonts w:hint="eastAsia" w:ascii="Times New Roman" w:hAnsi="Times New Roman" w:cs="Times New Roman"/>
          <w:b/>
          <w:bCs/>
          <w:color w:val="auto"/>
          <w:highlight w:val="none"/>
          <w:lang w:val="en-US" w:eastAsia="zh-CN"/>
        </w:rPr>
      </w:pPr>
    </w:p>
    <w:p w14:paraId="7307EAD1">
      <w:pPr>
        <w:keepNext w:val="0"/>
        <w:keepLines w:val="0"/>
        <w:pageBreakBefore w:val="0"/>
        <w:shd w:val="clear"/>
        <w:kinsoku/>
        <w:wordWrap/>
        <w:overflowPunct/>
        <w:topLinePunct w:val="0"/>
        <w:bidi w:val="0"/>
        <w:spacing w:line="600" w:lineRule="exact"/>
        <w:rPr>
          <w:rFonts w:hint="eastAsia"/>
          <w:color w:val="auto"/>
          <w:highlight w:val="none"/>
          <w:lang w:val="en-US" w:eastAsia="zh-CN"/>
        </w:rPr>
      </w:pPr>
      <w:r>
        <w:rPr>
          <w:rFonts w:hint="eastAsia" w:ascii="Times New Roman" w:hAnsi="Times New Roman" w:cs="Times New Roman"/>
          <w:b/>
          <w:bCs/>
          <w:color w:val="auto"/>
          <w:highlight w:val="none"/>
          <w:lang w:val="en-US" w:eastAsia="zh-CN"/>
        </w:rPr>
        <w:t>深化区属国企国资体制改革。</w:t>
      </w:r>
      <w:r>
        <w:rPr>
          <w:rFonts w:hint="eastAsia" w:cs="Times New Roman"/>
          <w:b w:val="0"/>
          <w:bCs w:val="0"/>
          <w:color w:val="auto"/>
          <w:highlight w:val="none"/>
          <w:lang w:val="en-US" w:eastAsia="zh-CN"/>
        </w:rPr>
        <w:t>完善国有企业管理架构，建立现代化企业管理制度，提升国企投融资水平，提高国企市场竞争力。</w:t>
      </w:r>
      <w:r>
        <w:rPr>
          <w:rFonts w:hint="eastAsia"/>
          <w:color w:val="auto"/>
          <w:highlight w:val="none"/>
          <w:lang w:val="en-US" w:eastAsia="zh-CN"/>
        </w:rPr>
        <w:t>加大国有资产盘活力度，全面梳理国有企业土地、房产、基础设施等资源资产，探索将适宜资产划转注入区属国企路径，提高国企实缴资本，增强综合实力和资本运营能力，力争2026年2月底前实现1家区属国企主体信用评级达到AA级。完善投资决策和评估机制，加强对金融、投资、安全等重点领域的风险防控，提升国有资产监管效能。</w:t>
      </w:r>
    </w:p>
    <w:p w14:paraId="1B7A01D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color w:val="auto"/>
          <w:highlight w:val="none"/>
          <w:lang w:val="en-US" w:eastAsia="zh-CN"/>
        </w:rPr>
      </w:pPr>
      <w:r>
        <w:rPr>
          <w:rFonts w:hint="eastAsia" w:ascii="Times New Roman" w:hAnsi="Times New Roman" w:cs="Times New Roman"/>
          <w:b/>
          <w:bCs/>
          <w:color w:val="auto"/>
          <w:highlight w:val="none"/>
          <w:lang w:val="en-US" w:eastAsia="zh-CN"/>
        </w:rPr>
        <w:t>健全民营经济发展支持机制。</w:t>
      </w:r>
      <w:r>
        <w:rPr>
          <w:rFonts w:hint="default" w:ascii="Times New Roman" w:hAnsi="Times New Roman" w:cs="Times New Roman"/>
          <w:b w:val="0"/>
          <w:bCs w:val="0"/>
          <w:color w:val="auto"/>
          <w:highlight w:val="none"/>
          <w:lang w:val="en-US" w:eastAsia="zh-CN"/>
        </w:rPr>
        <w:t>坚持</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两个毫不动摇</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，落实民营经济促进法，依法保护民营企业和民营企业家合法权益，鼓励和支持民营企业发展壮大</w:t>
      </w:r>
      <w:r>
        <w:rPr>
          <w:rFonts w:hint="eastAsia" w:ascii="Times New Roman" w:hAnsi="Times New Roman" w:cs="Times New Roman"/>
          <w:b w:val="0"/>
          <w:bCs w:val="0"/>
          <w:color w:val="auto"/>
          <w:highlight w:val="none"/>
          <w:lang w:val="en-US" w:eastAsia="zh-CN"/>
        </w:rPr>
        <w:t>。</w:t>
      </w:r>
      <w:r>
        <w:rPr>
          <w:rFonts w:hint="eastAsia"/>
          <w:color w:val="auto"/>
          <w:highlight w:val="none"/>
          <w:lang w:val="en-US" w:eastAsia="zh-CN"/>
        </w:rPr>
        <w:t>健全“四上”企业培育和“个转企、小升规、规改股、股上市”长效机制，促进民营企业群体壮大、能级提升。持续开展清理拖欠企业账款专项行动，完善防范化解政府和国有企业拖欠中小企业账款的长效机制。加强民营经济制度建设，依法保护民营企业和企业家人身、财产合法权益。广泛听取民营企业和行业协会商会意见，完善支持政策直达快享、小微企业和个体工商户“免申即享”机制。</w:t>
      </w:r>
    </w:p>
    <w:p w14:paraId="18728F7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color w:val="auto"/>
          <w:highlight w:val="none"/>
          <w:lang w:val="en-US" w:eastAsia="zh-CN"/>
        </w:rPr>
      </w:pPr>
    </w:p>
    <w:p w14:paraId="4D8FCB86">
      <w:pPr>
        <w:pStyle w:val="4"/>
        <w:keepNext w:val="0"/>
        <w:keepLines w:val="0"/>
        <w:pageBreakBefore w:val="0"/>
        <w:shd w:val="clear"/>
        <w:kinsoku/>
        <w:wordWrap/>
        <w:overflowPunct/>
        <w:topLinePunct w:val="0"/>
        <w:bidi w:val="0"/>
        <w:spacing w:before="0" w:line="600" w:lineRule="exact"/>
        <w:rPr>
          <w:rFonts w:hint="default"/>
          <w:color w:val="auto"/>
          <w:highlight w:val="none"/>
          <w:lang w:val="en-US" w:eastAsia="zh-CN"/>
        </w:rPr>
      </w:pPr>
      <w:bookmarkStart w:id="802" w:name="_Toc7620"/>
      <w:bookmarkStart w:id="803" w:name="_Toc21440"/>
      <w:bookmarkStart w:id="804" w:name="_Toc29886"/>
      <w:bookmarkStart w:id="805" w:name="_Toc19230"/>
      <w:bookmarkStart w:id="806" w:name="_Toc16848"/>
      <w:bookmarkStart w:id="807" w:name="_Toc27843"/>
      <w:bookmarkStart w:id="808" w:name="_Toc9796"/>
      <w:bookmarkStart w:id="809" w:name="_Toc14734"/>
      <w:bookmarkStart w:id="810" w:name="_Toc6342"/>
      <w:bookmarkStart w:id="811" w:name="_Toc11536"/>
      <w:bookmarkStart w:id="812" w:name="_Toc12921"/>
      <w:bookmarkStart w:id="813" w:name="_Toc4681"/>
      <w:bookmarkStart w:id="814" w:name="_Toc5464"/>
      <w:bookmarkStart w:id="815" w:name="_Toc9628"/>
      <w:bookmarkStart w:id="816" w:name="_Toc24414"/>
      <w:bookmarkStart w:id="817" w:name="_Toc30191"/>
      <w:bookmarkStart w:id="818" w:name="_Toc8101"/>
      <w:bookmarkStart w:id="819" w:name="_Toc8133"/>
      <w:r>
        <w:rPr>
          <w:rFonts w:hint="eastAsia"/>
          <w:color w:val="auto"/>
          <w:highlight w:val="none"/>
          <w:lang w:val="en-US" w:eastAsia="zh-CN"/>
        </w:rPr>
        <w:t>第三节 深化营商环境</w:t>
      </w:r>
      <w:bookmarkEnd w:id="802"/>
      <w:bookmarkEnd w:id="803"/>
      <w:bookmarkEnd w:id="804"/>
      <w:r>
        <w:rPr>
          <w:rFonts w:hint="eastAsia"/>
          <w:color w:val="auto"/>
          <w:highlight w:val="none"/>
          <w:lang w:val="en-US" w:eastAsia="zh-CN"/>
        </w:rPr>
        <w:t>改革</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131EADA5">
      <w:pPr>
        <w:keepNext w:val="0"/>
        <w:keepLines w:val="0"/>
        <w:pageBreakBefore w:val="0"/>
        <w:widowControl/>
        <w:shd w:val="clear"/>
        <w:kinsoku/>
        <w:wordWrap/>
        <w:overflowPunct/>
        <w:topLinePunct w:val="0"/>
        <w:autoSpaceDE w:val="0"/>
        <w:autoSpaceDN w:val="0"/>
        <w:bidi w:val="0"/>
        <w:adjustRightInd w:val="0"/>
        <w:snapToGrid w:val="0"/>
        <w:spacing w:line="600" w:lineRule="exact"/>
        <w:textAlignment w:val="baseline"/>
        <w:rPr>
          <w:rFonts w:hint="eastAsia" w:ascii="Times New Roman" w:hAnsi="Times New Roman" w:cs="Times New Roman"/>
          <w:b/>
          <w:bCs/>
          <w:color w:val="auto"/>
          <w:highlight w:val="none"/>
          <w:lang w:val="en-US" w:eastAsia="zh-CN"/>
        </w:rPr>
      </w:pPr>
    </w:p>
    <w:p w14:paraId="609CED5C">
      <w:pPr>
        <w:keepNext w:val="0"/>
        <w:keepLines w:val="0"/>
        <w:pageBreakBefore w:val="0"/>
        <w:widowControl/>
        <w:shd w:val="clear"/>
        <w:kinsoku/>
        <w:wordWrap/>
        <w:overflowPunct/>
        <w:topLinePunct w:val="0"/>
        <w:autoSpaceDE w:val="0"/>
        <w:autoSpaceDN w:val="0"/>
        <w:bidi w:val="0"/>
        <w:adjustRightInd w:val="0"/>
        <w:snapToGrid w:val="0"/>
        <w:spacing w:line="600" w:lineRule="exact"/>
        <w:textAlignment w:val="baseline"/>
        <w:rPr>
          <w:rFonts w:hint="eastAsia"/>
          <w:color w:val="auto"/>
          <w:highlight w:val="none"/>
          <w:lang w:val="en-US" w:eastAsia="zh-CN"/>
        </w:rPr>
      </w:pPr>
      <w:r>
        <w:rPr>
          <w:rFonts w:hint="eastAsia" w:ascii="Times New Roman" w:hAnsi="Times New Roman" w:cs="Times New Roman"/>
          <w:b/>
          <w:bCs/>
          <w:color w:val="auto"/>
          <w:highlight w:val="none"/>
          <w:lang w:val="en-US" w:eastAsia="zh-CN"/>
        </w:rPr>
        <w:t>打造便捷高效政务环境。</w:t>
      </w:r>
      <w:r>
        <w:rPr>
          <w:rFonts w:hint="eastAsia"/>
          <w:color w:val="auto"/>
          <w:highlight w:val="none"/>
          <w:lang w:val="en-US" w:eastAsia="zh-CN"/>
        </w:rPr>
        <w:t>纵深推进“放管服”改革，加快政府职能转变，构建多层次、全覆盖的企业服务机制。全面深化“数字政府”改革，推动政务服务标准化、规范化、便利化。拓展“高效办成一件事”“跨域通办”等创新服务场景，优化升级“一门式一网式”服务体系。推广使用智慧政务平台，推动400项高频事项“免证办”，实现政务服务从“可用”向“好用”转变。</w:t>
      </w:r>
    </w:p>
    <w:p w14:paraId="7AA50122">
      <w:pPr>
        <w:keepNext w:val="0"/>
        <w:keepLines w:val="0"/>
        <w:pageBreakBefore w:val="0"/>
        <w:widowControl/>
        <w:shd w:val="clear"/>
        <w:kinsoku/>
        <w:wordWrap/>
        <w:overflowPunct/>
        <w:topLinePunct w:val="0"/>
        <w:autoSpaceDE w:val="0"/>
        <w:autoSpaceDN w:val="0"/>
        <w:bidi w:val="0"/>
        <w:adjustRightInd w:val="0"/>
        <w:snapToGrid w:val="0"/>
        <w:spacing w:line="600" w:lineRule="exact"/>
        <w:textAlignment w:val="baseline"/>
        <w:rPr>
          <w:rFonts w:hint="eastAsia"/>
          <w:color w:val="auto"/>
          <w:highlight w:val="none"/>
          <w:lang w:val="en-US" w:eastAsia="zh-CN"/>
        </w:rPr>
      </w:pPr>
      <w:r>
        <w:rPr>
          <w:rFonts w:hint="eastAsia" w:ascii="Times New Roman" w:hAnsi="Times New Roman" w:cs="Times New Roman"/>
          <w:b/>
          <w:bCs/>
          <w:color w:val="auto"/>
          <w:highlight w:val="none"/>
          <w:lang w:val="en-US" w:eastAsia="zh-CN"/>
        </w:rPr>
        <w:t>营造亲商暖商惠企环境。</w:t>
      </w:r>
      <w:r>
        <w:rPr>
          <w:rFonts w:hint="eastAsia"/>
          <w:color w:val="auto"/>
          <w:highlight w:val="none"/>
          <w:lang w:val="en-US" w:eastAsia="zh-CN"/>
        </w:rPr>
        <w:t>建立健全企业诉求快速响应和常态化政企沟通渠道，推动惠企政策精准推送、直达快享，做到“有呼必应，无事不扰”。着力降低企业制度性交易成本，在市场准入、要素获取等方面提供更多便利，营造尊重企业家、关爱企业的浓厚氛围，切实增强企业在浈江投资发展的信心和获得感。深入实施暖企行动、招商服务行动、帮办代办行动，全力打响“浈”心“浈”意、“浈”诚服务营商环境品牌，显著提升政务服务的便捷度与满意度。</w:t>
      </w:r>
    </w:p>
    <w:p w14:paraId="46E46683">
      <w:pPr>
        <w:keepNext w:val="0"/>
        <w:keepLines w:val="0"/>
        <w:pageBreakBefore w:val="0"/>
        <w:widowControl/>
        <w:shd w:val="clear"/>
        <w:kinsoku/>
        <w:wordWrap/>
        <w:overflowPunct/>
        <w:topLinePunct w:val="0"/>
        <w:autoSpaceDE w:val="0"/>
        <w:autoSpaceDN w:val="0"/>
        <w:bidi w:val="0"/>
        <w:adjustRightInd w:val="0"/>
        <w:snapToGrid w:val="0"/>
        <w:spacing w:line="600" w:lineRule="exact"/>
        <w:textAlignment w:val="baseline"/>
        <w:rPr>
          <w:rFonts w:hint="eastAsia"/>
          <w:color w:val="auto"/>
          <w:highlight w:val="none"/>
          <w:lang w:val="en-US" w:eastAsia="zh-CN"/>
        </w:rPr>
      </w:pPr>
      <w:r>
        <w:rPr>
          <w:rFonts w:hint="eastAsia" w:ascii="Times New Roman" w:hAnsi="Times New Roman" w:cs="Times New Roman"/>
          <w:b/>
          <w:bCs/>
          <w:color w:val="auto"/>
          <w:highlight w:val="none"/>
          <w:lang w:val="en-US" w:eastAsia="zh-CN"/>
        </w:rPr>
        <w:t>建设公平有序市场环境。</w:t>
      </w:r>
      <w:r>
        <w:rPr>
          <w:rFonts w:hint="eastAsia" w:cs="Times New Roman"/>
          <w:b w:val="0"/>
          <w:bCs w:val="0"/>
          <w:color w:val="auto"/>
          <w:highlight w:val="none"/>
          <w:lang w:val="en-US" w:eastAsia="zh-CN"/>
        </w:rPr>
        <w:t>纵深推进全国统一大市场建设，</w:t>
      </w:r>
      <w:r>
        <w:rPr>
          <w:rFonts w:hint="default" w:ascii="Times New Roman" w:hAnsi="Times New Roman" w:cs="Times New Roman"/>
          <w:color w:val="auto"/>
          <w:highlight w:val="none"/>
          <w:lang w:val="en-US" w:eastAsia="zh-CN"/>
        </w:rPr>
        <w:t>全面落实</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五统一、一开放</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基本要求，严格落实</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全国一张清单</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管理模式</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规范经济促进行为，清除要素获取、资质认定、招标投标、政府采购等方面壁垒，破除地方保护和市场分割。</w:t>
      </w:r>
      <w:r>
        <w:rPr>
          <w:rFonts w:hint="eastAsia"/>
          <w:color w:val="auto"/>
          <w:highlight w:val="none"/>
          <w:lang w:val="en-US" w:eastAsia="zh-CN"/>
        </w:rPr>
        <w:t>强化反垄断与公平竞争审查，维护良好的市场竞争秩序，激发各类市场主体活力，营造规范透明、充满活力的市场发展生态。</w:t>
      </w:r>
    </w:p>
    <w:p w14:paraId="5EC595D5">
      <w:pPr>
        <w:keepNext w:val="0"/>
        <w:keepLines w:val="0"/>
        <w:pageBreakBefore w:val="0"/>
        <w:widowControl/>
        <w:shd w:val="clear"/>
        <w:kinsoku/>
        <w:wordWrap/>
        <w:overflowPunct/>
        <w:topLinePunct w:val="0"/>
        <w:autoSpaceDE w:val="0"/>
        <w:autoSpaceDN w:val="0"/>
        <w:bidi w:val="0"/>
        <w:adjustRightInd w:val="0"/>
        <w:snapToGrid w:val="0"/>
        <w:spacing w:line="600" w:lineRule="exact"/>
        <w:textAlignment w:val="baseline"/>
        <w:rPr>
          <w:rFonts w:hint="eastAsia"/>
          <w:color w:val="auto"/>
          <w:highlight w:val="none"/>
          <w:lang w:val="en-US" w:eastAsia="zh-CN"/>
        </w:rPr>
        <w:sectPr>
          <w:pgSz w:w="11906" w:h="16839"/>
          <w:pgMar w:top="2098" w:right="1474" w:bottom="1984" w:left="1587" w:header="454" w:footer="1417" w:gutter="0"/>
          <w:pgNumType w:fmt="numberInDash"/>
          <w:cols w:space="720" w:num="1"/>
          <w:rtlGutter w:val="0"/>
        </w:sectPr>
      </w:pPr>
      <w:r>
        <w:rPr>
          <w:rFonts w:hint="eastAsia" w:ascii="Times New Roman" w:hAnsi="Times New Roman" w:cs="Times New Roman"/>
          <w:b/>
          <w:bCs/>
          <w:color w:val="auto"/>
          <w:highlight w:val="none"/>
          <w:lang w:val="en-US" w:eastAsia="zh-CN"/>
        </w:rPr>
        <w:t>构筑公平公正法治环境。</w:t>
      </w:r>
      <w:r>
        <w:rPr>
          <w:rFonts w:hint="eastAsia" w:cs="仿宋_GB2312"/>
          <w:color w:val="auto"/>
          <w:highlight w:val="none"/>
        </w:rPr>
        <w:t>全面推进社会信用体系建设，建立健全守信激励和失信惩戒机制，完善信用修复机制</w:t>
      </w:r>
      <w:r>
        <w:rPr>
          <w:rFonts w:hint="eastAsia" w:cs="仿宋_GB2312"/>
          <w:color w:val="auto"/>
          <w:highlight w:val="none"/>
          <w:lang w:eastAsia="zh-CN"/>
        </w:rPr>
        <w:t>。</w:t>
      </w:r>
      <w:r>
        <w:rPr>
          <w:rFonts w:hint="eastAsia"/>
          <w:color w:val="auto"/>
          <w:highlight w:val="none"/>
          <w:lang w:val="en-US" w:eastAsia="zh-CN"/>
        </w:rPr>
        <w:t>规范涉企行政检查行为，创新优化执法检查方式，积极推广联合检查。完善解决企业账款拖欠问题的长效机制，有效保护中小企业合法权益。加强知识产权保护，推进专利侵权纠纷行政裁决规范化建设，提升纠纷解决效率。通过稳定的政策预期和公正的监管执法，打造稳定、公平、透明、可预期的法治化营商环境。</w:t>
      </w:r>
    </w:p>
    <w:bookmarkEnd w:id="741"/>
    <w:bookmarkEnd w:id="742"/>
    <w:bookmarkEnd w:id="743"/>
    <w:bookmarkEnd w:id="744"/>
    <w:p w14:paraId="6D1896FB">
      <w:pPr>
        <w:pStyle w:val="3"/>
        <w:keepNext w:val="0"/>
        <w:keepLines w:val="0"/>
        <w:pageBreakBefore w:val="0"/>
        <w:widowControl/>
        <w:shd w:val="clear"/>
        <w:kinsoku/>
        <w:wordWrap/>
        <w:overflowPunct/>
        <w:topLinePunct w:val="0"/>
        <w:autoSpaceDE w:val="0"/>
        <w:autoSpaceDN w:val="0"/>
        <w:bidi w:val="0"/>
        <w:adjustRightInd w:val="0"/>
        <w:snapToGrid w:val="0"/>
        <w:spacing w:line="360" w:lineRule="auto"/>
        <w:ind w:left="-160" w:leftChars="-50" w:right="-160" w:rightChars="-50"/>
        <w:textAlignment w:val="baseline"/>
        <w:rPr>
          <w:rFonts w:hint="eastAsia"/>
          <w:color w:val="auto"/>
          <w:highlight w:val="none"/>
          <w:lang w:val="en-US" w:eastAsia="zh-CN"/>
        </w:rPr>
      </w:pPr>
      <w:bookmarkStart w:id="820" w:name="_Toc26423"/>
      <w:bookmarkStart w:id="821" w:name="_Toc28455"/>
      <w:bookmarkStart w:id="822" w:name="_Toc22674"/>
      <w:bookmarkStart w:id="823" w:name="_Toc21691"/>
      <w:bookmarkStart w:id="824" w:name="_Toc24067"/>
      <w:bookmarkStart w:id="825" w:name="_Toc9536"/>
      <w:bookmarkStart w:id="826" w:name="_Toc10994"/>
      <w:bookmarkStart w:id="827" w:name="_Toc5845"/>
      <w:bookmarkStart w:id="828" w:name="_Toc5547"/>
      <w:bookmarkStart w:id="829" w:name="_Toc18606"/>
      <w:bookmarkStart w:id="830" w:name="_Toc9437"/>
      <w:bookmarkStart w:id="831" w:name="_Toc5155"/>
      <w:bookmarkStart w:id="832" w:name="_Toc13760"/>
      <w:bookmarkStart w:id="833" w:name="_Toc15051"/>
      <w:bookmarkStart w:id="834" w:name="_Toc21981"/>
      <w:bookmarkStart w:id="835" w:name="_Toc31718"/>
      <w:bookmarkStart w:id="836" w:name="_Toc9779"/>
      <w:bookmarkStart w:id="837" w:name="_Toc6961"/>
      <w:r>
        <w:rPr>
          <w:rFonts w:hint="eastAsia"/>
          <w:color w:val="auto"/>
          <w:highlight w:val="none"/>
          <w:lang w:val="en-US" w:eastAsia="zh-CN"/>
        </w:rPr>
        <w:t xml:space="preserve">第九章 </w:t>
      </w:r>
      <w:bookmarkEnd w:id="820"/>
      <w:bookmarkEnd w:id="821"/>
      <w:bookmarkEnd w:id="822"/>
      <w:bookmarkEnd w:id="823"/>
      <w:bookmarkEnd w:id="824"/>
      <w:bookmarkEnd w:id="825"/>
      <w:bookmarkEnd w:id="826"/>
      <w:r>
        <w:rPr>
          <w:rFonts w:hint="eastAsia"/>
          <w:color w:val="auto"/>
          <w:highlight w:val="none"/>
          <w:lang w:val="en-US" w:eastAsia="zh-CN"/>
        </w:rPr>
        <w:t>践行项目为王理念，提升招商引资和项目建设能效</w:t>
      </w:r>
      <w:bookmarkEnd w:id="827"/>
      <w:bookmarkEnd w:id="828"/>
      <w:bookmarkEnd w:id="829"/>
      <w:bookmarkEnd w:id="830"/>
      <w:bookmarkEnd w:id="831"/>
      <w:bookmarkEnd w:id="832"/>
      <w:bookmarkEnd w:id="833"/>
      <w:bookmarkEnd w:id="834"/>
    </w:p>
    <w:p w14:paraId="42803BA4">
      <w:pPr>
        <w:shd w:val="clear"/>
        <w:kinsoku/>
        <w:bidi w:val="0"/>
        <w:rPr>
          <w:rFonts w:hint="eastAsia"/>
          <w:color w:val="auto"/>
          <w:highlight w:val="none"/>
          <w:lang w:val="en-US" w:eastAsia="zh-CN"/>
        </w:rPr>
      </w:pPr>
      <w:bookmarkStart w:id="838" w:name="_Toc6902"/>
      <w:bookmarkStart w:id="839" w:name="_Toc3979"/>
      <w:bookmarkStart w:id="840" w:name="_Toc11470"/>
      <w:bookmarkStart w:id="841" w:name="_Toc6781"/>
      <w:bookmarkStart w:id="842" w:name="_Toc31682"/>
      <w:bookmarkStart w:id="843" w:name="_Toc19199"/>
      <w:bookmarkStart w:id="844" w:name="_Toc7424"/>
      <w:bookmarkStart w:id="845" w:name="_Toc19955"/>
    </w:p>
    <w:p w14:paraId="1FF5EA64">
      <w:pPr>
        <w:shd w:val="clear"/>
        <w:kinsoku/>
        <w:bidi w:val="0"/>
        <w:rPr>
          <w:rFonts w:hint="eastAsia"/>
          <w:color w:val="auto"/>
          <w:highlight w:val="none"/>
          <w:lang w:val="en-US" w:eastAsia="zh-CN"/>
        </w:rPr>
      </w:pPr>
      <w:r>
        <w:rPr>
          <w:rFonts w:hint="eastAsia"/>
          <w:color w:val="auto"/>
          <w:highlight w:val="none"/>
          <w:lang w:val="en-US" w:eastAsia="zh-CN"/>
        </w:rPr>
        <w:t>牢固树立“项目为王”的鲜明导向，将招商引资和项目建设作为推动经济社会发展的主抓手和生命线，构建精准高效的招商体系、扩大优化有效投资、强化全要素保障，谋划实施</w:t>
      </w:r>
      <w:r>
        <w:rPr>
          <w:rFonts w:hint="default"/>
          <w:color w:val="auto"/>
          <w:highlight w:val="none"/>
          <w:lang w:val="en-US" w:eastAsia="zh-CN"/>
        </w:rPr>
        <w:t>一批全局性、战略性、基础性的重大项目</w:t>
      </w:r>
      <w:r>
        <w:rPr>
          <w:rFonts w:hint="eastAsia"/>
          <w:color w:val="auto"/>
          <w:highlight w:val="none"/>
          <w:lang w:val="en-US" w:eastAsia="zh-CN"/>
        </w:rPr>
        <w:t>，推动全区</w:t>
      </w:r>
      <w:r>
        <w:rPr>
          <w:rFonts w:hint="default"/>
          <w:color w:val="auto"/>
          <w:highlight w:val="none"/>
          <w:lang w:val="en-US" w:eastAsia="zh-CN"/>
        </w:rPr>
        <w:t>经济社会</w:t>
      </w:r>
      <w:r>
        <w:rPr>
          <w:rFonts w:hint="eastAsia"/>
          <w:color w:val="auto"/>
          <w:highlight w:val="none"/>
          <w:lang w:val="en-US" w:eastAsia="zh-CN"/>
        </w:rPr>
        <w:t>加快</w:t>
      </w:r>
      <w:r>
        <w:rPr>
          <w:rFonts w:hint="default"/>
          <w:color w:val="auto"/>
          <w:highlight w:val="none"/>
          <w:lang w:val="en-US" w:eastAsia="zh-CN"/>
        </w:rPr>
        <w:t>发展</w:t>
      </w:r>
      <w:r>
        <w:rPr>
          <w:rFonts w:hint="eastAsia"/>
          <w:color w:val="auto"/>
          <w:highlight w:val="none"/>
          <w:lang w:val="en-US" w:eastAsia="zh-CN"/>
        </w:rPr>
        <w:t>。</w:t>
      </w:r>
    </w:p>
    <w:p w14:paraId="3C9EBCFC">
      <w:pPr>
        <w:shd w:val="clear"/>
        <w:kinsoku/>
        <w:bidi w:val="0"/>
        <w:rPr>
          <w:rFonts w:hint="default"/>
          <w:color w:val="auto"/>
          <w:highlight w:val="none"/>
          <w:lang w:val="en-US" w:eastAsia="zh-CN"/>
        </w:rPr>
      </w:pPr>
    </w:p>
    <w:p w14:paraId="76E46A98">
      <w:pPr>
        <w:pStyle w:val="4"/>
        <w:keepNext w:val="0"/>
        <w:keepLines w:val="0"/>
        <w:pageBreakBefore w:val="0"/>
        <w:widowControl/>
        <w:shd w:val="clear"/>
        <w:kinsoku/>
        <w:wordWrap/>
        <w:overflowPunct/>
        <w:topLinePunct w:val="0"/>
        <w:autoSpaceDE/>
        <w:autoSpaceDN/>
        <w:bidi w:val="0"/>
        <w:adjustRightInd w:val="0"/>
        <w:snapToGrid w:val="0"/>
        <w:spacing w:line="560" w:lineRule="exact"/>
        <w:textAlignment w:val="auto"/>
        <w:rPr>
          <w:rFonts w:hint="eastAsia"/>
          <w:color w:val="auto"/>
          <w:highlight w:val="none"/>
          <w:lang w:val="en-US" w:eastAsia="zh-CN"/>
        </w:rPr>
      </w:pPr>
      <w:bookmarkStart w:id="846" w:name="_Toc26405"/>
      <w:bookmarkStart w:id="847" w:name="_Toc8012"/>
      <w:bookmarkStart w:id="848" w:name="_Toc6412"/>
      <w:bookmarkStart w:id="849" w:name="_Toc31155"/>
      <w:bookmarkStart w:id="850" w:name="_Toc10754"/>
      <w:bookmarkStart w:id="851" w:name="_Toc15644"/>
      <w:bookmarkStart w:id="852" w:name="_Toc32532"/>
      <w:r>
        <w:rPr>
          <w:rFonts w:hint="eastAsia"/>
          <w:color w:val="auto"/>
          <w:highlight w:val="none"/>
          <w:lang w:val="en-US" w:eastAsia="zh-CN"/>
        </w:rPr>
        <w:t>第一节 精准出击谋划招商</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78B783C8">
      <w:pPr>
        <w:keepNext w:val="0"/>
        <w:keepLines w:val="0"/>
        <w:pageBreakBefore w:val="0"/>
        <w:widowControl/>
        <w:shd w:val="clear"/>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b/>
          <w:bCs/>
          <w:color w:val="auto"/>
          <w:sz w:val="32"/>
          <w:szCs w:val="22"/>
          <w:highlight w:val="none"/>
          <w:lang w:eastAsia="zh-CN"/>
        </w:rPr>
      </w:pPr>
    </w:p>
    <w:p w14:paraId="537D0913">
      <w:pPr>
        <w:keepNext w:val="0"/>
        <w:keepLines w:val="0"/>
        <w:pageBreakBefore w:val="0"/>
        <w:widowControl/>
        <w:shd w:val="clear"/>
        <w:kinsoku/>
        <w:wordWrap/>
        <w:overflowPunct/>
        <w:topLinePunct w:val="0"/>
        <w:autoSpaceDE/>
        <w:autoSpaceDN/>
        <w:bidi w:val="0"/>
        <w:adjustRightInd w:val="0"/>
        <w:snapToGrid w:val="0"/>
        <w:spacing w:line="560" w:lineRule="exact"/>
        <w:textAlignment w:val="baseline"/>
        <w:rPr>
          <w:rFonts w:hint="eastAsia"/>
          <w:color w:val="auto"/>
          <w:highlight w:val="none"/>
          <w:lang w:val="en-US" w:eastAsia="zh-CN"/>
        </w:rPr>
      </w:pPr>
      <w:r>
        <w:rPr>
          <w:rFonts w:hint="eastAsia" w:ascii="仿宋_GB2312" w:hAnsi="仿宋_GB2312" w:eastAsia="仿宋_GB2312" w:cs="仿宋_GB2312"/>
          <w:b/>
          <w:bCs/>
          <w:color w:val="auto"/>
          <w:sz w:val="32"/>
          <w:szCs w:val="22"/>
          <w:highlight w:val="none"/>
          <w:lang w:eastAsia="zh-CN"/>
        </w:rPr>
        <w:t>瞄准重点区域</w:t>
      </w:r>
      <w:r>
        <w:rPr>
          <w:rFonts w:hint="eastAsia" w:ascii="仿宋_GB2312" w:hAnsi="仿宋_GB2312" w:cs="仿宋_GB2312"/>
          <w:b/>
          <w:bCs/>
          <w:color w:val="auto"/>
          <w:sz w:val="32"/>
          <w:szCs w:val="22"/>
          <w:highlight w:val="none"/>
          <w:lang w:val="en-US" w:eastAsia="zh-CN"/>
        </w:rPr>
        <w:t>和产业链</w:t>
      </w:r>
      <w:r>
        <w:rPr>
          <w:rFonts w:hint="eastAsia" w:ascii="仿宋_GB2312" w:hAnsi="仿宋_GB2312" w:eastAsia="仿宋_GB2312" w:cs="仿宋_GB2312"/>
          <w:b/>
          <w:bCs/>
          <w:color w:val="auto"/>
          <w:sz w:val="32"/>
          <w:szCs w:val="22"/>
          <w:highlight w:val="none"/>
          <w:lang w:eastAsia="zh-CN"/>
        </w:rPr>
        <w:t>开展靶向招商</w:t>
      </w:r>
      <w:r>
        <w:rPr>
          <w:rFonts w:hint="eastAsia" w:ascii="仿宋_GB2312" w:hAnsi="仿宋_GB2312" w:cs="仿宋_GB2312"/>
          <w:b/>
          <w:bCs/>
          <w:color w:val="auto"/>
          <w:sz w:val="32"/>
          <w:szCs w:val="22"/>
          <w:highlight w:val="none"/>
          <w:lang w:eastAsia="zh-CN"/>
        </w:rPr>
        <w:t>。</w:t>
      </w:r>
      <w:r>
        <w:rPr>
          <w:rFonts w:hint="eastAsia" w:ascii="仿宋_GB2312" w:hAnsi="仿宋_GB2312" w:cs="仿宋_GB2312"/>
          <w:b w:val="0"/>
          <w:bCs w:val="0"/>
          <w:color w:val="auto"/>
          <w:sz w:val="32"/>
          <w:szCs w:val="22"/>
          <w:highlight w:val="none"/>
          <w:lang w:val="en-US" w:eastAsia="zh-CN"/>
        </w:rPr>
        <w:t>健全招商引资工作机制，高位推进招商引资工作。</w:t>
      </w:r>
      <w:r>
        <w:rPr>
          <w:rFonts w:hint="eastAsia" w:ascii="仿宋_GB2312" w:hAnsi="仿宋_GB2312" w:cs="仿宋_GB2312"/>
          <w:color w:val="auto"/>
          <w:sz w:val="32"/>
          <w:szCs w:val="22"/>
          <w:highlight w:val="none"/>
          <w:lang w:val="en-US" w:eastAsia="zh-CN"/>
        </w:rPr>
        <w:t>瞄</w:t>
      </w:r>
      <w:r>
        <w:rPr>
          <w:rFonts w:hint="eastAsia" w:ascii="仿宋_GB2312" w:hAnsi="仿宋_GB2312" w:eastAsia="仿宋_GB2312" w:cs="仿宋_GB2312"/>
          <w:color w:val="auto"/>
          <w:sz w:val="32"/>
          <w:szCs w:val="22"/>
          <w:highlight w:val="none"/>
          <w:lang w:eastAsia="zh-CN"/>
        </w:rPr>
        <w:t>准</w:t>
      </w:r>
      <w:r>
        <w:rPr>
          <w:rFonts w:hint="eastAsia" w:ascii="仿宋_GB2312" w:hAnsi="仿宋_GB2312" w:cs="仿宋_GB2312"/>
          <w:color w:val="auto"/>
          <w:sz w:val="32"/>
          <w:szCs w:val="22"/>
          <w:highlight w:val="none"/>
          <w:lang w:val="en-US" w:eastAsia="zh-CN"/>
        </w:rPr>
        <w:t>粤港澳</w:t>
      </w:r>
      <w:r>
        <w:rPr>
          <w:rFonts w:hint="eastAsia" w:ascii="仿宋_GB2312" w:hAnsi="仿宋_GB2312" w:eastAsia="仿宋_GB2312" w:cs="仿宋_GB2312"/>
          <w:color w:val="auto"/>
          <w:sz w:val="32"/>
          <w:szCs w:val="22"/>
          <w:highlight w:val="none"/>
          <w:lang w:eastAsia="zh-CN"/>
        </w:rPr>
        <w:t>、长三角、京津冀等重点区域，开展“大招商、招大商”，着力引进一批带动性强的优质项目。</w:t>
      </w:r>
      <w:r>
        <w:rPr>
          <w:rFonts w:hint="eastAsia"/>
          <w:color w:val="auto"/>
          <w:highlight w:val="none"/>
          <w:lang w:val="en-US" w:eastAsia="zh-CN"/>
        </w:rPr>
        <w:t>统筹全区招商资源与项目布局，围绕全区招商产业链，发挥大数据产业集群和韶冶、比亚迪等龙头企业优势，开展先进装备制造、新能源电力、有色金属新材料等产业链精准招商。制定差异化招商引资政策，对重大产业项目实行“一事一议”。大力引进头部企业、终端品牌和单项冠军企业，推动主导产业成链集群、规模能级跃升。</w:t>
      </w:r>
    </w:p>
    <w:p w14:paraId="2B8EE892">
      <w:pPr>
        <w:kinsoku/>
        <w:rPr>
          <w:rFonts w:hint="eastAsia"/>
          <w:color w:val="auto"/>
          <w:highlight w:val="none"/>
          <w:lang w:val="en-US" w:eastAsia="zh-CN"/>
        </w:rPr>
      </w:pPr>
      <w:r>
        <w:rPr>
          <w:rFonts w:hint="eastAsia" w:ascii="Times New Roman" w:hAnsi="Times New Roman" w:cs="Times New Roman"/>
          <w:b/>
          <w:bCs/>
          <w:color w:val="auto"/>
          <w:highlight w:val="none"/>
          <w:lang w:val="en-US" w:eastAsia="zh-CN"/>
        </w:rPr>
        <w:t>优化招商引资全周期服务管理。</w:t>
      </w:r>
      <w:r>
        <w:rPr>
          <w:rFonts w:hint="eastAsia"/>
          <w:color w:val="auto"/>
          <w:highlight w:val="none"/>
          <w:lang w:val="en-US" w:eastAsia="zh-CN"/>
        </w:rPr>
        <w:t>建设数字化招商平台，实现项目信息管理、政策智能匹配、进度实时跟踪等功能。强化招商引资项目全周期管理，落实好企业“安家计划”，加快与大湾区体制机制接轨，推行“拿地即动工”。完善招商引资重点项目帮办代办制度和部门间协调联动机制，实施并联审批、容缺预审、代办集成服务，提供“店小二”式服务，确保项目快落地、早见效。畅通企业家沟通制度，定期与重点企业面对面交流。聘请优秀企业家作为招商顾问，推行“以商招商”。探索“飞地招商”模式，在粤港澳大湾区设立招商联络处。建立招商项目评估机制，提高招商质量与效益。</w:t>
      </w:r>
    </w:p>
    <w:p w14:paraId="21D5353F">
      <w:pPr>
        <w:kinsoku/>
        <w:rPr>
          <w:rFonts w:hint="eastAsia"/>
          <w:color w:val="auto"/>
          <w:highlight w:val="none"/>
          <w:lang w:val="en-US" w:eastAsia="zh-CN"/>
        </w:rPr>
      </w:pPr>
    </w:p>
    <w:p w14:paraId="245AC350">
      <w:pPr>
        <w:pStyle w:val="4"/>
        <w:shd w:val="clear"/>
        <w:kinsoku/>
        <w:bidi w:val="0"/>
        <w:rPr>
          <w:rFonts w:hint="eastAsia"/>
          <w:b w:val="0"/>
          <w:bCs w:val="0"/>
          <w:color w:val="auto"/>
          <w:highlight w:val="none"/>
          <w:lang w:val="en-US" w:eastAsia="zh-CN"/>
        </w:rPr>
      </w:pPr>
      <w:bookmarkStart w:id="853" w:name="_Toc27887"/>
      <w:bookmarkStart w:id="854" w:name="_Toc19346"/>
      <w:bookmarkStart w:id="855" w:name="_Toc2137"/>
      <w:bookmarkStart w:id="856" w:name="_Toc32043"/>
      <w:bookmarkStart w:id="857" w:name="_Toc21596"/>
      <w:bookmarkStart w:id="858" w:name="_Toc18176"/>
      <w:bookmarkStart w:id="859" w:name="_Toc22765"/>
      <w:bookmarkStart w:id="860" w:name="_Toc6353"/>
      <w:bookmarkStart w:id="861" w:name="_Toc22724"/>
      <w:bookmarkStart w:id="862" w:name="_Toc25642"/>
      <w:bookmarkStart w:id="863" w:name="_Toc21549"/>
      <w:bookmarkStart w:id="864" w:name="_Toc17577"/>
      <w:bookmarkStart w:id="865" w:name="_Toc4795"/>
      <w:bookmarkStart w:id="866" w:name="_Toc9420"/>
      <w:bookmarkStart w:id="867" w:name="_Toc13975"/>
      <w:r>
        <w:rPr>
          <w:rFonts w:hint="eastAsia"/>
          <w:b w:val="0"/>
          <w:bCs w:val="0"/>
          <w:color w:val="auto"/>
          <w:highlight w:val="none"/>
          <w:lang w:val="en-US" w:eastAsia="zh-CN"/>
        </w:rPr>
        <w:t>第二节 积极扩大有效投资</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102EB7E9">
      <w:pPr>
        <w:kinsoku/>
        <w:ind w:firstLine="643"/>
        <w:rPr>
          <w:rFonts w:hint="eastAsia" w:cs="Times New Roman"/>
          <w:b/>
          <w:bCs/>
          <w:color w:val="auto"/>
          <w:highlight w:val="none"/>
          <w:lang w:val="en-US" w:eastAsia="zh-CN"/>
        </w:rPr>
      </w:pPr>
    </w:p>
    <w:p w14:paraId="1DBD33BC">
      <w:pPr>
        <w:kinsoku/>
        <w:ind w:firstLine="643"/>
        <w:rPr>
          <w:rFonts w:hint="eastAsia" w:cs="仿宋_GB2312"/>
          <w:color w:val="auto"/>
          <w:highlight w:val="none"/>
          <w:lang w:val="en-US" w:eastAsia="zh-CN"/>
        </w:rPr>
      </w:pPr>
      <w:r>
        <w:rPr>
          <w:rFonts w:hint="eastAsia" w:cs="Times New Roman"/>
          <w:b/>
          <w:bCs/>
          <w:color w:val="auto"/>
          <w:highlight w:val="none"/>
          <w:lang w:val="en-US" w:eastAsia="zh-CN"/>
        </w:rPr>
        <w:t>加强重点项目投资管理</w:t>
      </w:r>
      <w:r>
        <w:rPr>
          <w:rFonts w:hint="eastAsia" w:ascii="Times New Roman" w:hAnsi="Times New Roman" w:cs="Times New Roman"/>
          <w:b/>
          <w:bCs/>
          <w:color w:val="auto"/>
          <w:highlight w:val="none"/>
          <w:lang w:val="en-US" w:eastAsia="zh-CN"/>
        </w:rPr>
        <w:t>。</w:t>
      </w:r>
      <w:r>
        <w:rPr>
          <w:rFonts w:hint="eastAsia"/>
          <w:color w:val="auto"/>
          <w:highlight w:val="none"/>
          <w:lang w:val="en-US" w:eastAsia="zh-CN"/>
        </w:rPr>
        <w:t>编制政府年度投资计划，完善政府投资项目管理规定，实行政府投资项目全生命周期监管。建立全社会重点项目储备库，</w:t>
      </w:r>
      <w:r>
        <w:rPr>
          <w:rFonts w:hint="eastAsia" w:cs="仿宋_GB2312"/>
          <w:color w:val="auto"/>
          <w:highlight w:val="none"/>
        </w:rPr>
        <w:t>集中精力谋划一批功能型、格局型、枢纽型的大项目好项目，形成</w:t>
      </w:r>
      <w:r>
        <w:rPr>
          <w:rFonts w:hint="eastAsia" w:cs="仿宋_GB2312"/>
          <w:color w:val="auto"/>
          <w:highlight w:val="none"/>
          <w:lang w:eastAsia="zh-CN"/>
        </w:rPr>
        <w:t>“</w:t>
      </w:r>
      <w:r>
        <w:rPr>
          <w:rFonts w:hint="eastAsia" w:cs="仿宋_GB2312"/>
          <w:color w:val="auto"/>
          <w:highlight w:val="none"/>
        </w:rPr>
        <w:t>谋划一批、储备一批、开工一批、建设一批、竣工一批</w:t>
      </w:r>
      <w:r>
        <w:rPr>
          <w:rFonts w:hint="eastAsia" w:cs="仿宋_GB2312"/>
          <w:color w:val="auto"/>
          <w:highlight w:val="none"/>
          <w:lang w:eastAsia="zh-CN"/>
        </w:rPr>
        <w:t>”</w:t>
      </w:r>
      <w:r>
        <w:rPr>
          <w:rFonts w:hint="eastAsia" w:cs="仿宋_GB2312"/>
          <w:color w:val="auto"/>
          <w:highlight w:val="none"/>
        </w:rPr>
        <w:t>项目推进格局</w:t>
      </w:r>
      <w:r>
        <w:rPr>
          <w:rFonts w:hint="eastAsia" w:cs="仿宋_GB2312"/>
          <w:color w:val="auto"/>
          <w:highlight w:val="none"/>
          <w:lang w:eastAsia="zh-CN"/>
        </w:rPr>
        <w:t>。</w:t>
      </w:r>
      <w:r>
        <w:rPr>
          <w:rFonts w:hint="eastAsia" w:cs="仿宋_GB2312"/>
          <w:color w:val="auto"/>
          <w:highlight w:val="none"/>
          <w:lang w:val="en-US" w:eastAsia="zh-CN"/>
        </w:rPr>
        <w:t>“十五五”期间安排重点项目104个，总投资905.85亿元，“十五五”期间计划投资549.72亿元，其中，基础设施工程投资项目40个，投资250.91亿元，“十五五”期间计划投资163.49亿元；产业工程投资项目36个，投资589.47亿元，“十五五”期间计划投资339.86亿元；民生工程投资项目28个，投资65.48亿元，“十五五”期间计划投资46.37亿元。</w:t>
      </w:r>
    </w:p>
    <w:p w14:paraId="63982C82">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聚焦重点领域扩大有效投资</w:t>
      </w:r>
      <w:r>
        <w:rPr>
          <w:rFonts w:hint="eastAsia" w:cs="Times New Roman"/>
          <w:b/>
          <w:bCs/>
          <w:color w:val="auto"/>
          <w:highlight w:val="none"/>
          <w:lang w:val="en-US" w:eastAsia="zh-CN"/>
        </w:rPr>
        <w:t>。</w:t>
      </w:r>
      <w:r>
        <w:rPr>
          <w:rFonts w:hint="eastAsia"/>
          <w:color w:val="auto"/>
          <w:highlight w:val="none"/>
          <w:lang w:val="en-US" w:eastAsia="zh-CN"/>
        </w:rPr>
        <w:t>坚持投新、投缺、投基础、投长远，加大对产业升级、城市更新、民生保障等方向的投资力度。健全政府投资有效带动社会投资体制机制，规范实施政府和社会资本合作新机制，鼓励民营企业积极参与“两重”“两新”实施，推进面向民间资本的基础设施、公共服务、特许经营新建、改扩建等项目，拓展多元投资渠道。适应人口结构变化和流动趋势，完善基础设施和公共服务设施布局。</w:t>
      </w:r>
    </w:p>
    <w:p w14:paraId="17723631">
      <w:pPr>
        <w:shd w:val="clear"/>
        <w:kinsoku/>
        <w:bidi w:val="0"/>
        <w:rPr>
          <w:rFonts w:hint="default"/>
          <w:color w:val="auto"/>
          <w:highlight w:val="none"/>
          <w:lang w:val="en-US" w:eastAsia="zh-CN"/>
        </w:rPr>
      </w:pPr>
    </w:p>
    <w:p w14:paraId="56D44C88">
      <w:pPr>
        <w:pStyle w:val="4"/>
        <w:keepNext w:val="0"/>
        <w:keepLines w:val="0"/>
        <w:pageBreakBefore w:val="0"/>
        <w:shd w:val="clear"/>
        <w:kinsoku/>
        <w:wordWrap/>
        <w:overflowPunct/>
        <w:topLinePunct w:val="0"/>
        <w:bidi w:val="0"/>
        <w:spacing w:before="0" w:line="600" w:lineRule="exact"/>
        <w:rPr>
          <w:rFonts w:hint="eastAsia"/>
          <w:b w:val="0"/>
          <w:bCs w:val="0"/>
          <w:color w:val="auto"/>
          <w:highlight w:val="none"/>
          <w:lang w:val="en-US" w:eastAsia="zh-CN"/>
        </w:rPr>
      </w:pPr>
      <w:bookmarkStart w:id="868" w:name="_Toc5805"/>
      <w:bookmarkStart w:id="869" w:name="_Toc17107"/>
      <w:bookmarkStart w:id="870" w:name="_Toc3957"/>
      <w:bookmarkStart w:id="871" w:name="_Toc15842"/>
      <w:bookmarkStart w:id="872" w:name="_Toc29710"/>
      <w:bookmarkStart w:id="873" w:name="_Toc6186"/>
      <w:bookmarkStart w:id="874" w:name="_Toc6236"/>
      <w:bookmarkStart w:id="875" w:name="_Toc23470"/>
      <w:bookmarkStart w:id="876" w:name="_Toc27498"/>
      <w:bookmarkStart w:id="877" w:name="_Toc10083"/>
      <w:bookmarkStart w:id="878" w:name="_Toc2134"/>
      <w:bookmarkStart w:id="879" w:name="_Toc13013"/>
      <w:bookmarkStart w:id="880" w:name="_Toc26037"/>
      <w:bookmarkStart w:id="881" w:name="_Toc30905"/>
      <w:bookmarkStart w:id="882" w:name="_Toc11852"/>
      <w:r>
        <w:rPr>
          <w:rFonts w:hint="eastAsia"/>
          <w:b w:val="0"/>
          <w:bCs w:val="0"/>
          <w:color w:val="auto"/>
          <w:highlight w:val="none"/>
          <w:lang w:val="en-US" w:eastAsia="zh-CN"/>
        </w:rPr>
        <w:t>第三节 加强投资要素保障</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2C67BCB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BatangChe" w:hAnsi="BatangChe" w:eastAsia="仿宋_GB2312" w:cs="仿宋_GB2312"/>
          <w:b/>
          <w:bCs/>
          <w:snapToGrid/>
          <w:color w:val="auto"/>
          <w:kern w:val="2"/>
          <w:sz w:val="32"/>
          <w:szCs w:val="32"/>
          <w:highlight w:val="none"/>
          <w:lang w:val="en-US" w:eastAsia="zh-CN"/>
        </w:rPr>
      </w:pPr>
    </w:p>
    <w:p w14:paraId="0BC0D1C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auto"/>
        <w:rPr>
          <w:rFonts w:hint="eastAsia" w:ascii="BatangChe" w:hAnsi="BatangChe" w:eastAsia="仿宋_GB2312" w:cs="仿宋_GB2312"/>
          <w:b w:val="0"/>
          <w:bCs w:val="0"/>
          <w:snapToGrid/>
          <w:color w:val="auto"/>
          <w:kern w:val="2"/>
          <w:sz w:val="32"/>
          <w:szCs w:val="32"/>
          <w:highlight w:val="none"/>
          <w:lang w:val="en-US" w:eastAsia="zh-CN"/>
        </w:rPr>
      </w:pPr>
      <w:r>
        <w:rPr>
          <w:rFonts w:hint="eastAsia" w:ascii="BatangChe" w:hAnsi="BatangChe" w:eastAsia="仿宋_GB2312" w:cs="仿宋_GB2312"/>
          <w:b/>
          <w:bCs/>
          <w:snapToGrid/>
          <w:color w:val="auto"/>
          <w:kern w:val="2"/>
          <w:sz w:val="32"/>
          <w:szCs w:val="32"/>
          <w:highlight w:val="none"/>
          <w:lang w:val="en-US" w:eastAsia="zh-CN"/>
        </w:rPr>
        <w:t>创新土地优化空间配置。</w:t>
      </w:r>
      <w:r>
        <w:rPr>
          <w:rFonts w:hint="eastAsia" w:ascii="BatangChe" w:hAnsi="BatangChe" w:eastAsia="仿宋_GB2312" w:cs="仿宋_GB2312"/>
          <w:snapToGrid/>
          <w:color w:val="auto"/>
          <w:kern w:val="2"/>
          <w:sz w:val="32"/>
          <w:szCs w:val="32"/>
          <w:highlight w:val="none"/>
          <w:lang w:val="en-US" w:eastAsia="zh-CN"/>
        </w:rPr>
        <w:t>严格落实耕地保护与占补平衡制度，引导土地经营权有序流转。深入实施全域土</w:t>
      </w:r>
      <w:r>
        <w:rPr>
          <w:rFonts w:hint="eastAsia" w:ascii="BatangChe" w:hAnsi="BatangChe" w:eastAsia="仿宋_GB2312" w:cs="仿宋_GB2312"/>
          <w:b w:val="0"/>
          <w:bCs w:val="0"/>
          <w:snapToGrid/>
          <w:color w:val="auto"/>
          <w:kern w:val="2"/>
          <w:sz w:val="32"/>
          <w:szCs w:val="32"/>
          <w:highlight w:val="none"/>
          <w:lang w:val="en-US" w:eastAsia="zh-CN"/>
        </w:rPr>
        <w:t>地综合整治，推进农用地整治，保障乡村振兴用地，统筹推进城镇低效用地整治，优先向新质生产力、先进制造业等主导产业、重大战略、重大平台、重大项目倾斜</w:t>
      </w:r>
      <w:r>
        <w:rPr>
          <w:rFonts w:hint="eastAsia" w:ascii="BatangChe" w:hAnsi="BatangChe" w:cs="仿宋_GB2312"/>
          <w:b w:val="0"/>
          <w:bCs w:val="0"/>
          <w:snapToGrid/>
          <w:color w:val="auto"/>
          <w:kern w:val="2"/>
          <w:sz w:val="32"/>
          <w:szCs w:val="32"/>
          <w:highlight w:val="none"/>
          <w:lang w:val="en-US" w:eastAsia="zh-CN"/>
        </w:rPr>
        <w:t>，</w:t>
      </w:r>
      <w:r>
        <w:rPr>
          <w:rFonts w:hint="eastAsia" w:ascii="BatangChe" w:hAnsi="BatangChe" w:eastAsia="仿宋_GB2312" w:cs="仿宋_GB2312"/>
          <w:b w:val="0"/>
          <w:bCs w:val="0"/>
          <w:snapToGrid/>
          <w:color w:val="auto"/>
          <w:kern w:val="2"/>
          <w:sz w:val="32"/>
          <w:szCs w:val="32"/>
          <w:highlight w:val="none"/>
          <w:lang w:val="en-US" w:eastAsia="zh-CN"/>
        </w:rPr>
        <w:t>落实新增城镇建设用地指标配置同常住人口增长协调机制。</w:t>
      </w:r>
    </w:p>
    <w:p w14:paraId="76FC499A">
      <w:pPr>
        <w:widowControl w:val="0"/>
        <w:kinsoku/>
        <w:adjustRightInd/>
        <w:snapToGrid/>
        <w:spacing w:line="600" w:lineRule="exact"/>
        <w:ind w:firstLine="643"/>
        <w:textAlignment w:val="auto"/>
        <w:rPr>
          <w:rFonts w:hint="eastAsia"/>
          <w:color w:val="auto"/>
          <w:highlight w:val="none"/>
          <w:lang w:val="en-US" w:eastAsia="zh-CN"/>
        </w:rPr>
        <w:sectPr>
          <w:pgSz w:w="11906" w:h="16839"/>
          <w:pgMar w:top="2098" w:right="1474" w:bottom="1984" w:left="1587" w:header="454" w:footer="1417" w:gutter="0"/>
          <w:pgNumType w:fmt="numberInDash"/>
          <w:cols w:space="720" w:num="1"/>
          <w:rtlGutter w:val="0"/>
        </w:sectPr>
      </w:pPr>
      <w:r>
        <w:rPr>
          <w:rFonts w:hint="eastAsia" w:ascii="BatangChe" w:hAnsi="BatangChe" w:eastAsia="仿宋_GB2312" w:cs="仿宋_GB2312"/>
          <w:b/>
          <w:bCs/>
          <w:snapToGrid/>
          <w:color w:val="auto"/>
          <w:kern w:val="2"/>
          <w:sz w:val="32"/>
          <w:szCs w:val="32"/>
          <w:highlight w:val="none"/>
          <w:lang w:val="en-US" w:eastAsia="zh-CN"/>
        </w:rPr>
        <w:t>强化多元资金要素保障。</w:t>
      </w:r>
      <w:r>
        <w:rPr>
          <w:rFonts w:hint="eastAsia" w:cs="仿宋_GB2312"/>
          <w:color w:val="auto"/>
          <w:highlight w:val="none"/>
        </w:rPr>
        <w:t>积极争取</w:t>
      </w:r>
      <w:r>
        <w:rPr>
          <w:rFonts w:hint="eastAsia" w:cs="仿宋_GB2312"/>
          <w:color w:val="auto"/>
          <w:highlight w:val="none"/>
          <w:lang w:eastAsia="zh-CN"/>
        </w:rPr>
        <w:t>“</w:t>
      </w:r>
      <w:r>
        <w:rPr>
          <w:rFonts w:hint="eastAsia" w:cs="仿宋_GB2312"/>
          <w:color w:val="auto"/>
          <w:highlight w:val="none"/>
        </w:rPr>
        <w:t>两重</w:t>
      </w:r>
      <w:r>
        <w:rPr>
          <w:rFonts w:hint="eastAsia" w:cs="仿宋_GB2312"/>
          <w:color w:val="auto"/>
          <w:highlight w:val="none"/>
          <w:lang w:eastAsia="zh-CN"/>
        </w:rPr>
        <w:t>”“</w:t>
      </w:r>
      <w:r>
        <w:rPr>
          <w:rFonts w:hint="eastAsia" w:cs="仿宋_GB2312"/>
          <w:color w:val="auto"/>
          <w:highlight w:val="none"/>
        </w:rPr>
        <w:t>两新</w:t>
      </w:r>
      <w:r>
        <w:rPr>
          <w:rFonts w:hint="eastAsia" w:cs="仿宋_GB2312"/>
          <w:color w:val="auto"/>
          <w:highlight w:val="none"/>
          <w:lang w:eastAsia="zh-CN"/>
        </w:rPr>
        <w:t>”</w:t>
      </w:r>
      <w:r>
        <w:rPr>
          <w:rFonts w:hint="eastAsia" w:cs="仿宋_GB2312"/>
          <w:color w:val="auto"/>
          <w:highlight w:val="none"/>
        </w:rPr>
        <w:t>超长期特别国债、中央预算内投资、政策性金融工具等资金，精准策划、储备、申报项目</w:t>
      </w:r>
      <w:r>
        <w:rPr>
          <w:rFonts w:hint="eastAsia" w:cs="仿宋_GB2312"/>
          <w:color w:val="auto"/>
          <w:highlight w:val="none"/>
          <w:lang w:eastAsia="zh-CN"/>
        </w:rPr>
        <w:t>。</w:t>
      </w:r>
      <w:r>
        <w:rPr>
          <w:rFonts w:hint="eastAsia" w:ascii="Times New Roman" w:hAnsi="Times New Roman" w:eastAsia="仿宋_GB2312" w:cs="仿宋_GB2312"/>
          <w:color w:val="auto"/>
          <w:sz w:val="32"/>
          <w:szCs w:val="32"/>
          <w:highlight w:val="none"/>
          <w:lang w:eastAsia="zh-CN"/>
        </w:rPr>
        <w:t>用好</w:t>
      </w:r>
      <w:r>
        <w:rPr>
          <w:rFonts w:hint="eastAsia" w:cs="仿宋_GB2312"/>
          <w:color w:val="auto"/>
          <w:sz w:val="32"/>
          <w:szCs w:val="32"/>
          <w:highlight w:val="none"/>
          <w:lang w:eastAsia="zh-CN"/>
        </w:rPr>
        <w:t>省</w:t>
      </w:r>
      <w:r>
        <w:rPr>
          <w:rFonts w:hint="eastAsia" w:ascii="Times New Roman" w:hAnsi="Times New Roman" w:eastAsia="仿宋_GB2312" w:cs="仿宋_GB2312"/>
          <w:color w:val="auto"/>
          <w:sz w:val="32"/>
          <w:szCs w:val="32"/>
          <w:highlight w:val="none"/>
          <w:lang w:eastAsia="zh-CN"/>
        </w:rPr>
        <w:t>专项债券项目“自审自发”试点政策，支持国企依法合规承接专项债券用作项目资本金和建设资金，加强投债贷联动。推进财政资金“补改投”改革，聚焦现代农业产业、农村生活污水治理等领域打造一批</w:t>
      </w:r>
      <w:r>
        <w:rPr>
          <w:rFonts w:hint="eastAsia" w:cs="仿宋_GB2312"/>
          <w:color w:val="auto"/>
          <w:sz w:val="32"/>
          <w:szCs w:val="32"/>
          <w:highlight w:val="none"/>
          <w:lang w:eastAsia="zh-CN"/>
        </w:rPr>
        <w:t>优质</w:t>
      </w:r>
      <w:r>
        <w:rPr>
          <w:rFonts w:hint="eastAsia" w:ascii="Times New Roman" w:hAnsi="Times New Roman" w:eastAsia="仿宋_GB2312" w:cs="仿宋_GB2312"/>
          <w:color w:val="auto"/>
          <w:sz w:val="32"/>
          <w:szCs w:val="32"/>
          <w:highlight w:val="none"/>
          <w:lang w:eastAsia="zh-CN"/>
        </w:rPr>
        <w:t>项目。</w:t>
      </w:r>
      <w:r>
        <w:rPr>
          <w:rFonts w:hint="eastAsia" w:cs="仿宋_GB2312"/>
          <w:color w:val="auto"/>
          <w:highlight w:val="none"/>
          <w:lang w:val="en-US" w:eastAsia="zh-CN"/>
        </w:rPr>
        <w:t>强化银企对接</w:t>
      </w:r>
      <w:r>
        <w:rPr>
          <w:rFonts w:hint="eastAsia" w:cs="仿宋_GB2312"/>
          <w:color w:val="auto"/>
          <w:highlight w:val="none"/>
        </w:rPr>
        <w:t>，</w:t>
      </w:r>
      <w:r>
        <w:rPr>
          <w:rFonts w:hint="eastAsia" w:ascii="BatangChe" w:hAnsi="BatangChe" w:eastAsia="仿宋_GB2312" w:cs="仿宋_GB2312"/>
          <w:snapToGrid/>
          <w:color w:val="auto"/>
          <w:kern w:val="2"/>
          <w:sz w:val="32"/>
          <w:szCs w:val="32"/>
          <w:highlight w:val="none"/>
          <w:lang w:val="en-US" w:eastAsia="zh-CN"/>
        </w:rPr>
        <w:t>推动“政银企”常态化精准对接，鼓励金融机构发展绿色信贷、知识产权质押、应收账款融资等业务，量身定制金融产品，精准赋能产业集群发展。</w:t>
      </w:r>
    </w:p>
    <w:p w14:paraId="5F33F1F7">
      <w:pPr>
        <w:pStyle w:val="3"/>
        <w:shd w:val="clear"/>
        <w:kinsoku/>
        <w:bidi w:val="0"/>
        <w:rPr>
          <w:rFonts w:hint="eastAsia"/>
          <w:color w:val="auto"/>
          <w:highlight w:val="none"/>
          <w:lang w:val="en-US" w:eastAsia="zh-CN"/>
        </w:rPr>
      </w:pPr>
      <w:bookmarkStart w:id="883" w:name="_Toc4952"/>
      <w:bookmarkStart w:id="884" w:name="_Toc3169"/>
      <w:bookmarkStart w:id="885" w:name="_Toc20859"/>
      <w:bookmarkStart w:id="886" w:name="_Toc306"/>
      <w:bookmarkStart w:id="887" w:name="_Toc14482"/>
      <w:bookmarkStart w:id="888" w:name="_Toc13010"/>
      <w:bookmarkStart w:id="889" w:name="_Toc3568"/>
      <w:bookmarkStart w:id="890" w:name="_Toc10266"/>
      <w:bookmarkStart w:id="891" w:name="_Toc15853"/>
      <w:bookmarkStart w:id="892" w:name="_Toc26079"/>
      <w:bookmarkStart w:id="893" w:name="_Toc19094"/>
      <w:bookmarkStart w:id="894" w:name="_Toc23190"/>
      <w:bookmarkStart w:id="895" w:name="_Toc17895"/>
      <w:bookmarkStart w:id="896" w:name="_Toc16473"/>
      <w:bookmarkStart w:id="897" w:name="_Toc18513"/>
      <w:r>
        <w:rPr>
          <w:rFonts w:hint="eastAsia"/>
          <w:color w:val="auto"/>
          <w:highlight w:val="none"/>
          <w:lang w:val="en-US" w:eastAsia="zh-CN"/>
        </w:rPr>
        <w:t>第十章 繁荣发展文化事业，擦亮历史文化名城品牌</w:t>
      </w:r>
      <w:bookmarkEnd w:id="835"/>
      <w:bookmarkEnd w:id="836"/>
      <w:bookmarkEnd w:id="837"/>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14:paraId="2699A1C7">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027A0808">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深入贯彻落实文化强国战略部署，锚定“文化兴城”核心目标，聚焦提升社会文明程度、繁荣文化事业、创新发展文化产业三大主线，激活“古韵韶城·风采浈江”文化基因，全面提升区域文化软实力和综合竞争力，为浈江高质量发展注入持久文化动能。</w:t>
      </w:r>
    </w:p>
    <w:p w14:paraId="4F33D5DE">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16370664">
      <w:pPr>
        <w:pStyle w:val="4"/>
        <w:shd w:val="clear"/>
        <w:kinsoku/>
        <w:bidi w:val="0"/>
        <w:rPr>
          <w:rFonts w:hint="eastAsia"/>
          <w:color w:val="auto"/>
          <w:highlight w:val="none"/>
          <w:lang w:val="en-US" w:eastAsia="zh-CN"/>
        </w:rPr>
      </w:pPr>
      <w:bookmarkStart w:id="898" w:name="_Toc25095"/>
      <w:bookmarkStart w:id="899" w:name="_Toc16757"/>
      <w:bookmarkStart w:id="900" w:name="_Toc17372"/>
      <w:bookmarkStart w:id="901" w:name="_Toc9953"/>
      <w:bookmarkStart w:id="902" w:name="_Toc8232"/>
      <w:bookmarkStart w:id="903" w:name="_Toc5927"/>
      <w:bookmarkStart w:id="904" w:name="_Toc11113"/>
      <w:bookmarkStart w:id="905" w:name="_Toc10519"/>
      <w:bookmarkStart w:id="906" w:name="_Toc15709"/>
      <w:bookmarkStart w:id="907" w:name="_Toc9289"/>
      <w:bookmarkStart w:id="908" w:name="_Toc22778"/>
      <w:bookmarkStart w:id="909" w:name="_Toc11974"/>
      <w:bookmarkStart w:id="910" w:name="_Toc8390"/>
      <w:bookmarkStart w:id="911" w:name="_Toc8743"/>
      <w:bookmarkStart w:id="912" w:name="_Toc3044"/>
      <w:bookmarkStart w:id="913" w:name="_Toc19657"/>
      <w:bookmarkStart w:id="914" w:name="_Toc12099"/>
      <w:bookmarkStart w:id="915" w:name="_Toc28335"/>
      <w:r>
        <w:rPr>
          <w:rFonts w:hint="eastAsia"/>
          <w:color w:val="auto"/>
          <w:highlight w:val="none"/>
          <w:lang w:val="en-US" w:eastAsia="zh-CN"/>
        </w:rPr>
        <w:t>第一节 提升新时代精神文明建设水平</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582B9AF7">
      <w:pPr>
        <w:shd w:val="clear"/>
        <w:kinsoku/>
        <w:bidi w:val="0"/>
        <w:rPr>
          <w:rFonts w:hint="eastAsia" w:ascii="Times New Roman" w:hAnsi="Times New Roman" w:cs="Times New Roman"/>
          <w:b/>
          <w:bCs/>
          <w:color w:val="auto"/>
          <w:highlight w:val="none"/>
          <w:lang w:val="en-US" w:eastAsia="zh-CN"/>
        </w:rPr>
      </w:pPr>
    </w:p>
    <w:p w14:paraId="46FBA17F">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强化社会主义核心价值观引领。</w:t>
      </w:r>
      <w:r>
        <w:rPr>
          <w:rFonts w:hint="eastAsia"/>
          <w:color w:val="auto"/>
          <w:highlight w:val="none"/>
          <w:lang w:val="en-US" w:eastAsia="zh-CN"/>
        </w:rPr>
        <w:t>深化“理论+实践”传播模式，打造“浈讲赋能”理论宣讲品牌。依托新时代文明实践中心（所、站），推动党的创新理论进社区、进乡村、进校园、进企业，实现基层理论普及精准化、常态化。以社会主义核心价值观为引领，推动中华优秀传统文化“创造性转化、创新性发展”，厚植爱国主义与改革创新精神，</w:t>
      </w:r>
      <w:r>
        <w:rPr>
          <w:rFonts w:hint="eastAsia" w:ascii="Times New Roman" w:hAnsi="Times New Roman" w:eastAsia="仿宋_GB2312" w:cs="Times New Roman"/>
          <w:b w:val="0"/>
          <w:bCs w:val="0"/>
          <w:i w:val="0"/>
          <w:iCs w:val="0"/>
          <w:color w:val="auto"/>
          <w:kern w:val="0"/>
          <w:sz w:val="32"/>
          <w:szCs w:val="32"/>
          <w:highlight w:val="none"/>
          <w:vertAlign w:val="baseline"/>
          <w:lang w:val="en-US" w:eastAsia="zh-CN" w:bidi="ar-SA"/>
        </w:rPr>
        <w:t>重点加强未成年人思想道德建设，健全家庭、学校、社会协同教育机制</w:t>
      </w:r>
      <w:r>
        <w:rPr>
          <w:rFonts w:hint="eastAsia"/>
          <w:color w:val="auto"/>
          <w:highlight w:val="none"/>
          <w:lang w:val="en-US" w:eastAsia="zh-CN"/>
        </w:rPr>
        <w:t>。严格落实意识形态工作责任制，建强主流思想舆论矩阵，筑牢思想道德根基。升级“浈”字</w:t>
      </w:r>
      <w:r>
        <w:rPr>
          <w:rFonts w:hint="eastAsia" w:ascii="Times New Roman" w:hAnsi="Times New Roman" w:eastAsia="仿宋_GB2312" w:cs="Times New Roman"/>
          <w:b w:val="0"/>
          <w:bCs w:val="0"/>
          <w:i w:val="0"/>
          <w:iCs w:val="0"/>
          <w:color w:val="auto"/>
          <w:kern w:val="0"/>
          <w:sz w:val="32"/>
          <w:szCs w:val="32"/>
          <w:highlight w:val="none"/>
          <w:vertAlign w:val="baseline"/>
          <w:lang w:val="en-US" w:eastAsia="zh-CN" w:bidi="ar-SA"/>
        </w:rPr>
        <w:t>系列宣传策划</w:t>
      </w:r>
      <w:r>
        <w:rPr>
          <w:rFonts w:hint="eastAsia"/>
          <w:color w:val="auto"/>
          <w:highlight w:val="none"/>
          <w:lang w:val="en-US" w:eastAsia="zh-CN"/>
        </w:rPr>
        <w:t>，推动新闻宣传主力军全面进驻互联网主战场，构建“线上发声+线下落地”传播格局，加强网络文明建设与舆情治理，打造网上网下同心圆，提升区域文化传播力与影响力。</w:t>
      </w:r>
    </w:p>
    <w:p w14:paraId="6E38B31F">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巩固文明创建成果。</w:t>
      </w:r>
      <w:r>
        <w:rPr>
          <w:rFonts w:hint="eastAsia"/>
          <w:color w:val="auto"/>
          <w:highlight w:val="none"/>
          <w:lang w:val="en-US" w:eastAsia="zh-CN"/>
        </w:rPr>
        <w:t>统筹文明培育、文明实践、文明创建“三位一体”推进，健全全国文明城市长效管护机制，实施公民道德建设“四大工程”。常态化开展“道德模范”“身边好人”“文明家庭”选树宣传，打造“浈江榜样”宣讲品牌，营造崇德向善、见贤思齐的社会风尚。攻坚“全国文明村镇”“全国文明单位”“全国文明家庭”“全国文明校园”创建。推动德治与法治深度融合。完善志愿服务“精准对接”体系，支持社会力量参与文明实践阵地运营。打造网络文明素养实践教育基地，开展网络文明宣传季、素养教育“双进”活动，让文明新风浸润城乡肌理。</w:t>
      </w:r>
    </w:p>
    <w:p w14:paraId="13628CDD">
      <w:pPr>
        <w:shd w:val="clear"/>
        <w:kinsoku/>
        <w:bidi w:val="0"/>
        <w:rPr>
          <w:rFonts w:hint="eastAsia"/>
          <w:color w:val="auto"/>
          <w:highlight w:val="none"/>
          <w:lang w:val="en-US" w:eastAsia="zh-CN"/>
        </w:rPr>
      </w:pPr>
    </w:p>
    <w:p w14:paraId="4338C0B5">
      <w:pPr>
        <w:pStyle w:val="4"/>
        <w:shd w:val="clear"/>
        <w:kinsoku/>
        <w:bidi w:val="0"/>
        <w:rPr>
          <w:rFonts w:hint="default"/>
          <w:color w:val="auto"/>
          <w:highlight w:val="none"/>
          <w:lang w:val="en-US" w:eastAsia="zh-CN"/>
        </w:rPr>
      </w:pPr>
      <w:bookmarkStart w:id="916" w:name="_Toc970"/>
      <w:bookmarkStart w:id="917" w:name="_Toc27617"/>
      <w:bookmarkStart w:id="918" w:name="_Toc4610"/>
      <w:bookmarkStart w:id="919" w:name="_Toc17770"/>
      <w:bookmarkStart w:id="920" w:name="_Toc26347"/>
      <w:bookmarkStart w:id="921" w:name="_Toc6535"/>
      <w:bookmarkStart w:id="922" w:name="_Toc3491"/>
      <w:bookmarkStart w:id="923" w:name="_Toc19930"/>
      <w:bookmarkStart w:id="924" w:name="_Toc11220"/>
      <w:bookmarkStart w:id="925" w:name="_Toc27364"/>
      <w:bookmarkStart w:id="926" w:name="_Toc26664"/>
      <w:bookmarkStart w:id="927" w:name="_Toc12053"/>
      <w:bookmarkStart w:id="928" w:name="_Toc24670"/>
      <w:bookmarkStart w:id="929" w:name="_Toc2178"/>
      <w:bookmarkStart w:id="930" w:name="_Toc2420"/>
      <w:bookmarkStart w:id="931" w:name="_Toc15472"/>
      <w:bookmarkStart w:id="932" w:name="_Toc25773"/>
      <w:bookmarkStart w:id="933" w:name="_Toc5267"/>
      <w:r>
        <w:rPr>
          <w:rFonts w:hint="eastAsia"/>
          <w:color w:val="auto"/>
          <w:highlight w:val="none"/>
          <w:lang w:val="en-US" w:eastAsia="zh-CN"/>
        </w:rPr>
        <w:t>第二节 大力繁荣文化事业</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14:paraId="199F706B">
      <w:pPr>
        <w:shd w:val="clear"/>
        <w:kinsoku/>
        <w:bidi w:val="0"/>
        <w:rPr>
          <w:rFonts w:hint="eastAsia" w:ascii="BatangChe" w:hAnsi="BatangChe" w:eastAsia="仿宋_GB2312" w:cs="仿宋_GB2312"/>
          <w:b/>
          <w:bCs/>
          <w:i w:val="0"/>
          <w:iCs w:val="0"/>
          <w:color w:val="auto"/>
          <w:kern w:val="2"/>
          <w:sz w:val="32"/>
          <w:szCs w:val="32"/>
          <w:highlight w:val="none"/>
          <w:vertAlign w:val="baseline"/>
          <w:lang w:val="en-US" w:eastAsia="zh-CN" w:bidi="ar-SA"/>
        </w:rPr>
      </w:pPr>
    </w:p>
    <w:p w14:paraId="4C6EBE41">
      <w:pPr>
        <w:keepNext w:val="0"/>
        <w:keepLines w:val="0"/>
        <w:pageBreakBefore w:val="0"/>
        <w:widowControl w:val="0"/>
        <w:shd w:val="clear"/>
        <w:kinsoku/>
        <w:wordWrap/>
        <w:overflowPunct/>
        <w:topLinePunct w:val="0"/>
        <w:autoSpaceDE/>
        <w:autoSpaceDN/>
        <w:bidi w:val="0"/>
        <w:adjustRightInd w:val="0"/>
        <w:snapToGrid w:val="0"/>
        <w:textAlignment w:val="baseline"/>
        <w:rPr>
          <w:rFonts w:hint="eastAsia" w:ascii="BatangChe" w:hAnsi="BatangChe" w:eastAsia="仿宋_GB2312" w:cs="仿宋_GB2312"/>
          <w:b w:val="0"/>
          <w:bCs w:val="0"/>
          <w:i w:val="0"/>
          <w:iCs w:val="0"/>
          <w:color w:val="auto"/>
          <w:kern w:val="2"/>
          <w:sz w:val="32"/>
          <w:szCs w:val="32"/>
          <w:highlight w:val="none"/>
          <w:vertAlign w:val="baseline"/>
          <w:lang w:val="en-US" w:eastAsia="zh-CN" w:bidi="ar-SA"/>
        </w:rPr>
      </w:pPr>
      <w:r>
        <w:rPr>
          <w:rFonts w:hint="eastAsia" w:ascii="BatangChe" w:hAnsi="BatangChe" w:eastAsia="仿宋_GB2312" w:cs="仿宋_GB2312"/>
          <w:b/>
          <w:bCs/>
          <w:i w:val="0"/>
          <w:iCs w:val="0"/>
          <w:color w:val="auto"/>
          <w:kern w:val="2"/>
          <w:sz w:val="32"/>
          <w:szCs w:val="32"/>
          <w:highlight w:val="none"/>
          <w:vertAlign w:val="baseline"/>
          <w:lang w:val="en-US" w:eastAsia="zh-CN" w:bidi="ar-SA"/>
        </w:rPr>
        <w:t>激活文化时代价值。</w:t>
      </w:r>
      <w:r>
        <w:rPr>
          <w:rFonts w:hint="eastAsia" w:ascii="BatangChe" w:hAnsi="BatangChe" w:eastAsia="仿宋_GB2312" w:cs="仿宋_GB2312"/>
          <w:b w:val="0"/>
          <w:bCs w:val="0"/>
          <w:i w:val="0"/>
          <w:iCs w:val="0"/>
          <w:color w:val="auto"/>
          <w:kern w:val="2"/>
          <w:sz w:val="32"/>
          <w:szCs w:val="32"/>
          <w:highlight w:val="none"/>
          <w:vertAlign w:val="baseline"/>
          <w:lang w:val="en-US" w:eastAsia="zh-CN" w:bidi="ar-SA"/>
        </w:rPr>
        <w:t>实施“红色基因传承”工程，协助推进中共粤北省委机关旧址（五里亭）修缮提质，加快南昌起义部队革命活动旧址（犁市当铺）展示中心建设，推动华南教育历史研学基地（大村）市场化运营，打造“省委旧址—大村研学基地—犁市当铺”红色研学路线，打响“华南研学”“红色记忆”品牌。深化非遗“三维活化”模式，健全区级非遗名录体系，完善传承人“培育+激励”机制，重点活化浈江香火龙、舞春牛等非遗项目。依托百年东街“韶关非遗第一街”平台，推动非遗与夜市经济、节庆活动深度融合。加强古村落、古建筑保护，推进村史博物馆建设，引入民宿、文创、餐饮等业态，实现“保护—传承—活化”三位一体发展，让文化遗产焕发新生机。</w:t>
      </w:r>
    </w:p>
    <w:p w14:paraId="3BE7C5A8">
      <w:pPr>
        <w:shd w:val="clear"/>
        <w:kinsoku/>
        <w:bidi w:val="0"/>
        <w:rPr>
          <w:rFonts w:hint="eastAsia"/>
          <w:b w:val="0"/>
          <w:bCs w:val="0"/>
          <w:color w:val="auto"/>
          <w:highlight w:val="none"/>
          <w:lang w:val="en-US" w:eastAsia="zh-CN"/>
        </w:rPr>
      </w:pPr>
      <w:r>
        <w:rPr>
          <w:rFonts w:hint="eastAsia" w:ascii="Times New Roman" w:hAnsi="Times New Roman" w:cs="Times New Roman"/>
          <w:b/>
          <w:bCs/>
          <w:color w:val="auto"/>
          <w:highlight w:val="none"/>
          <w:lang w:val="en-US" w:eastAsia="zh-CN"/>
        </w:rPr>
        <w:t>构建优质公共文化体系。</w:t>
      </w:r>
      <w:r>
        <w:rPr>
          <w:rFonts w:hint="eastAsia"/>
          <w:b w:val="0"/>
          <w:bCs w:val="0"/>
          <w:color w:val="auto"/>
          <w:highlight w:val="none"/>
          <w:lang w:val="en-US" w:eastAsia="zh-CN"/>
        </w:rPr>
        <w:t>紧扣乡村振兴、城市更新战略，打造“15分钟文化生活圈”，培育一批数字化、智慧化“公共文化特色空间”，推出“菜单式”“订单式”公共文化服务。升级区文化馆、图书馆设施设备，优化馆藏资源。推进行政村（社区）综合性文化服务中心提质增效，有序开展文化站评估定级，提升城乡公共文化服务水平。深耕“古韵韶城·风采浈江”“我们的节日”“四季村晚”等品牌活动，常态化开展“戏曲进乡村”“文化下乡”惠民服务，采用“线上直播+线下互动”模式扩大覆盖面。擦亮“风度书房”品牌，深化全民阅读活动，推进“书香浈江”建设，打造一批校园、社区、企业阅读点，丰富基层群众精神文化生活。</w:t>
      </w:r>
    </w:p>
    <w:p w14:paraId="5E7111FE">
      <w:pPr>
        <w:shd w:val="clear"/>
        <w:kinsoku/>
        <w:bidi w:val="0"/>
        <w:rPr>
          <w:rFonts w:hint="eastAsia"/>
          <w:b w:val="0"/>
          <w:bCs w:val="0"/>
          <w:color w:val="auto"/>
          <w:highlight w:val="none"/>
          <w:lang w:val="en-US" w:eastAsia="zh-CN"/>
        </w:rPr>
      </w:pPr>
      <w:r>
        <w:rPr>
          <w:rFonts w:hint="eastAsia"/>
          <w:b/>
          <w:bCs/>
          <w:color w:val="auto"/>
          <w:highlight w:val="none"/>
          <w:lang w:val="en-US" w:eastAsia="zh-CN"/>
        </w:rPr>
        <w:t>提升公共体育服务效能。</w:t>
      </w:r>
      <w:r>
        <w:rPr>
          <w:rFonts w:hint="eastAsia"/>
          <w:b w:val="0"/>
          <w:bCs w:val="0"/>
          <w:color w:val="auto"/>
          <w:highlight w:val="none"/>
          <w:lang w:val="en-US" w:eastAsia="zh-CN"/>
        </w:rPr>
        <w:t>加快推进全龄体育公园、龙洲岛体育公园建设，构建“公园+社区+校园”体育设施网络。鼓励社会资本参与体育场地建设运营，推动民办场馆提供优惠或免费服务，扩大体育服务供给。完善“全民健身+赛事IP”体系，常态化开展篮球、足球、健步走、广场舞等群众运动，支持“浈BA”“村BA”“村超”等特色赛事。主动承接穿越丹霞山50公里徒步赛、环丹霞山自行车赛、丹霞山马拉松赛等品牌赛事，大力发展户外运动产业，推动“赛事引流”与“全民健身”双向赋能，打造粤北户外运动休闲高地。</w:t>
      </w:r>
    </w:p>
    <w:p w14:paraId="7FA4378B">
      <w:pPr>
        <w:shd w:val="clear"/>
        <w:kinsoku/>
        <w:bidi w:val="0"/>
        <w:rPr>
          <w:rFonts w:hint="eastAsia"/>
          <w:b w:val="0"/>
          <w:bCs w:val="0"/>
          <w:color w:val="auto"/>
          <w:highlight w:val="none"/>
          <w:lang w:val="en-US" w:eastAsia="zh-CN"/>
        </w:rPr>
      </w:pPr>
    </w:p>
    <w:p w14:paraId="7B3E37C0">
      <w:pPr>
        <w:pStyle w:val="4"/>
        <w:shd w:val="clear"/>
        <w:kinsoku/>
        <w:bidi w:val="0"/>
        <w:rPr>
          <w:rFonts w:hint="eastAsia"/>
          <w:color w:val="auto"/>
          <w:highlight w:val="none"/>
          <w:lang w:val="en-US" w:eastAsia="zh-CN"/>
        </w:rPr>
      </w:pPr>
      <w:bookmarkStart w:id="934" w:name="_Toc4763"/>
      <w:bookmarkStart w:id="935" w:name="_Toc24398"/>
      <w:bookmarkStart w:id="936" w:name="_Toc27294"/>
      <w:bookmarkStart w:id="937" w:name="_Toc30246"/>
      <w:bookmarkStart w:id="938" w:name="_Toc3971"/>
      <w:bookmarkStart w:id="939" w:name="_Toc21740"/>
      <w:bookmarkStart w:id="940" w:name="_Toc4240"/>
      <w:bookmarkStart w:id="941" w:name="_Toc23627"/>
      <w:bookmarkStart w:id="942" w:name="_Toc21647"/>
      <w:bookmarkStart w:id="943" w:name="_Toc27905"/>
      <w:bookmarkStart w:id="944" w:name="_Toc27699"/>
      <w:bookmarkStart w:id="945" w:name="_Toc4986"/>
      <w:bookmarkStart w:id="946" w:name="_Toc21362"/>
      <w:bookmarkStart w:id="947" w:name="_Toc10457"/>
      <w:bookmarkStart w:id="948" w:name="_Toc4857"/>
      <w:bookmarkStart w:id="949" w:name="_Toc7240"/>
      <w:bookmarkStart w:id="950" w:name="_Toc31905"/>
      <w:bookmarkStart w:id="951" w:name="_Toc18719"/>
      <w:r>
        <w:rPr>
          <w:rFonts w:hint="eastAsia"/>
          <w:color w:val="auto"/>
          <w:highlight w:val="none"/>
          <w:lang w:val="en-US" w:eastAsia="zh-CN"/>
        </w:rPr>
        <w:t>第三节 拓展文旅体产业发展空间</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14:paraId="66C01B6B">
      <w:pPr>
        <w:shd w:val="clear"/>
        <w:kinsoku/>
        <w:bidi w:val="0"/>
        <w:rPr>
          <w:rFonts w:hint="eastAsia" w:ascii="Times New Roman" w:hAnsi="Times New Roman" w:cs="Times New Roman"/>
          <w:b/>
          <w:bCs/>
          <w:color w:val="auto"/>
          <w:highlight w:val="none"/>
          <w:lang w:val="en-US" w:eastAsia="zh-CN"/>
        </w:rPr>
      </w:pPr>
    </w:p>
    <w:p w14:paraId="1123C978">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构建核心文旅产品矩阵。</w:t>
      </w:r>
      <w:r>
        <w:rPr>
          <w:rFonts w:hint="eastAsia"/>
          <w:color w:val="auto"/>
          <w:highlight w:val="none"/>
          <w:lang w:val="en-US" w:eastAsia="zh-CN"/>
        </w:rPr>
        <w:t>加快落地“一心一环三带五片区”旅游格局，将小岛片区打造成“韶关记忆”文化旅游集聚区，串联风采楼、韶州府学宫、斌庐等历史建筑，培育都市漫游业态。建设红色研学、乡村体验、生态观光等三大文旅体验带，联动五大功能区形成全域旅游格局。深化特色IP体系建设，打造“夜游东街”“非遗技艺体验空间”等消费品牌，大力开发隆盛酱园IP及“浈”系列文创产品、数字藏品。强化科技赋能，推动AI导览、VR/AR沉浸式体验在景区、场馆落地，提升文旅消费质感。主动融入粤港澳大湾区文旅圈，建立客源互送机制，联合周边县区打造丹霞山、北江跨区域旅游线路，形成“资源共享、线路互推、市场共建”的联动格局。</w:t>
      </w:r>
    </w:p>
    <w:p w14:paraId="71C5B5B6">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完善文旅基础设施网络。</w:t>
      </w:r>
      <w:r>
        <w:rPr>
          <w:rFonts w:hint="eastAsia"/>
          <w:color w:val="auto"/>
          <w:highlight w:val="none"/>
          <w:lang w:val="en-US" w:eastAsia="zh-CN"/>
        </w:rPr>
        <w:t>构建“快进慢游”农文旅交通网络，以旅游公路、风景道路建设为抓手，推动环丹霞山片区与主城一体化发展，升级改造阅丹公路等重点线路，沿路打造微景观、休憩点，提升旅游通达性与体验感。围绕“吃住行游购娱”六要素，健全游客服务中心体系，因地制宜建设中高端酒店、特色乡村民宿，扩容景区停车场，完善智慧停车、导航指引服务。统一规范乡村旅游标识标牌，在主干道、关键节点设置风格鲜明、功能齐全的标识系统，提升旅游服务标准化水平。</w:t>
      </w:r>
    </w:p>
    <w:p w14:paraId="10171222">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推动文旅+跨界融合发展。</w:t>
      </w:r>
      <w:r>
        <w:rPr>
          <w:rFonts w:hint="eastAsia"/>
          <w:color w:val="auto"/>
          <w:highlight w:val="none"/>
          <w:lang w:val="en-US" w:eastAsia="zh-CN"/>
        </w:rPr>
        <w:t>深化“文旅+”跨界融合，推动文旅与农业、工业、康养、科技深度联动。推进历史文化街区活态利用，高标准升级华南教育历史研学基地，打造粤港澳大湾区研学新高地。推动农文旅融合，依托乡村产业开展体验活动，发展田园观光、农耕体验、民宿集群等业态，打造高品质田园综合体与乡村旅游精品线路，实现“以旅促农、农旅共生”。培育“康养+文旅”新业态，构建康养膳食、农耕养生、乡村颐居三大体系，打造田园康养村落、森林康养基地，发展“农养结合、旅康互动”新模式。盘活韶冶、韶铸等工业遗产，发展工业旅游、文创园区，推动存量空间转型增效。探索“文旅+数字经济”，建设文旅数字平台，实现线路预订、文化展示、消费支付一体化服务，培育产业发展新动能。</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46E0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296" w:type="dxa"/>
            <w:tcBorders>
              <w:top w:val="single" w:color="auto" w:sz="4" w:space="0"/>
              <w:left w:val="single" w:color="auto" w:sz="4" w:space="0"/>
              <w:bottom w:val="single" w:color="auto" w:sz="4" w:space="0"/>
              <w:right w:val="single" w:color="auto" w:sz="4" w:space="0"/>
            </w:tcBorders>
            <w:noWrap w:val="0"/>
            <w:vAlign w:val="center"/>
          </w:tcPr>
          <w:p w14:paraId="7A06B3FC">
            <w:pPr>
              <w:kinsoku/>
              <w:spacing w:line="500" w:lineRule="exact"/>
              <w:ind w:firstLine="0" w:firstLineChars="0"/>
              <w:jc w:val="center"/>
              <w:rPr>
                <w:rFonts w:hint="default" w:eastAsia="黑体"/>
                <w:b w:val="0"/>
                <w:bCs/>
                <w:color w:val="auto"/>
                <w:sz w:val="28"/>
                <w:szCs w:val="28"/>
                <w:highlight w:val="none"/>
                <w:lang w:val="en-US" w:eastAsia="zh-CN"/>
              </w:rPr>
            </w:pPr>
            <w:r>
              <w:rPr>
                <w:rFonts w:hint="eastAsia" w:eastAsia="黑体" w:cs="Times New Roman"/>
                <w:b w:val="0"/>
                <w:bCs/>
                <w:color w:val="auto"/>
                <w:sz w:val="28"/>
                <w:highlight w:val="none"/>
              </w:rPr>
              <w:t>专栏</w:t>
            </w:r>
            <w:r>
              <w:rPr>
                <w:rFonts w:hint="eastAsia" w:eastAsia="黑体" w:cs="Times New Roman"/>
                <w:b w:val="0"/>
                <w:bCs/>
                <w:color w:val="auto"/>
                <w:sz w:val="28"/>
                <w:szCs w:val="28"/>
                <w:highlight w:val="none"/>
                <w:lang w:val="en-US" w:eastAsia="zh-CN"/>
              </w:rPr>
              <w:t xml:space="preserve">3 </w:t>
            </w:r>
            <w:r>
              <w:rPr>
                <w:rFonts w:hint="eastAsia" w:eastAsia="黑体" w:cs="Times New Roman"/>
                <w:b w:val="0"/>
                <w:bCs/>
                <w:color w:val="auto"/>
                <w:sz w:val="28"/>
                <w:szCs w:val="28"/>
                <w:highlight w:val="none"/>
                <w:lang w:eastAsia="zh-CN"/>
              </w:rPr>
              <w:t>“</w:t>
            </w:r>
            <w:r>
              <w:rPr>
                <w:rFonts w:hint="eastAsia" w:eastAsia="黑体" w:cs="Times New Roman"/>
                <w:b w:val="0"/>
                <w:bCs/>
                <w:color w:val="auto"/>
                <w:sz w:val="28"/>
                <w:szCs w:val="28"/>
                <w:highlight w:val="none"/>
              </w:rPr>
              <w:t>十五五</w:t>
            </w:r>
            <w:r>
              <w:rPr>
                <w:rFonts w:hint="eastAsia" w:eastAsia="黑体" w:cs="Times New Roman"/>
                <w:b w:val="0"/>
                <w:bCs/>
                <w:color w:val="auto"/>
                <w:sz w:val="28"/>
                <w:szCs w:val="28"/>
                <w:highlight w:val="none"/>
                <w:lang w:eastAsia="zh-CN"/>
              </w:rPr>
              <w:t>”</w:t>
            </w:r>
            <w:r>
              <w:rPr>
                <w:rFonts w:hint="eastAsia" w:eastAsia="黑体" w:cs="Times New Roman"/>
                <w:b w:val="0"/>
                <w:bCs/>
                <w:color w:val="auto"/>
                <w:sz w:val="28"/>
                <w:szCs w:val="28"/>
                <w:highlight w:val="none"/>
              </w:rPr>
              <w:t>时期</w:t>
            </w:r>
            <w:r>
              <w:rPr>
                <w:rFonts w:hint="eastAsia" w:eastAsia="黑体" w:cs="Times New Roman"/>
                <w:b w:val="0"/>
                <w:bCs/>
                <w:color w:val="auto"/>
                <w:sz w:val="28"/>
                <w:szCs w:val="28"/>
                <w:highlight w:val="none"/>
                <w:lang w:val="en-US" w:eastAsia="zh-CN"/>
              </w:rPr>
              <w:t>文旅体融合发展重点方向</w:t>
            </w:r>
          </w:p>
        </w:tc>
      </w:tr>
      <w:tr w14:paraId="6111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noWrap w:val="0"/>
            <w:vAlign w:val="center"/>
          </w:tcPr>
          <w:p w14:paraId="5E22CE41">
            <w:pPr>
              <w:kinsoku/>
              <w:spacing w:line="440" w:lineRule="exact"/>
              <w:ind w:firstLine="562" w:firstLineChars="200"/>
              <w:rPr>
                <w:rFonts w:hint="eastAsia" w:cs="仿宋_GB2312"/>
                <w:color w:val="auto"/>
                <w:sz w:val="28"/>
                <w:szCs w:val="28"/>
                <w:highlight w:val="none"/>
              </w:rPr>
            </w:pPr>
            <w:r>
              <w:rPr>
                <w:rFonts w:hint="eastAsia" w:cs="Times New Roman"/>
                <w:b/>
                <w:bCs/>
                <w:color w:val="auto"/>
                <w:sz w:val="28"/>
                <w:szCs w:val="28"/>
                <w:highlight w:val="none"/>
                <w:u w:val="none" w:color="auto"/>
                <w:lang w:eastAsia="zh-CN"/>
              </w:rPr>
              <w:t>1.实施主城文旅提质工程。</w:t>
            </w:r>
            <w:r>
              <w:rPr>
                <w:rFonts w:hint="eastAsia" w:cs="仿宋_GB2312"/>
                <w:b w:val="0"/>
                <w:bCs w:val="0"/>
                <w:color w:val="auto"/>
                <w:sz w:val="28"/>
                <w:szCs w:val="28"/>
                <w:highlight w:val="none"/>
              </w:rPr>
              <w:t>整合小岛片区风采楼、</w:t>
            </w:r>
            <w:r>
              <w:rPr>
                <w:rFonts w:hint="eastAsia" w:cs="仿宋_GB2312"/>
                <w:b w:val="0"/>
                <w:bCs w:val="0"/>
                <w:color w:val="auto"/>
                <w:sz w:val="28"/>
                <w:szCs w:val="28"/>
                <w:highlight w:val="none"/>
                <w:lang w:eastAsia="zh-CN"/>
              </w:rPr>
              <w:t>韶州</w:t>
            </w:r>
            <w:r>
              <w:rPr>
                <w:rFonts w:hint="eastAsia" w:cs="仿宋_GB2312"/>
                <w:b w:val="0"/>
                <w:bCs w:val="0"/>
                <w:color w:val="auto"/>
                <w:sz w:val="28"/>
                <w:szCs w:val="28"/>
                <w:highlight w:val="none"/>
              </w:rPr>
              <w:t>府学宫、斌庐等历史建筑资源，发展都市旅游，打造“夜游”IP，构建数字文旅矩阵，开发线上文旅小程序，优化公共交通接驳，增设旅游标识，研发“浈”特色文创产品，扩大文旅影响力。</w:t>
            </w:r>
          </w:p>
          <w:p w14:paraId="44A63349">
            <w:pPr>
              <w:kinsoku/>
              <w:spacing w:line="440" w:lineRule="exact"/>
              <w:ind w:firstLine="562" w:firstLineChars="200"/>
              <w:rPr>
                <w:rFonts w:hint="eastAsia" w:cs="仿宋_GB2312"/>
                <w:color w:val="auto"/>
                <w:sz w:val="28"/>
                <w:szCs w:val="28"/>
                <w:highlight w:val="none"/>
              </w:rPr>
            </w:pPr>
            <w:r>
              <w:rPr>
                <w:rFonts w:hint="eastAsia" w:cs="Times New Roman"/>
                <w:b/>
                <w:bCs/>
                <w:color w:val="auto"/>
                <w:sz w:val="28"/>
                <w:szCs w:val="28"/>
                <w:highlight w:val="none"/>
                <w:u w:val="none" w:color="auto"/>
                <w:lang w:eastAsia="zh-CN"/>
              </w:rPr>
              <w:t>2.构建周边旅游生态圈。</w:t>
            </w:r>
            <w:r>
              <w:rPr>
                <w:rFonts w:hint="eastAsia" w:cs="仿宋_GB2312"/>
                <w:b w:val="0"/>
                <w:bCs w:val="0"/>
                <w:color w:val="auto"/>
                <w:sz w:val="28"/>
                <w:szCs w:val="28"/>
                <w:highlight w:val="none"/>
              </w:rPr>
              <w:t>整合各镇旅游资源，推出“城郊微度假”线路，打造“</w:t>
            </w:r>
            <w:r>
              <w:rPr>
                <w:rFonts w:hint="eastAsia" w:cs="Times New Roman"/>
                <w:b w:val="0"/>
                <w:bCs w:val="0"/>
                <w:color w:val="auto"/>
                <w:sz w:val="28"/>
                <w:szCs w:val="28"/>
                <w:highlight w:val="none"/>
                <w:lang w:eastAsia="zh-CN"/>
              </w:rPr>
              <w:t>1</w:t>
            </w:r>
            <w:r>
              <w:rPr>
                <w:rFonts w:hint="eastAsia" w:cs="仿宋_GB2312"/>
                <w:b w:val="0"/>
                <w:bCs w:val="0"/>
                <w:color w:val="auto"/>
                <w:sz w:val="28"/>
                <w:szCs w:val="28"/>
                <w:highlight w:val="none"/>
              </w:rPr>
              <w:t>小时旅游经济圈”，开发山野运动、田园休闲、滨水度假等板块，融入环丹霞山片区，打造“浈江画廊”农文旅</w:t>
            </w:r>
            <w:r>
              <w:rPr>
                <w:rFonts w:hint="eastAsia" w:cs="仿宋_GB2312"/>
                <w:b w:val="0"/>
                <w:bCs w:val="0"/>
                <w:color w:val="auto"/>
                <w:sz w:val="28"/>
                <w:szCs w:val="28"/>
                <w:highlight w:val="none"/>
                <w:lang w:eastAsia="zh-CN"/>
              </w:rPr>
              <w:t>融合</w:t>
            </w:r>
            <w:r>
              <w:rPr>
                <w:rFonts w:hint="eastAsia" w:cs="仿宋_GB2312"/>
                <w:b w:val="0"/>
                <w:bCs w:val="0"/>
                <w:color w:val="auto"/>
                <w:sz w:val="28"/>
                <w:szCs w:val="28"/>
                <w:highlight w:val="none"/>
              </w:rPr>
              <w:t>带，培育特色旅游村，探索整村运营路径，发展民宿集群、农事体验等业态，实现农文旅融合。</w:t>
            </w:r>
          </w:p>
          <w:p w14:paraId="25F830BE">
            <w:pPr>
              <w:kinsoku/>
              <w:spacing w:line="440" w:lineRule="exact"/>
              <w:ind w:firstLine="562" w:firstLineChars="200"/>
              <w:rPr>
                <w:rFonts w:hint="eastAsia" w:cs="仿宋_GB2312"/>
                <w:color w:val="auto"/>
                <w:sz w:val="28"/>
                <w:szCs w:val="28"/>
                <w:highlight w:val="none"/>
              </w:rPr>
            </w:pPr>
            <w:r>
              <w:rPr>
                <w:rFonts w:hint="eastAsia" w:cs="Times New Roman"/>
                <w:b/>
                <w:bCs/>
                <w:color w:val="auto"/>
                <w:sz w:val="28"/>
                <w:szCs w:val="28"/>
                <w:highlight w:val="none"/>
                <w:u w:val="none" w:color="auto"/>
                <w:lang w:eastAsia="zh-CN"/>
              </w:rPr>
              <w:t>3.打造优质研学旅游产品。</w:t>
            </w:r>
            <w:r>
              <w:rPr>
                <w:rFonts w:hint="eastAsia" w:cs="仿宋_GB2312"/>
                <w:b w:val="0"/>
                <w:bCs w:val="0"/>
                <w:color w:val="auto"/>
                <w:sz w:val="28"/>
                <w:szCs w:val="28"/>
                <w:highlight w:val="none"/>
              </w:rPr>
              <w:t>优化提升华南教育历史研学基地，创建更多省级以上中小学生研学实践教育基地，完善服务设施，打造粤港澳大湾区研学新高地。</w:t>
            </w:r>
          </w:p>
          <w:p w14:paraId="726841A3">
            <w:pPr>
              <w:kinsoku/>
              <w:spacing w:line="440" w:lineRule="exact"/>
              <w:ind w:firstLine="562" w:firstLineChars="200"/>
              <w:rPr>
                <w:rFonts w:hint="eastAsia" w:cs="仿宋_GB2312"/>
                <w:b w:val="0"/>
                <w:bCs w:val="0"/>
                <w:color w:val="auto"/>
                <w:sz w:val="28"/>
                <w:szCs w:val="28"/>
                <w:highlight w:val="none"/>
              </w:rPr>
            </w:pPr>
            <w:r>
              <w:rPr>
                <w:rFonts w:hint="eastAsia" w:cs="Times New Roman"/>
                <w:b/>
                <w:bCs/>
                <w:color w:val="auto"/>
                <w:sz w:val="28"/>
                <w:szCs w:val="28"/>
                <w:highlight w:val="none"/>
                <w:u w:val="none" w:color="auto"/>
                <w:lang w:eastAsia="zh-CN"/>
              </w:rPr>
              <w:t>4.培育文旅融合新业态。</w:t>
            </w:r>
            <w:r>
              <w:rPr>
                <w:rFonts w:hint="eastAsia" w:cs="仿宋_GB2312"/>
                <w:b w:val="0"/>
                <w:bCs w:val="0"/>
                <w:color w:val="auto"/>
                <w:sz w:val="28"/>
                <w:szCs w:val="28"/>
                <w:highlight w:val="none"/>
              </w:rPr>
              <w:t>充分利用城市历史建筑、工业遗产、旧厂房、旧街区、旧仓库等存量空间发展文化创意产业，支持韶冶、韶铸发展工业旅游，探索文旅产业与大数据、人工智能等新兴产业融合，推动城市更新和产业升级协同发展。</w:t>
            </w:r>
          </w:p>
          <w:p w14:paraId="706F7922">
            <w:pPr>
              <w:kinsoku/>
              <w:spacing w:line="440" w:lineRule="exact"/>
              <w:ind w:firstLine="562" w:firstLineChars="200"/>
              <w:rPr>
                <w:rFonts w:hint="eastAsia" w:cs="仿宋_GB2312"/>
                <w:b w:val="0"/>
                <w:bCs w:val="0"/>
                <w:color w:val="auto"/>
                <w:sz w:val="28"/>
                <w:szCs w:val="28"/>
                <w:highlight w:val="none"/>
              </w:rPr>
            </w:pPr>
            <w:r>
              <w:rPr>
                <w:rFonts w:hint="eastAsia" w:cs="Times New Roman"/>
                <w:b/>
                <w:bCs/>
                <w:color w:val="auto"/>
                <w:sz w:val="28"/>
                <w:szCs w:val="28"/>
                <w:highlight w:val="none"/>
                <w:u w:val="none" w:color="auto"/>
                <w:lang w:eastAsia="zh-CN"/>
              </w:rPr>
              <w:t>5.促进体育文旅协同发展。</w:t>
            </w:r>
            <w:r>
              <w:rPr>
                <w:rFonts w:hint="eastAsia" w:cs="仿宋_GB2312"/>
                <w:b w:val="0"/>
                <w:bCs w:val="0"/>
                <w:color w:val="auto"/>
                <w:sz w:val="28"/>
                <w:szCs w:val="28"/>
                <w:highlight w:val="none"/>
              </w:rPr>
              <w:t>依托环丹霞山等资源，常态化承办穿越丹霞山</w:t>
            </w:r>
            <w:r>
              <w:rPr>
                <w:rFonts w:hint="eastAsia" w:cs="Times New Roman"/>
                <w:b w:val="0"/>
                <w:bCs w:val="0"/>
                <w:color w:val="auto"/>
                <w:sz w:val="28"/>
                <w:szCs w:val="28"/>
                <w:highlight w:val="none"/>
                <w:lang w:eastAsia="zh-CN"/>
              </w:rPr>
              <w:t>50</w:t>
            </w:r>
            <w:r>
              <w:rPr>
                <w:rFonts w:hint="eastAsia" w:cs="仿宋_GB2312"/>
                <w:b w:val="0"/>
                <w:bCs w:val="0"/>
                <w:color w:val="auto"/>
                <w:sz w:val="28"/>
                <w:szCs w:val="28"/>
                <w:highlight w:val="none"/>
              </w:rPr>
              <w:t>公里徒步赛、环丹霞山自行车赛、丹霞山马拉松赛等赛事，支持“</w:t>
            </w:r>
            <w:r>
              <w:rPr>
                <w:rFonts w:hint="eastAsia" w:cs="仿宋_GB2312"/>
                <w:b w:val="0"/>
                <w:bCs w:val="0"/>
                <w:color w:val="auto"/>
                <w:sz w:val="28"/>
                <w:szCs w:val="28"/>
                <w:highlight w:val="none"/>
                <w:lang w:val="en-US" w:eastAsia="zh-CN"/>
              </w:rPr>
              <w:t>浈</w:t>
            </w:r>
            <w:r>
              <w:rPr>
                <w:rFonts w:hint="eastAsia" w:cs="仿宋_GB2312"/>
                <w:b w:val="0"/>
                <w:bCs w:val="0"/>
                <w:color w:val="auto"/>
                <w:sz w:val="28"/>
                <w:szCs w:val="28"/>
                <w:highlight w:val="none"/>
              </w:rPr>
              <w:t>BA”“村BA”“村超”等特色赛事，大力发展户外运动产业，促进体育消费。</w:t>
            </w:r>
          </w:p>
        </w:tc>
      </w:tr>
    </w:tbl>
    <w:p w14:paraId="24B2E1D9">
      <w:pPr>
        <w:pStyle w:val="3"/>
        <w:shd w:val="clear"/>
        <w:kinsoku/>
        <w:bidi w:val="0"/>
        <w:rPr>
          <w:rFonts w:hint="eastAsia"/>
          <w:color w:val="auto"/>
          <w:highlight w:val="none"/>
          <w:lang w:val="en-US" w:eastAsia="zh-CN"/>
        </w:rPr>
        <w:sectPr>
          <w:pgSz w:w="11906" w:h="16839"/>
          <w:pgMar w:top="2098" w:right="1474" w:bottom="1984" w:left="1587" w:header="454" w:footer="1417" w:gutter="0"/>
          <w:pgNumType w:fmt="numberInDash"/>
          <w:cols w:space="720" w:num="1"/>
          <w:rtlGutter w:val="0"/>
        </w:sectPr>
      </w:pPr>
    </w:p>
    <w:bookmarkEnd w:id="655"/>
    <w:bookmarkEnd w:id="656"/>
    <w:bookmarkEnd w:id="745"/>
    <w:bookmarkEnd w:id="746"/>
    <w:bookmarkEnd w:id="747"/>
    <w:p w14:paraId="693076F0">
      <w:pPr>
        <w:pStyle w:val="3"/>
        <w:shd w:val="clear"/>
        <w:kinsoku/>
        <w:bidi w:val="0"/>
        <w:rPr>
          <w:rFonts w:hint="eastAsia"/>
          <w:b w:val="0"/>
          <w:bCs/>
          <w:color w:val="auto"/>
          <w:highlight w:val="none"/>
          <w:lang w:val="en-US" w:eastAsia="zh-CN"/>
        </w:rPr>
      </w:pPr>
      <w:bookmarkStart w:id="952" w:name="_Toc15937"/>
      <w:bookmarkStart w:id="953" w:name="_Toc30549"/>
      <w:bookmarkStart w:id="954" w:name="_Toc23023"/>
      <w:bookmarkStart w:id="955" w:name="_Toc14498"/>
      <w:bookmarkStart w:id="956" w:name="_Toc629"/>
      <w:bookmarkStart w:id="957" w:name="_Toc9767"/>
      <w:bookmarkStart w:id="958" w:name="_Toc10039"/>
      <w:bookmarkStart w:id="959" w:name="_Toc11187"/>
      <w:bookmarkStart w:id="960" w:name="_Toc1303"/>
      <w:bookmarkStart w:id="961" w:name="_Toc23081"/>
      <w:bookmarkStart w:id="962" w:name="_Toc14359"/>
      <w:bookmarkStart w:id="963" w:name="_Toc31137"/>
      <w:bookmarkStart w:id="964" w:name="_Toc6288"/>
      <w:bookmarkStart w:id="965" w:name="_Toc2216"/>
      <w:bookmarkStart w:id="966" w:name="_Toc7607"/>
      <w:bookmarkStart w:id="967" w:name="_Toc14122"/>
      <w:bookmarkStart w:id="968" w:name="_Toc10068"/>
      <w:bookmarkStart w:id="969" w:name="_Toc7001"/>
      <w:bookmarkStart w:id="970" w:name="_Toc29156"/>
      <w:bookmarkStart w:id="971" w:name="_Toc16676"/>
      <w:bookmarkStart w:id="972" w:name="_Toc8361"/>
      <w:bookmarkStart w:id="973" w:name="_Toc23069"/>
      <w:bookmarkStart w:id="974" w:name="_Toc23195"/>
      <w:bookmarkStart w:id="975" w:name="_Toc25160"/>
      <w:r>
        <w:rPr>
          <w:rFonts w:hint="eastAsia"/>
          <w:b w:val="0"/>
          <w:bCs/>
          <w:color w:val="auto"/>
          <w:highlight w:val="none"/>
          <w:lang w:val="en-US" w:eastAsia="zh-CN"/>
        </w:rPr>
        <w:t>第十一章 持续增进民生福祉，建设更加普惠幸福浈江</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14:paraId="6AA2B122">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56670B0B">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坚持把人民对美好生活的向往作为奋斗目标，以高质量发展引领高质量民生供给，加快构建优质均衡、普惠共享的现代化民生服务体系，让群众的获得感、幸福感、安全感更加可感可及。</w:t>
      </w:r>
    </w:p>
    <w:p w14:paraId="39BFE92D">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0C85289A">
      <w:pPr>
        <w:pStyle w:val="4"/>
        <w:shd w:val="clear"/>
        <w:kinsoku/>
        <w:bidi w:val="0"/>
        <w:rPr>
          <w:rFonts w:hint="eastAsia"/>
          <w:b w:val="0"/>
          <w:bCs w:val="0"/>
          <w:color w:val="auto"/>
          <w:highlight w:val="none"/>
          <w:lang w:val="en-US" w:eastAsia="zh-CN"/>
        </w:rPr>
      </w:pPr>
      <w:bookmarkStart w:id="976" w:name="_Toc4692"/>
      <w:bookmarkStart w:id="977" w:name="_Toc7551"/>
      <w:bookmarkStart w:id="978" w:name="_Toc4916"/>
      <w:bookmarkStart w:id="979" w:name="_Toc22203"/>
      <w:bookmarkStart w:id="980" w:name="_Toc17667"/>
      <w:bookmarkStart w:id="981" w:name="_Toc20245"/>
      <w:bookmarkStart w:id="982" w:name="_Toc23620"/>
      <w:bookmarkStart w:id="983" w:name="_Toc12237"/>
      <w:bookmarkStart w:id="984" w:name="_Toc13020"/>
      <w:bookmarkStart w:id="985" w:name="_Toc246"/>
      <w:bookmarkStart w:id="986" w:name="_Toc14704"/>
      <w:bookmarkStart w:id="987" w:name="_Toc8985"/>
      <w:bookmarkStart w:id="988" w:name="_Toc32235"/>
      <w:bookmarkStart w:id="989" w:name="_Toc565"/>
      <w:bookmarkStart w:id="990" w:name="_Toc13064"/>
      <w:bookmarkStart w:id="991" w:name="_Toc3147"/>
      <w:bookmarkStart w:id="992" w:name="_Toc404"/>
      <w:bookmarkStart w:id="993" w:name="_Toc19561"/>
      <w:r>
        <w:rPr>
          <w:rFonts w:hint="eastAsia"/>
          <w:b w:val="0"/>
          <w:bCs w:val="0"/>
          <w:color w:val="auto"/>
          <w:highlight w:val="none"/>
          <w:lang w:val="en-US" w:eastAsia="zh-CN"/>
        </w:rPr>
        <w:t>第一节 推进高质量充分就业</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14:paraId="33B54716">
      <w:pPr>
        <w:shd w:val="clear"/>
        <w:kinsoku/>
        <w:bidi w:val="0"/>
        <w:rPr>
          <w:rFonts w:hint="eastAsia"/>
          <w:b/>
          <w:bCs/>
          <w:color w:val="auto"/>
          <w:highlight w:val="none"/>
          <w:lang w:val="en-US" w:eastAsia="zh-CN"/>
        </w:rPr>
      </w:pPr>
    </w:p>
    <w:p w14:paraId="70ED96AF">
      <w:pPr>
        <w:shd w:val="clear"/>
        <w:kinsoku/>
        <w:bidi w:val="0"/>
        <w:rPr>
          <w:rFonts w:hint="eastAsia"/>
          <w:color w:val="auto"/>
          <w:highlight w:val="none"/>
          <w:lang w:val="en-US" w:eastAsia="zh-CN"/>
        </w:rPr>
      </w:pPr>
      <w:r>
        <w:rPr>
          <w:rFonts w:hint="eastAsia"/>
          <w:b/>
          <w:bCs/>
          <w:color w:val="auto"/>
          <w:highlight w:val="none"/>
          <w:lang w:val="en-US" w:eastAsia="zh-CN"/>
        </w:rPr>
        <w:t>稳定就业基本盘。</w:t>
      </w:r>
      <w:r>
        <w:rPr>
          <w:rFonts w:hint="eastAsia"/>
          <w:color w:val="auto"/>
          <w:highlight w:val="none"/>
          <w:lang w:val="en-US" w:eastAsia="zh-CN"/>
        </w:rPr>
        <w:t>坚持就业优先，推动经济社会政策与就业政策协调联动，构建就业友好型发展模式。落实省“稳就业16条”，做实“1131”实名服务，支持各类经营主体稳岗扩岗。完善就业公共服务体系，实施双向破解“用工难”“就业难”行动，积极举办各类主题招聘活动，促进企业和求职者有效对接。实施基层就业服务提质增效行动，提升基层服务站、就业驿站标准化水平，一体推进“粤菜师傅”“广东技工”“南粤家政”三项工程。深化拓展家门口就业服务圈建设，推行“大数据+铁脚板”服务模式，进一步构建“15分钟就业服务圈”，打通就业创业“最后一公里”。稳定高校毕业生、农民工、退役军人等特殊群体和困难人员就业，精准帮扶大龄、残疾、较长时间失业等困难群体，加强公益性岗位兜底安置，为有就业意愿脱贫劳动力100%提供就业服务。“十五五”期间，力争实现城镇新增就业12000人、城镇失业人员再就业6000人。</w:t>
      </w:r>
    </w:p>
    <w:p w14:paraId="2BDCBAAE">
      <w:pPr>
        <w:shd w:val="clear"/>
        <w:kinsoku/>
        <w:bidi w:val="0"/>
        <w:rPr>
          <w:rFonts w:hint="eastAsia"/>
          <w:color w:val="auto"/>
          <w:highlight w:val="none"/>
          <w:lang w:val="en-US" w:eastAsia="zh-CN"/>
        </w:rPr>
      </w:pPr>
      <w:r>
        <w:rPr>
          <w:rFonts w:hint="eastAsia"/>
          <w:b/>
          <w:bCs/>
          <w:color w:val="auto"/>
          <w:highlight w:val="none"/>
          <w:lang w:val="en-US" w:eastAsia="zh-CN"/>
        </w:rPr>
        <w:t>增强就业创业能力。</w:t>
      </w:r>
      <w:r>
        <w:rPr>
          <w:rFonts w:hint="eastAsia"/>
          <w:color w:val="auto"/>
          <w:highlight w:val="none"/>
          <w:lang w:val="en-US" w:eastAsia="zh-CN"/>
        </w:rPr>
        <w:t>高质量推进“百万英才汇南粤”行动计划、人才入县下乡服务“百千万工程”，大力引进急需紧缺人才、高校毕业生、青年人才。聚焦“数字化转型”“产教融合”“绿色技能”三大方向，健全终身职业技能培训制度，加强劳动者技能培训，力争到2030年，新增高技能人才占比达30%。健全创业培训、创业服务、创业孵化、创业活动支持体系，优化创业促进就业政策环境，提升创业质量。支持灵活就业健康发展，建设功能化便捷化零工驿站。加强对“机器换人”“AI替人”形势研判，预防结构性失业风险。</w:t>
      </w:r>
    </w:p>
    <w:p w14:paraId="4B8AC19E">
      <w:pPr>
        <w:shd w:val="clear"/>
        <w:kinsoku/>
        <w:bidi w:val="0"/>
        <w:rPr>
          <w:rFonts w:hint="eastAsia"/>
          <w:strike w:val="0"/>
          <w:dstrike w:val="0"/>
          <w:color w:val="auto"/>
          <w:sz w:val="32"/>
          <w:szCs w:val="32"/>
          <w:highlight w:val="none"/>
          <w:u w:val="none" w:color="auto"/>
          <w:lang w:eastAsia="zh-CN"/>
        </w:rPr>
      </w:pPr>
      <w:r>
        <w:rPr>
          <w:rFonts w:hint="eastAsia" w:ascii="Times New Roman" w:hAnsi="Times New Roman"/>
          <w:b/>
          <w:bCs/>
          <w:color w:val="auto"/>
          <w:highlight w:val="none"/>
          <w:lang w:val="en-US" w:eastAsia="zh-CN"/>
        </w:rPr>
        <w:t>多渠道促进城乡居民增收。</w:t>
      </w:r>
      <w:r>
        <w:rPr>
          <w:rFonts w:hint="eastAsia"/>
          <w:strike w:val="0"/>
          <w:dstrike w:val="0"/>
          <w:color w:val="auto"/>
          <w:sz w:val="32"/>
          <w:szCs w:val="32"/>
          <w:highlight w:val="none"/>
          <w:u w:val="none" w:color="auto"/>
          <w:lang w:val="en-US" w:eastAsia="zh-CN"/>
        </w:rPr>
        <w:t>持续推动工资性收入合理平稳增长，严格落实工资指导线制度。建立健全企业职工工资正常增长与效益联动机制，重点向制造业、建筑业、服务业等领域一线劳动者倾斜。完善技能人才薪酬激励政策，切实提高劳动报酬在初次分配中的比重。实施城乡居民增收计划，促进工资性收入平稳增长，多渠道增加财产性收入。积极拓展财产性收入渠道，丰富个人养老金理财产品供给，盘活利用农户合法住房，鼓励通过出租、入股、合作经营等模式，发展民宿、康养、文创等业态，实现财产性收入稳步提升。</w:t>
      </w:r>
      <w:r>
        <w:rPr>
          <w:rFonts w:hint="eastAsia"/>
          <w:strike w:val="0"/>
          <w:dstrike w:val="0"/>
          <w:color w:val="auto"/>
          <w:sz w:val="32"/>
          <w:szCs w:val="32"/>
          <w:highlight w:val="none"/>
          <w:u w:val="none" w:color="auto"/>
          <w:lang w:eastAsia="zh-CN"/>
        </w:rPr>
        <w:t>“</w:t>
      </w:r>
      <w:r>
        <w:rPr>
          <w:rFonts w:hint="eastAsia"/>
          <w:strike w:val="0"/>
          <w:dstrike w:val="0"/>
          <w:color w:val="auto"/>
          <w:sz w:val="32"/>
          <w:szCs w:val="32"/>
          <w:highlight w:val="none"/>
          <w:u w:val="none" w:color="auto"/>
        </w:rPr>
        <w:t>十五五</w:t>
      </w:r>
      <w:r>
        <w:rPr>
          <w:rFonts w:hint="eastAsia"/>
          <w:strike w:val="0"/>
          <w:dstrike w:val="0"/>
          <w:color w:val="auto"/>
          <w:sz w:val="32"/>
          <w:szCs w:val="32"/>
          <w:highlight w:val="none"/>
          <w:u w:val="none" w:color="auto"/>
          <w:lang w:eastAsia="zh-CN"/>
        </w:rPr>
        <w:t>”</w:t>
      </w:r>
      <w:r>
        <w:rPr>
          <w:rFonts w:hint="eastAsia"/>
          <w:strike w:val="0"/>
          <w:dstrike w:val="0"/>
          <w:color w:val="auto"/>
          <w:sz w:val="32"/>
          <w:szCs w:val="32"/>
          <w:highlight w:val="none"/>
          <w:u w:val="none" w:color="auto"/>
        </w:rPr>
        <w:t>期间，实现</w:t>
      </w:r>
      <w:r>
        <w:rPr>
          <w:rFonts w:hint="eastAsia"/>
          <w:strike w:val="0"/>
          <w:dstrike w:val="0"/>
          <w:color w:val="auto"/>
          <w:sz w:val="32"/>
          <w:szCs w:val="32"/>
          <w:highlight w:val="none"/>
          <w:u w:val="none" w:color="auto"/>
          <w:lang w:val="en-US" w:eastAsia="zh-CN"/>
        </w:rPr>
        <w:t>居</w:t>
      </w:r>
      <w:r>
        <w:rPr>
          <w:rFonts w:hint="eastAsia"/>
          <w:strike w:val="0"/>
          <w:dstrike w:val="0"/>
          <w:color w:val="auto"/>
          <w:sz w:val="32"/>
          <w:szCs w:val="32"/>
          <w:highlight w:val="none"/>
          <w:u w:val="none" w:color="auto"/>
        </w:rPr>
        <w:t>民收入与经济增长</w:t>
      </w:r>
      <w:r>
        <w:rPr>
          <w:rFonts w:hint="eastAsia"/>
          <w:strike w:val="0"/>
          <w:dstrike w:val="0"/>
          <w:color w:val="auto"/>
          <w:sz w:val="32"/>
          <w:szCs w:val="32"/>
          <w:highlight w:val="none"/>
          <w:u w:val="none" w:color="auto"/>
          <w:lang w:val="en-US" w:eastAsia="zh-CN"/>
        </w:rPr>
        <w:t>基本</w:t>
      </w:r>
      <w:r>
        <w:rPr>
          <w:rFonts w:hint="eastAsia"/>
          <w:strike w:val="0"/>
          <w:dstrike w:val="0"/>
          <w:color w:val="auto"/>
          <w:sz w:val="32"/>
          <w:szCs w:val="32"/>
          <w:highlight w:val="none"/>
          <w:u w:val="none" w:color="auto"/>
        </w:rPr>
        <w:t>同步</w:t>
      </w:r>
      <w:r>
        <w:rPr>
          <w:rFonts w:hint="eastAsia"/>
          <w:strike w:val="0"/>
          <w:dstrike w:val="0"/>
          <w:color w:val="auto"/>
          <w:sz w:val="32"/>
          <w:szCs w:val="32"/>
          <w:highlight w:val="none"/>
          <w:u w:val="none" w:color="auto"/>
          <w:lang w:eastAsia="zh-CN"/>
        </w:rPr>
        <w:t>。</w:t>
      </w:r>
    </w:p>
    <w:p w14:paraId="3CBE5AB9">
      <w:pPr>
        <w:shd w:val="clear"/>
        <w:kinsoku/>
        <w:bidi w:val="0"/>
        <w:rPr>
          <w:rFonts w:hint="eastAsia"/>
          <w:strike w:val="0"/>
          <w:dstrike w:val="0"/>
          <w:color w:val="auto"/>
          <w:sz w:val="32"/>
          <w:szCs w:val="32"/>
          <w:highlight w:val="none"/>
          <w:u w:val="none" w:color="auto"/>
          <w:lang w:val="en-US" w:eastAsia="zh-CN"/>
        </w:rPr>
      </w:pPr>
    </w:p>
    <w:p w14:paraId="15F1AFC7">
      <w:pPr>
        <w:pStyle w:val="4"/>
        <w:shd w:val="clear"/>
        <w:kinsoku/>
        <w:bidi w:val="0"/>
        <w:rPr>
          <w:rFonts w:hint="eastAsia"/>
          <w:b w:val="0"/>
          <w:bCs w:val="0"/>
          <w:color w:val="auto"/>
          <w:highlight w:val="none"/>
          <w:lang w:val="en-US" w:eastAsia="zh-CN"/>
        </w:rPr>
      </w:pPr>
      <w:bookmarkStart w:id="994" w:name="_Toc15680"/>
      <w:bookmarkStart w:id="995" w:name="_Toc6215"/>
      <w:bookmarkStart w:id="996" w:name="_Toc27946"/>
      <w:bookmarkStart w:id="997" w:name="_Toc7454"/>
      <w:bookmarkStart w:id="998" w:name="_Toc4390"/>
      <w:bookmarkStart w:id="999" w:name="_Toc14345"/>
      <w:bookmarkStart w:id="1000" w:name="_Toc19377"/>
      <w:bookmarkStart w:id="1001" w:name="_Toc2942"/>
      <w:bookmarkStart w:id="1002" w:name="_Toc22426"/>
      <w:bookmarkStart w:id="1003" w:name="_Toc2496"/>
      <w:bookmarkStart w:id="1004" w:name="_Toc26317"/>
      <w:bookmarkStart w:id="1005" w:name="_Toc29782"/>
      <w:bookmarkStart w:id="1006" w:name="_Toc14389"/>
      <w:bookmarkStart w:id="1007" w:name="_Toc10622"/>
      <w:bookmarkStart w:id="1008" w:name="_Toc22148"/>
      <w:bookmarkStart w:id="1009" w:name="_Toc24739"/>
      <w:bookmarkStart w:id="1010" w:name="_Toc16606"/>
      <w:bookmarkStart w:id="1011" w:name="_Toc23125"/>
      <w:r>
        <w:rPr>
          <w:rFonts w:hint="eastAsia"/>
          <w:b w:val="0"/>
          <w:bCs w:val="0"/>
          <w:color w:val="auto"/>
          <w:highlight w:val="none"/>
          <w:lang w:val="en-US" w:eastAsia="zh-CN"/>
        </w:rPr>
        <w:t>第二节 办好人民满意的教育</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14:paraId="654054E7">
      <w:pPr>
        <w:rPr>
          <w:rFonts w:hint="eastAsia"/>
          <w:lang w:val="en-US" w:eastAsia="zh-CN"/>
        </w:rPr>
      </w:pPr>
    </w:p>
    <w:p w14:paraId="56E38F1A">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落实立德树人根本任务。</w:t>
      </w:r>
      <w:r>
        <w:rPr>
          <w:rFonts w:hint="eastAsia"/>
          <w:color w:val="auto"/>
          <w:highlight w:val="none"/>
          <w:lang w:val="en-US" w:eastAsia="zh-CN"/>
        </w:rPr>
        <w:t>加强新时代学校思想政治教育，推动习近平新时代中国特色社会主义思想深度融入浈江区各学校课程教学与校园文化。深入开展社会主义核心价值观教育，因地制宜用好浈江资源，办好学生社会实践体验教学活动。加强青少年体育与健康教育，严格执行中小学生每日综合体育活动不少于2小时、每天安排1节体育课的要求，推动“三大球”在校园普及发展。拓展育人空间与阵地，完善以政府主导、学校主体、家庭基础、社会支持的协同育人机制，实现课内外、校内外与线上线下教育资源有效整合，形成全社会共同参与的教育生态。推进“大思政课”建设，强化青少年体质与心理健康教育。</w:t>
      </w:r>
    </w:p>
    <w:p w14:paraId="5FDB475F">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加快推进学前教育普及普惠发展。</w:t>
      </w:r>
      <w:r>
        <w:rPr>
          <w:rFonts w:hint="eastAsia"/>
          <w:color w:val="auto"/>
          <w:highlight w:val="none"/>
          <w:lang w:val="en-US" w:eastAsia="zh-CN"/>
        </w:rPr>
        <w:t>充分保障群众就近入园需求，将普惠性幼儿园建设纳入城乡公共管理和公共服务设施统一规划，新建或改扩建幼儿园2所。重点解决人口密集区域学位紧张问题，办好农村地区乡镇中心幼儿园和村级幼儿园，积极扶持普惠性民办幼儿园，统筹实施多种形式的特殊学前教育。探索建立科学的延时服务制度，鼓励有条件的幼儿园提供托育服务。到2030年，全区新增学前教育公办学位900个，普惠性幼儿园在园幼儿数占比达到90%以上，学前教育毛入园率保持100%以上，创建成为国家学前教育普及普惠区。</w:t>
      </w:r>
    </w:p>
    <w:p w14:paraId="3E4FCE3C">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加快推进义务教育优质均衡发展。</w:t>
      </w:r>
      <w:r>
        <w:rPr>
          <w:rFonts w:hint="eastAsia"/>
          <w:color w:val="auto"/>
          <w:highlight w:val="none"/>
          <w:lang w:val="en-US" w:eastAsia="zh-CN"/>
        </w:rPr>
        <w:t>新建1所九年一贯制学校，改扩建学校3所，重点解决中心城区学位紧张问题。实施浈江区教育基础设施设备更新及教育数字化补短板项目。推进农村教育振兴，对犁市镇、花坪镇等5所农村学校进行校舍改造、运动场升级和功能室建设，撤并小规模学校3所，实施“一镇一品牌”农村学校建设计划，完善乡村学校“互联网+教育”设施，实现城乡优质资源共享。到2030年，创建成为国家义务教育优质均衡区，城乡学校师资配置差异系数低于0.2，九年义务教育巩固率保持在98%以上。优化特殊教育，完善以特殊教育学校为骨干兼具指导中心职能、以特教班或随班就读为主体兼具资源中心职能、以送教上门为有效补充的特殊教育体系。</w:t>
      </w:r>
    </w:p>
    <w:p w14:paraId="1206A44F">
      <w:pPr>
        <w:shd w:val="clear"/>
        <w:kinsoku/>
        <w:bidi w:val="0"/>
        <w:rPr>
          <w:rFonts w:hint="eastAsia"/>
          <w:color w:val="auto"/>
          <w:highlight w:val="none"/>
          <w:lang w:val="en-US" w:eastAsia="zh-CN"/>
        </w:rPr>
      </w:pPr>
      <w:r>
        <w:rPr>
          <w:rFonts w:hint="eastAsia" w:ascii="Times New Roman" w:hAnsi="Times New Roman"/>
          <w:b/>
          <w:bCs/>
          <w:color w:val="auto"/>
          <w:highlight w:val="none"/>
          <w:lang w:val="en-US" w:eastAsia="zh-CN"/>
        </w:rPr>
        <w:t>深化教育综合改革。</w:t>
      </w:r>
      <w:r>
        <w:rPr>
          <w:rFonts w:hint="eastAsia"/>
          <w:color w:val="auto"/>
          <w:highlight w:val="none"/>
          <w:lang w:val="en-US" w:eastAsia="zh-CN"/>
        </w:rPr>
        <w:t>深化教育教学改革，构建“五育融合”课程体系，推广“韶优课堂”教学模式，打造省级精品课程案例。</w:t>
      </w:r>
      <w:r>
        <w:rPr>
          <w:rFonts w:hint="eastAsia" w:ascii="BatangChe" w:hAnsi="BatangChe" w:eastAsia="仿宋_GB2312" w:cs="仿宋_GB2312"/>
          <w:b w:val="0"/>
          <w:bCs w:val="0"/>
          <w:color w:val="auto"/>
          <w:kern w:val="2"/>
          <w:sz w:val="32"/>
          <w:szCs w:val="32"/>
          <w:highlight w:val="none"/>
          <w:lang w:val="en-US" w:eastAsia="zh-CN" w:bidi="ar-SA"/>
        </w:rPr>
        <w:t>探索创新办学模式</w:t>
      </w:r>
      <w:r>
        <w:rPr>
          <w:rFonts w:hint="eastAsia" w:ascii="BatangChe" w:hAnsi="BatangChe" w:cs="仿宋_GB2312"/>
          <w:b w:val="0"/>
          <w:bCs w:val="0"/>
          <w:color w:val="auto"/>
          <w:kern w:val="2"/>
          <w:sz w:val="32"/>
          <w:szCs w:val="32"/>
          <w:highlight w:val="none"/>
          <w:lang w:val="en-US" w:eastAsia="zh-CN" w:bidi="ar-SA"/>
        </w:rPr>
        <w:t>，</w:t>
      </w:r>
      <w:r>
        <w:rPr>
          <w:rFonts w:hint="eastAsia" w:ascii="BatangChe" w:hAnsi="BatangChe" w:eastAsia="仿宋_GB2312" w:cs="仿宋_GB2312"/>
          <w:b w:val="0"/>
          <w:bCs w:val="0"/>
          <w:color w:val="auto"/>
          <w:kern w:val="2"/>
          <w:sz w:val="32"/>
          <w:szCs w:val="32"/>
          <w:highlight w:val="none"/>
          <w:lang w:val="en-US" w:eastAsia="zh-CN" w:bidi="ar-SA"/>
        </w:rPr>
        <w:t>引</w:t>
      </w:r>
      <w:r>
        <w:rPr>
          <w:rFonts w:hint="eastAsia" w:ascii="BatangChe" w:hAnsi="BatangChe" w:eastAsia="仿宋_GB2312" w:cs="仿宋_GB2312"/>
          <w:color w:val="auto"/>
          <w:kern w:val="2"/>
          <w:sz w:val="32"/>
          <w:szCs w:val="32"/>
          <w:highlight w:val="none"/>
          <w:lang w:val="en-US" w:eastAsia="zh-CN" w:bidi="ar-SA"/>
        </w:rPr>
        <w:t>入高校资源赋能基础教育，推动韶关学院、东莞理工学院、南方技师学院等院校支持义务教育提质增效，深化广东松山职业技术学院与黄金村小学合作办学机制。</w:t>
      </w:r>
      <w:r>
        <w:rPr>
          <w:rFonts w:hint="eastAsia"/>
          <w:color w:val="auto"/>
          <w:highlight w:val="none"/>
          <w:lang w:val="en-US" w:eastAsia="zh-CN"/>
        </w:rPr>
        <w:t>深入实施“新强师工程”，与韶关学院、东莞理工学院开展“三名”教师培养，提升教师专业素质能力。健全教师发展体系、教研体系，优化“风采教师”评选，加强浈江区教师发展中心内涵建设。到2030年，城区学校教师本科率达100%，农村学校教师本科率达98%以上，培养市级以上骨干教师5名。</w:t>
      </w:r>
    </w:p>
    <w:p w14:paraId="33976B79">
      <w:pPr>
        <w:pStyle w:val="10"/>
        <w:spacing w:line="240" w:lineRule="exact"/>
        <w:rPr>
          <w:rFonts w:hint="eastAsia"/>
          <w:color w:val="auto"/>
          <w:highlight w:val="none"/>
          <w:lang w:val="en-US" w:eastAsia="zh-CN"/>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C6D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4" w:type="dxa"/>
          </w:tcPr>
          <w:p w14:paraId="6900445F">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0" w:firstLineChars="0"/>
              <w:jc w:val="center"/>
              <w:textAlignment w:val="baseline"/>
              <w:rPr>
                <w:rFonts w:hint="default" w:ascii="Times New Roman" w:hAnsi="Times New Roman" w:eastAsia="黑体" w:cs="Times New Roman"/>
                <w:strike w:val="0"/>
                <w:dstrike w:val="0"/>
                <w:color w:val="auto"/>
                <w:sz w:val="28"/>
                <w:szCs w:val="28"/>
                <w:highlight w:val="none"/>
                <w:u w:val="none" w:color="auto"/>
                <w:vertAlign w:val="baseline"/>
                <w:lang w:val="en-US" w:eastAsia="zh-CN"/>
              </w:rPr>
            </w:pPr>
            <w:r>
              <w:rPr>
                <w:rFonts w:hint="eastAsia" w:ascii="Times New Roman" w:hAnsi="Times New Roman" w:eastAsia="黑体" w:cs="Times New Roman"/>
                <w:strike w:val="0"/>
                <w:dstrike w:val="0"/>
                <w:color w:val="auto"/>
                <w:sz w:val="28"/>
                <w:szCs w:val="28"/>
                <w:highlight w:val="none"/>
                <w:u w:val="none" w:color="auto"/>
                <w:vertAlign w:val="baseline"/>
                <w:lang w:val="en-US" w:eastAsia="zh-CN"/>
              </w:rPr>
              <w:t>专栏</w:t>
            </w:r>
            <w:r>
              <w:rPr>
                <w:rFonts w:hint="eastAsia" w:eastAsia="黑体" w:cs="Times New Roman"/>
                <w:strike w:val="0"/>
                <w:dstrike w:val="0"/>
                <w:color w:val="auto"/>
                <w:sz w:val="28"/>
                <w:szCs w:val="28"/>
                <w:highlight w:val="none"/>
                <w:u w:val="none" w:color="auto"/>
                <w:vertAlign w:val="baseline"/>
                <w:lang w:val="en-US" w:eastAsia="zh-CN"/>
              </w:rPr>
              <w:t>4</w:t>
            </w:r>
            <w:r>
              <w:rPr>
                <w:rFonts w:hint="eastAsia" w:ascii="Times New Roman" w:hAnsi="Times New Roman" w:eastAsia="黑体" w:cs="Times New Roman"/>
                <w:strike w:val="0"/>
                <w:dstrike w:val="0"/>
                <w:color w:val="auto"/>
                <w:sz w:val="28"/>
                <w:szCs w:val="28"/>
                <w:highlight w:val="none"/>
                <w:u w:val="none" w:color="auto"/>
                <w:vertAlign w:val="baseline"/>
                <w:lang w:val="en-US" w:eastAsia="zh-CN"/>
              </w:rPr>
              <w:t xml:space="preserve"> 教育扩容提质工程</w:t>
            </w:r>
          </w:p>
        </w:tc>
      </w:tr>
      <w:tr w14:paraId="67CF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4" w:type="dxa"/>
          </w:tcPr>
          <w:p w14:paraId="4F18C770">
            <w:pPr>
              <w:keepNext w:val="0"/>
              <w:keepLines w:val="0"/>
              <w:pageBreakBefore w:val="0"/>
              <w:widowControl/>
              <w:shd w:val="clear"/>
              <w:kinsoku/>
              <w:wordWrap/>
              <w:overflowPunct/>
              <w:topLinePunct w:val="0"/>
              <w:autoSpaceDE w:val="0"/>
              <w:autoSpaceDN w:val="0"/>
              <w:bidi w:val="0"/>
              <w:adjustRightInd w:val="0"/>
              <w:snapToGrid w:val="0"/>
              <w:spacing w:before="0" w:beforeLines="20" w:line="276"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1.教育资源扩容工程：</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1）城市区域，新建中小学1所、幼儿园2所，改扩建学校2所；对韶关市第八中学进行改扩建，新增初中学位300个；新建江山樾幼儿园1所、回购金诺莎幼儿园1所，新增学前教育公办学位900个；根据人口动态调整学校空间布局，动态增班扩容义务教育学位约500个；（2）农村区域，投入100万元，对犁市镇大为中学、中心小学，花坪镇实验学校，新韶镇府管小学、东联小学等5所农村学校进行校舍改造、运动场升级及功能室建设；撤并小规模学校3所，实施“一镇一品牌”农村学校建设计划，完善乡村学校“互联网+教育”设施。</w:t>
            </w:r>
          </w:p>
          <w:p w14:paraId="5F8961A1">
            <w:pPr>
              <w:keepNext w:val="0"/>
              <w:keepLines w:val="0"/>
              <w:pageBreakBefore w:val="0"/>
              <w:widowControl/>
              <w:shd w:val="clear"/>
              <w:kinsoku/>
              <w:wordWrap/>
              <w:overflowPunct/>
              <w:topLinePunct w:val="0"/>
              <w:autoSpaceDE w:val="0"/>
              <w:autoSpaceDN w:val="0"/>
              <w:bidi w:val="0"/>
              <w:adjustRightInd w:val="0"/>
              <w:snapToGrid w:val="0"/>
              <w:spacing w:before="0" w:beforeLines="20" w:line="276"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2.智慧教育创新工程：</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1）基础设施，升级教育城域网，实现所有学校千兆光纤接入率100%；推进校园5G网络全覆盖，支持虚拟现实（VR）、增强现实（AR）等新技术应用；推动“国家中小学智慧教育平台”“粤教翔云”平台全域应用，构建高速、安全、稳定的区域教育专网。（2）教学应用</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推广“线上+线下”混合式课堂与跨校“双师课堂”，破解农村学校师资短缺难题；建立区</w:t>
            </w:r>
            <w:r>
              <w:rPr>
                <w:rFonts w:hint="eastAsia" w:cs="Times New Roman"/>
                <w:b w:val="0"/>
                <w:bCs w:val="0"/>
                <w:strike w:val="0"/>
                <w:dstrike w:val="0"/>
                <w:color w:val="auto"/>
                <w:sz w:val="28"/>
                <w:szCs w:val="28"/>
                <w:highlight w:val="none"/>
                <w:u w:val="none" w:color="auto"/>
                <w:vertAlign w:val="baseline"/>
                <w:lang w:val="en-US" w:eastAsia="zh-CN"/>
              </w:rPr>
              <w:t>－</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校两级智慧教研体系，开展“数智研课”“在线集体备课”活动。</w:t>
            </w:r>
          </w:p>
          <w:p w14:paraId="04B86CEB">
            <w:pPr>
              <w:keepNext w:val="0"/>
              <w:keepLines w:val="0"/>
              <w:pageBreakBefore w:val="0"/>
              <w:widowControl/>
              <w:shd w:val="clear"/>
              <w:kinsoku/>
              <w:wordWrap/>
              <w:overflowPunct/>
              <w:topLinePunct w:val="0"/>
              <w:autoSpaceDE w:val="0"/>
              <w:autoSpaceDN w:val="0"/>
              <w:bidi w:val="0"/>
              <w:adjustRightInd w:val="0"/>
              <w:snapToGrid w:val="0"/>
              <w:spacing w:before="0" w:beforeLines="20" w:line="276" w:lineRule="auto"/>
              <w:textAlignment w:val="baseline"/>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pPr>
            <w:r>
              <w:rPr>
                <w:rFonts w:hint="eastAsia" w:ascii="Times New Roman" w:hAnsi="Times New Roman" w:cs="Times New Roman"/>
                <w:b/>
                <w:bCs/>
                <w:strike w:val="0"/>
                <w:dstrike w:val="0"/>
                <w:color w:val="auto"/>
                <w:sz w:val="28"/>
                <w:szCs w:val="28"/>
                <w:highlight w:val="none"/>
                <w:u w:val="none" w:color="auto"/>
                <w:vertAlign w:val="baseline"/>
                <w:lang w:val="en-US" w:eastAsia="zh-CN"/>
              </w:rPr>
              <w:t>3.教师发展提升工程：</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（1）硬件建设，建设农村教师周转宿舍10套并配套生活设施，2028年交付使用，解决农村教师住宿问题。（2）能力提升，实施“</w:t>
            </w:r>
            <w:r>
              <w:rPr>
                <w:rFonts w:hint="eastAsia" w:cs="Times New Roman"/>
                <w:b w:val="0"/>
                <w:bCs w:val="0"/>
                <w:strike w:val="0"/>
                <w:dstrike w:val="0"/>
                <w:color w:val="auto"/>
                <w:sz w:val="28"/>
                <w:szCs w:val="28"/>
                <w:highlight w:val="none"/>
                <w:u w:val="none" w:color="auto"/>
                <w:vertAlign w:val="baseline"/>
                <w:lang w:val="en-US" w:eastAsia="zh-CN"/>
              </w:rPr>
              <w:t>四阶</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”教师培养计划，针对教研员、骨干教师、青年教师开展分层培训；每年邀请省内外教育专家讲学，组织</w:t>
            </w:r>
            <w:r>
              <w:rPr>
                <w:rFonts w:hint="eastAsia" w:cs="Times New Roman"/>
                <w:b w:val="0"/>
                <w:bCs w:val="0"/>
                <w:strike w:val="0"/>
                <w:dstrike w:val="0"/>
                <w:color w:val="auto"/>
                <w:sz w:val="28"/>
                <w:szCs w:val="28"/>
                <w:highlight w:val="none"/>
                <w:u w:val="none" w:color="auto"/>
                <w:vertAlign w:val="baseline"/>
                <w:lang w:val="en-US" w:eastAsia="zh-CN"/>
              </w:rPr>
              <w:t>骨干教师</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赴东莞等先进地区跟岗学习；</w:t>
            </w:r>
            <w:r>
              <w:rPr>
                <w:rFonts w:hint="eastAsia" w:cs="Times New Roman"/>
                <w:b w:val="0"/>
                <w:bCs w:val="0"/>
                <w:strike w:val="0"/>
                <w:dstrike w:val="0"/>
                <w:color w:val="auto"/>
                <w:sz w:val="28"/>
                <w:szCs w:val="28"/>
                <w:highlight w:val="none"/>
                <w:u w:val="none" w:color="auto"/>
                <w:vertAlign w:val="baseline"/>
                <w:lang w:val="en-US" w:eastAsia="zh-CN"/>
              </w:rPr>
              <w:t>健全</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教师专业发展</w:t>
            </w:r>
            <w:r>
              <w:rPr>
                <w:rFonts w:hint="eastAsia" w:cs="Times New Roman"/>
                <w:b w:val="0"/>
                <w:bCs w:val="0"/>
                <w:strike w:val="0"/>
                <w:dstrike w:val="0"/>
                <w:color w:val="auto"/>
                <w:sz w:val="28"/>
                <w:szCs w:val="28"/>
                <w:highlight w:val="none"/>
                <w:u w:val="none" w:color="auto"/>
                <w:vertAlign w:val="baseline"/>
                <w:lang w:val="en-US" w:eastAsia="zh-CN"/>
              </w:rPr>
              <w:t>全员轮训</w:t>
            </w:r>
            <w:r>
              <w:rPr>
                <w:rFonts w:hint="eastAsia" w:ascii="Times New Roman" w:hAnsi="Times New Roman" w:cs="Times New Roman"/>
                <w:b w:val="0"/>
                <w:bCs w:val="0"/>
                <w:strike w:val="0"/>
                <w:dstrike w:val="0"/>
                <w:color w:val="auto"/>
                <w:sz w:val="28"/>
                <w:szCs w:val="28"/>
                <w:highlight w:val="none"/>
                <w:u w:val="none" w:color="auto"/>
                <w:vertAlign w:val="baseline"/>
                <w:lang w:val="en-US" w:eastAsia="zh-CN"/>
              </w:rPr>
              <w:t>制度，将培训、教研、成果转化纳入学分管理。</w:t>
            </w:r>
          </w:p>
        </w:tc>
      </w:tr>
    </w:tbl>
    <w:p w14:paraId="75912638">
      <w:pPr>
        <w:pStyle w:val="4"/>
        <w:shd w:val="clear"/>
        <w:kinsoku/>
        <w:autoSpaceDE/>
        <w:autoSpaceDN/>
        <w:bidi w:val="0"/>
        <w:adjustRightInd w:val="0"/>
        <w:snapToGrid w:val="0"/>
        <w:spacing w:before="60" w:beforeAutospacing="0" w:afterAutospacing="0" w:line="560" w:lineRule="exact"/>
        <w:ind w:firstLineChars="0"/>
        <w:jc w:val="center"/>
        <w:textAlignment w:val="baseline"/>
        <w:outlineLvl w:val="2"/>
        <w:rPr>
          <w:rFonts w:hint="eastAsia"/>
          <w:color w:val="auto"/>
          <w:highlight w:val="none"/>
          <w:lang w:val="en-US" w:eastAsia="zh-CN"/>
        </w:rPr>
      </w:pPr>
      <w:bookmarkStart w:id="1012" w:name="_Toc17229"/>
      <w:bookmarkStart w:id="1013" w:name="_Toc19787"/>
      <w:bookmarkStart w:id="1014" w:name="_Toc23087"/>
      <w:bookmarkStart w:id="1015" w:name="_Toc26253"/>
      <w:bookmarkStart w:id="1016" w:name="_Toc12634"/>
      <w:bookmarkStart w:id="1017" w:name="_Toc3776"/>
      <w:bookmarkStart w:id="1018" w:name="_Toc31033"/>
      <w:bookmarkStart w:id="1019" w:name="_Toc23358"/>
      <w:bookmarkStart w:id="1020" w:name="_Toc20878"/>
      <w:bookmarkStart w:id="1021" w:name="_Toc17801"/>
      <w:bookmarkStart w:id="1022" w:name="_Toc18721"/>
      <w:bookmarkStart w:id="1023" w:name="_Toc26068"/>
      <w:bookmarkStart w:id="1024" w:name="_Toc27911"/>
      <w:bookmarkStart w:id="1025" w:name="_Toc25292"/>
      <w:bookmarkStart w:id="1026" w:name="_Toc22707"/>
      <w:bookmarkStart w:id="1027" w:name="_Toc22114"/>
      <w:bookmarkStart w:id="1028" w:name="_Toc15711"/>
      <w:bookmarkStart w:id="1029" w:name="_Toc4710"/>
    </w:p>
    <w:p w14:paraId="5DC70C28">
      <w:pPr>
        <w:pStyle w:val="4"/>
        <w:shd w:val="clear"/>
        <w:kinsoku/>
        <w:autoSpaceDE/>
        <w:autoSpaceDN/>
        <w:bidi w:val="0"/>
        <w:adjustRightInd w:val="0"/>
        <w:snapToGrid w:val="0"/>
        <w:spacing w:before="60" w:beforeAutospacing="0" w:afterAutospacing="0" w:line="560" w:lineRule="exact"/>
        <w:ind w:firstLineChars="0"/>
        <w:jc w:val="center"/>
        <w:textAlignment w:val="baseline"/>
        <w:outlineLvl w:val="2"/>
        <w:rPr>
          <w:rFonts w:hint="eastAsia"/>
          <w:color w:val="auto"/>
          <w:highlight w:val="none"/>
          <w:lang w:val="en-US" w:eastAsia="zh-CN"/>
        </w:rPr>
      </w:pPr>
      <w:r>
        <w:rPr>
          <w:rFonts w:hint="eastAsia"/>
          <w:color w:val="auto"/>
          <w:highlight w:val="none"/>
          <w:lang w:val="en-US" w:eastAsia="zh-CN"/>
        </w:rPr>
        <w:t>第三节 建设更高水平的健康浈江</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14:paraId="675D3F35">
      <w:pPr>
        <w:shd w:val="clear"/>
        <w:kinsoku/>
        <w:bidi w:val="0"/>
        <w:rPr>
          <w:rFonts w:hint="eastAsia" w:ascii="Times New Roman" w:hAnsi="Times New Roman" w:cs="Times New Roman"/>
          <w:b/>
          <w:bCs/>
          <w:color w:val="auto"/>
          <w:highlight w:val="none"/>
          <w:lang w:val="en-US" w:eastAsia="zh-CN"/>
        </w:rPr>
      </w:pPr>
    </w:p>
    <w:p w14:paraId="43B64EA4">
      <w:pPr>
        <w:shd w:val="clear"/>
        <w:kinsoku/>
        <w:bidi w:val="0"/>
        <w:rPr>
          <w:rFonts w:hint="eastAsia" w:ascii="Times New Roman" w:hAnsi="Times New Roman" w:cs="Times New Roman"/>
          <w:color w:val="auto"/>
          <w:highlight w:val="none"/>
          <w:lang w:val="en-US" w:eastAsia="zh-CN"/>
        </w:rPr>
      </w:pPr>
      <w:r>
        <w:rPr>
          <w:rFonts w:hint="eastAsia" w:ascii="Times New Roman" w:hAnsi="Times New Roman" w:cs="Times New Roman"/>
          <w:b/>
          <w:bCs/>
          <w:color w:val="auto"/>
          <w:highlight w:val="none"/>
          <w:lang w:val="en-US" w:eastAsia="zh-CN"/>
        </w:rPr>
        <w:t>健全公共卫生体系。</w:t>
      </w:r>
      <w:r>
        <w:rPr>
          <w:rFonts w:hint="eastAsia" w:ascii="Times New Roman" w:hAnsi="Times New Roman" w:cs="Times New Roman"/>
          <w:color w:val="auto"/>
          <w:highlight w:val="none"/>
          <w:lang w:val="en-US" w:eastAsia="zh-CN"/>
        </w:rPr>
        <w:t>着力提升疾病预防控制体系核心能力，完善区疾病预防控制中心建设，提升疾病监测、预警和应急处置能力。强化医疗机构疾控职能，推动医疗机构公共卫生科室规范化、标准化建设，增强对突发公共卫生事件和常态化防控需求的支撑保障能力。提升公</w:t>
      </w:r>
      <w:r>
        <w:rPr>
          <w:rFonts w:hint="eastAsia" w:ascii="仿宋_GB2312" w:hAnsi="仿宋_GB2312" w:cs="仿宋_GB2312"/>
          <w:color w:val="auto"/>
          <w:highlight w:val="none"/>
          <w:lang w:val="en-US" w:eastAsia="zh-CN"/>
        </w:rPr>
        <w:t>共卫生干预能力，加强重点传染病防控，强化慢性病管理，建立慢性病早诊早治体系，加强基层医疗机构慢性病查和早治工作。</w:t>
      </w:r>
      <w:r>
        <w:rPr>
          <w:rFonts w:hint="eastAsia" w:ascii="仿宋_GB2312" w:hAnsi="仿宋_GB2312" w:eastAsia="仿宋_GB2312" w:cs="仿宋_GB2312"/>
          <w:color w:val="auto"/>
          <w:sz w:val="32"/>
          <w:szCs w:val="32"/>
          <w:highlight w:val="none"/>
        </w:rPr>
        <w:t>强化卫生监督执法力量，探索与市卫生监督所建立“上下联动”执法模式，破解跨领域监管难题。</w:t>
      </w:r>
      <w:r>
        <w:rPr>
          <w:rFonts w:hint="eastAsia" w:ascii="仿宋_GB2312" w:hAnsi="仿宋_GB2312" w:cs="仿宋_GB2312"/>
          <w:color w:val="auto"/>
          <w:highlight w:val="none"/>
          <w:lang w:val="en-US" w:eastAsia="zh-CN"/>
        </w:rPr>
        <w:t>推进基本公共卫生服务项目，提高服务质量和覆盖面</w:t>
      </w:r>
      <w:r>
        <w:rPr>
          <w:rFonts w:hint="eastAsia" w:ascii="Times New Roman" w:hAnsi="Times New Roman" w:cs="Times New Roman"/>
          <w:color w:val="auto"/>
          <w:highlight w:val="none"/>
          <w:lang w:val="en-US" w:eastAsia="zh-CN"/>
        </w:rPr>
        <w:t>。到2030年，重大疫情和突发公共卫生事件应对能力显著提升，基本医疗卫生服务同城均质化全覆盖。</w:t>
      </w:r>
    </w:p>
    <w:p w14:paraId="6366A7E5">
      <w:pPr>
        <w:shd w:val="clear"/>
        <w:kinsoku/>
        <w:bidi w:val="0"/>
        <w:rPr>
          <w:rFonts w:hint="eastAsia" w:ascii="Times New Roman" w:hAnsi="Times New Roman" w:cs="Times New Roman"/>
          <w:color w:val="auto"/>
          <w:highlight w:val="none"/>
          <w:lang w:val="en-US" w:eastAsia="zh-CN"/>
        </w:rPr>
      </w:pPr>
      <w:r>
        <w:rPr>
          <w:rFonts w:hint="eastAsia" w:ascii="Times New Roman" w:hAnsi="Times New Roman" w:cs="Times New Roman"/>
          <w:b/>
          <w:bCs/>
          <w:color w:val="auto"/>
          <w:highlight w:val="none"/>
          <w:lang w:val="en-US" w:eastAsia="zh-CN"/>
        </w:rPr>
        <w:t>提升医疗卫生服务能力。</w:t>
      </w:r>
      <w:r>
        <w:rPr>
          <w:rFonts w:hint="eastAsia" w:ascii="Times New Roman" w:hAnsi="Times New Roman" w:cs="Times New Roman"/>
          <w:color w:val="auto"/>
          <w:highlight w:val="none"/>
          <w:lang w:val="en-US" w:eastAsia="zh-CN"/>
        </w:rPr>
        <w:t>推动区级公立医疗机构建设，探索市、区两级医疗卫生资源整合，升级改造区属医疗机构。完善提升基层医疗机构设施设备服务水平，推动医疗卫生资源向社区延伸，强化社区卫生服务中心“健康守门人”功能。依托粤北人民医院，加快构建全区紧密型城市医疗</w:t>
      </w:r>
      <w:r>
        <w:rPr>
          <w:rFonts w:hint="eastAsia" w:cs="Times New Roman"/>
          <w:color w:val="auto"/>
          <w:highlight w:val="none"/>
          <w:lang w:val="en-US" w:eastAsia="zh-CN"/>
        </w:rPr>
        <w:t>集团建设</w:t>
      </w:r>
      <w:r>
        <w:rPr>
          <w:rFonts w:hint="eastAsia" w:ascii="Times New Roman" w:hAnsi="Times New Roman" w:cs="Times New Roman"/>
          <w:color w:val="auto"/>
          <w:highlight w:val="none"/>
          <w:lang w:val="en-US" w:eastAsia="zh-CN"/>
        </w:rPr>
        <w:t>，着力提高医疗资源利用效率。依托韶州人民医院，建设浈江区精神（心理）卫生中心。深入实施基层医疗卫生机构“优质服务基层行”活动，促进优质医疗资源扩容下沉和区域均衡发展</w:t>
      </w:r>
      <w:r>
        <w:rPr>
          <w:rFonts w:hint="eastAsia" w:cs="Times New Roman"/>
          <w:color w:val="auto"/>
          <w:highlight w:val="none"/>
          <w:lang w:val="en-US" w:eastAsia="zh-CN"/>
        </w:rPr>
        <w:t>。</w:t>
      </w:r>
      <w:r>
        <w:rPr>
          <w:rFonts w:hint="eastAsia" w:ascii="Times New Roman" w:hAnsi="Times New Roman" w:cs="Times New Roman"/>
          <w:color w:val="auto"/>
          <w:highlight w:val="none"/>
          <w:lang w:val="en-US" w:eastAsia="zh-CN"/>
        </w:rPr>
        <w:t>着力打造特色专科，重点发展建设口腔科、血液透析中心，增强区域医疗吸引力。加强医务人才队伍建设，通过内部调配和轮岗交流，进一步优化人才队伍结构，形成合理的人才梯队。</w:t>
      </w:r>
    </w:p>
    <w:p w14:paraId="6E745E60">
      <w:pPr>
        <w:shd w:val="clear"/>
        <w:kinsoku/>
        <w:bidi w:val="0"/>
        <w:rPr>
          <w:rFonts w:hint="eastAsia" w:ascii="Times New Roman" w:hAnsi="Times New Roman" w:cs="Times New Roman"/>
          <w:color w:val="auto"/>
          <w:highlight w:val="none"/>
          <w:lang w:val="en-US" w:eastAsia="zh-CN"/>
        </w:rPr>
      </w:pPr>
      <w:r>
        <w:rPr>
          <w:rFonts w:hint="eastAsia" w:ascii="Times New Roman" w:hAnsi="Times New Roman" w:cs="Times New Roman"/>
          <w:b/>
          <w:bCs/>
          <w:color w:val="auto"/>
          <w:highlight w:val="none"/>
          <w:lang w:val="en-US" w:eastAsia="zh-CN"/>
        </w:rPr>
        <w:t>深入实施健康浈江行动。</w:t>
      </w:r>
      <w:r>
        <w:rPr>
          <w:rFonts w:hint="eastAsia" w:ascii="Times New Roman" w:hAnsi="Times New Roman" w:cs="Times New Roman"/>
          <w:color w:val="auto"/>
          <w:highlight w:val="none"/>
          <w:lang w:val="en-US" w:eastAsia="zh-CN"/>
        </w:rPr>
        <w:t>深入开展爱国卫生运动，强化病媒生物预防控制，有效降低登革热、基孔肯雅热等传染病的发生与传播风险。积极干预健康影响因素，推进防治结合有效防控重大疾病，推动健康服务模式从以治病为中心向以健康为中心转变，从注重疾病诊疗向预防为主、防治结合转变。着力打造健康宜居环境，推进健康村镇、健康社区、健康单位建设，形成健康社区、健康单位、健康家庭建设广泛开展的良好局面。维护全生命周期健康，加强医疗保障政策与公共卫生政策衔接，着力提供系统连续的预防、治疗、康复、健康促进一体化服务。</w:t>
      </w:r>
    </w:p>
    <w:p w14:paraId="453C7D99">
      <w:pPr>
        <w:shd w:val="clear"/>
        <w:kinsoku/>
        <w:bidi w:val="0"/>
        <w:rPr>
          <w:rFonts w:hint="eastAsia" w:ascii="Times New Roman" w:hAnsi="Times New Roman" w:cs="Times New Roman"/>
          <w:color w:val="auto"/>
          <w:highlight w:val="none"/>
          <w:lang w:val="en-US" w:eastAsia="zh-CN"/>
        </w:rPr>
      </w:pPr>
    </w:p>
    <w:p w14:paraId="1EC8C9C8">
      <w:pPr>
        <w:pStyle w:val="4"/>
        <w:shd w:val="clear"/>
        <w:kinsoku/>
        <w:bidi w:val="0"/>
        <w:rPr>
          <w:rFonts w:hint="eastAsia"/>
          <w:b w:val="0"/>
          <w:bCs w:val="0"/>
          <w:color w:val="auto"/>
          <w:highlight w:val="none"/>
          <w:lang w:val="en-US" w:eastAsia="zh-CN"/>
        </w:rPr>
      </w:pPr>
      <w:bookmarkStart w:id="1030" w:name="_Toc26183"/>
      <w:bookmarkStart w:id="1031" w:name="_Toc4921"/>
      <w:bookmarkStart w:id="1032" w:name="_Toc21546"/>
      <w:bookmarkStart w:id="1033" w:name="_Toc25086"/>
      <w:bookmarkStart w:id="1034" w:name="_Toc16906"/>
      <w:bookmarkStart w:id="1035" w:name="_Toc8899"/>
      <w:bookmarkStart w:id="1036" w:name="_Toc26361"/>
      <w:bookmarkStart w:id="1037" w:name="_Toc18925"/>
      <w:bookmarkStart w:id="1038" w:name="_Toc20015"/>
      <w:bookmarkStart w:id="1039" w:name="_Toc30755"/>
      <w:bookmarkStart w:id="1040" w:name="_Toc17397"/>
      <w:bookmarkStart w:id="1041" w:name="_Toc2705"/>
      <w:bookmarkStart w:id="1042" w:name="_Toc12210"/>
      <w:bookmarkStart w:id="1043" w:name="_Toc18964"/>
      <w:bookmarkStart w:id="1044" w:name="_Toc17548"/>
      <w:bookmarkStart w:id="1045" w:name="_Toc9184"/>
      <w:bookmarkStart w:id="1046" w:name="_Toc14385"/>
      <w:bookmarkStart w:id="1047" w:name="_Toc12769"/>
      <w:r>
        <w:rPr>
          <w:rFonts w:hint="eastAsia"/>
          <w:b w:val="0"/>
          <w:bCs w:val="0"/>
          <w:color w:val="auto"/>
          <w:highlight w:val="none"/>
          <w:lang w:val="en-US" w:eastAsia="zh-CN"/>
        </w:rPr>
        <w:t>第四节 织密扎牢社会保障网</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4C11EF07">
      <w:pPr>
        <w:shd w:val="clear"/>
        <w:kinsoku/>
        <w:bidi w:val="0"/>
        <w:rPr>
          <w:rFonts w:hint="eastAsia"/>
          <w:b/>
          <w:bCs/>
          <w:color w:val="auto"/>
          <w:highlight w:val="none"/>
          <w:lang w:val="en-US" w:eastAsia="zh-CN"/>
        </w:rPr>
      </w:pPr>
    </w:p>
    <w:p w14:paraId="2BA02634">
      <w:pPr>
        <w:shd w:val="clear"/>
        <w:kinsoku/>
        <w:bidi w:val="0"/>
        <w:rPr>
          <w:rFonts w:hint="default"/>
          <w:b w:val="0"/>
          <w:bCs w:val="0"/>
          <w:color w:val="auto"/>
          <w:highlight w:val="none"/>
          <w:lang w:val="en-US" w:eastAsia="zh-CN"/>
        </w:rPr>
      </w:pPr>
      <w:r>
        <w:rPr>
          <w:rFonts w:hint="eastAsia"/>
          <w:b/>
          <w:bCs/>
          <w:color w:val="auto"/>
          <w:highlight w:val="none"/>
          <w:lang w:val="en-US" w:eastAsia="zh-CN"/>
        </w:rPr>
        <w:t>全面提升社会保障水平。</w:t>
      </w:r>
      <w:r>
        <w:rPr>
          <w:rFonts w:hint="eastAsia"/>
          <w:color w:val="auto"/>
          <w:highlight w:val="none"/>
          <w:lang w:val="en-US" w:eastAsia="zh-CN"/>
        </w:rPr>
        <w:t>优化养老保险参保结构，加快发展多层次、多支柱养老保险体系，多措并举提高企业年金覆盖率。完善基本医保参保、筹资和待遇政策，完善大病保险和医疗救助制度，积极探索推进长期护理保险制度，优化便捷医保公共服务体系，力促基本医疗保险参保率达到98%以上。深入实施全民参保计划，落实新业态从业人员、灵活就业人员、异地务工人员等重点群体参保政策，扩大失业、工伤、生育保险覆盖面，完善社保关系转移接续机制。加强社会保险基金常态化、精细化监管，确保基金安全可持续运行。</w:t>
      </w:r>
      <w:r>
        <w:rPr>
          <w:rFonts w:hint="eastAsia" w:ascii="Times New Roman" w:hAnsi="Times New Roman" w:cs="Times New Roman"/>
          <w:b w:val="0"/>
          <w:bCs w:val="0"/>
          <w:color w:val="auto"/>
          <w:highlight w:val="none"/>
          <w:lang w:val="en-US" w:eastAsia="zh-CN"/>
        </w:rPr>
        <w:t>强化退役军人服务保障</w:t>
      </w:r>
      <w:r>
        <w:rPr>
          <w:rFonts w:hint="eastAsia" w:cs="Times New Roman"/>
          <w:b w:val="0"/>
          <w:bCs w:val="0"/>
          <w:color w:val="auto"/>
          <w:highlight w:val="none"/>
          <w:lang w:val="en-US" w:eastAsia="zh-CN"/>
        </w:rPr>
        <w:t>，</w:t>
      </w:r>
      <w:r>
        <w:rPr>
          <w:rFonts w:hint="eastAsia"/>
          <w:b w:val="0"/>
          <w:bCs w:val="0"/>
          <w:color w:val="auto"/>
          <w:highlight w:val="none"/>
          <w:lang w:val="en-US" w:eastAsia="zh-CN"/>
        </w:rPr>
        <w:t>完善区、镇（街道）、村（社区）三级退役军人服务保障体系。</w:t>
      </w:r>
    </w:p>
    <w:p w14:paraId="779FCE90">
      <w:pPr>
        <w:shd w:val="clear"/>
        <w:kinsoku/>
        <w:bidi w:val="0"/>
        <w:ind w:firstLine="643"/>
        <w:rPr>
          <w:rFonts w:hint="eastAsia"/>
          <w:color w:val="auto"/>
          <w:highlight w:val="none"/>
          <w:lang w:val="en-US" w:eastAsia="zh-CN"/>
        </w:rPr>
      </w:pPr>
      <w:r>
        <w:rPr>
          <w:rFonts w:hint="eastAsia" w:cs="Times New Roman"/>
          <w:b/>
          <w:bCs/>
          <w:color w:val="auto"/>
          <w:highlight w:val="none"/>
          <w:lang w:val="en-US" w:eastAsia="zh-CN"/>
        </w:rPr>
        <w:t>加强</w:t>
      </w:r>
      <w:r>
        <w:rPr>
          <w:rFonts w:hint="eastAsia" w:ascii="Times New Roman" w:hAnsi="Times New Roman" w:cs="Times New Roman"/>
          <w:b/>
          <w:bCs/>
          <w:color w:val="auto"/>
          <w:highlight w:val="none"/>
          <w:lang w:val="en-US" w:eastAsia="zh-CN"/>
        </w:rPr>
        <w:t>社会救助和福利服务。</w:t>
      </w:r>
      <w:r>
        <w:rPr>
          <w:rFonts w:hint="eastAsia"/>
          <w:color w:val="auto"/>
          <w:highlight w:val="none"/>
          <w:lang w:val="en-US" w:eastAsia="zh-CN"/>
        </w:rPr>
        <w:t>健全分层分类社会救助体系，实现救助对象数据精细化管理。加快构建城乡统筹、分层分类的常态化救助帮扶体系，关心关爱孤寡老人、精神病人、残障人群、城市“夹心层”等特殊群体生活。强化对特殊困难老年人的兜底保障与专业化照护服务，建立常态化探访关爱制度，确保失能老人月探访率与关爱服务落实率均达100%。拓展精神障碍患者社区康复服务内容，逐步实现社区“精康”服务全覆盖。完善低保、特困供养、临时救助制度，建立保障标准动态调整机制，确保农村低保标准占城镇低保标准的比例稳定在80%以上，特困人员基本生活标准不低于当地低保标准的1.6倍。加强低收入人口动态监测，推进低保等社会救助扩围增效。建立完善困难重度残疾人照护服务体系，健全困难残疾人生活补贴、重度残疾人护理补贴标准动态调整机制。保障妇女儿童合法权益，建立健全农村留守和困境儿童关爱服务体系，完善孤儿及事实无人抚养儿童基本生活保障标准联动调整机制。推进未成年人救助保护体系建设，切实维护未成年人合法权益。推动慈善事业健康发展，加强与社会救助、社会福利等制度衔接。补齐殡葬服务设施短板，构建覆盖城乡、规范有序、满足群众基本需求的殡葬服务体系。推动社会救助从“保生存”向“保基本、防风险、促发展”拓展。</w:t>
      </w:r>
    </w:p>
    <w:p w14:paraId="68E5A0FB">
      <w:pPr>
        <w:shd w:val="clear"/>
        <w:kinsoku/>
        <w:bidi w:val="0"/>
        <w:ind w:firstLine="643"/>
        <w:rPr>
          <w:rFonts w:hint="eastAsia"/>
          <w:color w:val="auto"/>
          <w:highlight w:val="none"/>
          <w:lang w:val="en-US" w:eastAsia="zh-CN"/>
        </w:rPr>
      </w:pPr>
    </w:p>
    <w:p w14:paraId="1DF0F86D">
      <w:pPr>
        <w:pStyle w:val="4"/>
        <w:shd w:val="clear"/>
        <w:kinsoku/>
        <w:bidi w:val="0"/>
        <w:rPr>
          <w:rFonts w:hint="eastAsia"/>
          <w:b w:val="0"/>
          <w:bCs w:val="0"/>
          <w:color w:val="auto"/>
          <w:highlight w:val="none"/>
          <w:lang w:val="en-US" w:eastAsia="zh-CN"/>
        </w:rPr>
      </w:pPr>
      <w:bookmarkStart w:id="1048" w:name="_Toc21992"/>
      <w:bookmarkStart w:id="1049" w:name="_Toc11471"/>
      <w:bookmarkStart w:id="1050" w:name="_Toc7825"/>
      <w:bookmarkStart w:id="1051" w:name="_Toc28763"/>
      <w:bookmarkStart w:id="1052" w:name="_Toc30613"/>
      <w:bookmarkStart w:id="1053" w:name="_Toc16730"/>
      <w:bookmarkStart w:id="1054" w:name="_Toc24496"/>
      <w:bookmarkStart w:id="1055" w:name="_Toc28446"/>
      <w:bookmarkStart w:id="1056" w:name="_Toc21364"/>
      <w:bookmarkStart w:id="1057" w:name="_Toc26138"/>
      <w:bookmarkStart w:id="1058" w:name="_Toc23661"/>
      <w:bookmarkStart w:id="1059" w:name="_Toc28120"/>
      <w:bookmarkStart w:id="1060" w:name="_Toc28472"/>
      <w:bookmarkStart w:id="1061" w:name="_Toc4047"/>
      <w:bookmarkStart w:id="1062" w:name="_Toc21004"/>
      <w:bookmarkStart w:id="1063" w:name="_Toc13709"/>
      <w:bookmarkStart w:id="1064" w:name="_Toc28964"/>
      <w:bookmarkStart w:id="1065" w:name="_Toc5621"/>
      <w:r>
        <w:rPr>
          <w:rFonts w:hint="eastAsia"/>
          <w:b w:val="0"/>
          <w:bCs w:val="0"/>
          <w:color w:val="auto"/>
          <w:highlight w:val="none"/>
          <w:lang w:val="en-US" w:eastAsia="zh-CN"/>
        </w:rPr>
        <w:t>第五节 促进人口高质量发展</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77C58AE3">
      <w:pPr>
        <w:shd w:val="clear"/>
        <w:kinsoku/>
        <w:bidi w:val="0"/>
        <w:rPr>
          <w:rFonts w:hint="eastAsia" w:cs="Times New Roman"/>
          <w:b/>
          <w:bCs/>
          <w:color w:val="auto"/>
          <w:highlight w:val="none"/>
          <w:lang w:val="en-US" w:eastAsia="zh-CN"/>
        </w:rPr>
      </w:pPr>
    </w:p>
    <w:p w14:paraId="16503031">
      <w:pPr>
        <w:shd w:val="clear"/>
        <w:kinsoku/>
        <w:bidi w:val="0"/>
        <w:rPr>
          <w:rFonts w:hint="eastAsia"/>
          <w:color w:val="auto"/>
          <w:highlight w:val="none"/>
          <w:lang w:val="en-US" w:eastAsia="zh-CN"/>
        </w:rPr>
      </w:pPr>
      <w:r>
        <w:rPr>
          <w:rFonts w:hint="eastAsia" w:cs="Times New Roman"/>
          <w:b/>
          <w:bCs/>
          <w:color w:val="auto"/>
          <w:highlight w:val="none"/>
          <w:lang w:val="en-US" w:eastAsia="zh-CN"/>
        </w:rPr>
        <w:t>优化生育服务保障</w:t>
      </w:r>
      <w:r>
        <w:rPr>
          <w:rFonts w:hint="eastAsia" w:ascii="Times New Roman" w:hAnsi="Times New Roman" w:cs="Times New Roman"/>
          <w:b/>
          <w:bCs/>
          <w:color w:val="auto"/>
          <w:highlight w:val="none"/>
          <w:lang w:val="en-US" w:eastAsia="zh-CN"/>
        </w:rPr>
        <w:t>。</w:t>
      </w:r>
      <w:r>
        <w:rPr>
          <w:rFonts w:hint="eastAsia"/>
          <w:color w:val="auto"/>
          <w:highlight w:val="none"/>
          <w:lang w:val="en-US" w:eastAsia="zh-CN"/>
        </w:rPr>
        <w:t>加快完善全方位生育支持政策体系，提高基本生育和儿童服务、医疗保障水平，建设生育友好型社会。加强辖区妇产科和儿科建设，综合提升生殖健康服务、婴幼儿照护服务水平。推进出生缺陷防控服务，不断加强产前筛查和新生儿疾病筛查，为育龄群众提供全方位的生殖健康服务。加强婴幼儿照护服务指导和管理，提升照护服务质量。</w:t>
      </w:r>
      <w:r>
        <w:rPr>
          <w:rFonts w:hint="eastAsia" w:ascii="仿宋_GB2312" w:eastAsia="仿宋_GB2312"/>
          <w:color w:val="auto"/>
          <w:sz w:val="32"/>
          <w:szCs w:val="32"/>
          <w:highlight w:val="none"/>
          <w:u w:val="none"/>
        </w:rPr>
        <w:t>促进儿童青少年体重、视力、心理、骨骼、口腔健康，不断提升儿童青少年健康水平</w:t>
      </w:r>
      <w:r>
        <w:rPr>
          <w:rFonts w:hint="eastAsia" w:ascii="仿宋_GB2312"/>
          <w:color w:val="auto"/>
          <w:sz w:val="32"/>
          <w:szCs w:val="32"/>
          <w:highlight w:val="none"/>
          <w:u w:val="none"/>
          <w:lang w:eastAsia="zh-CN"/>
        </w:rPr>
        <w:t>。</w:t>
      </w:r>
      <w:r>
        <w:rPr>
          <w:rFonts w:hint="eastAsia"/>
          <w:color w:val="auto"/>
          <w:highlight w:val="none"/>
          <w:lang w:val="en-US" w:eastAsia="zh-CN"/>
        </w:rPr>
        <w:t>加强普惠托育服务体系建设，以“一米视角”推动城市配套更多适儿化基础设施建设，完善“托幼一体化”服务机制。探索实施用人单位办托、社区嵌入式托育、家庭托育、“老幼共托”等多种模式。到2030年，3岁以下婴幼儿入托率提高5个百分点。</w:t>
      </w:r>
    </w:p>
    <w:p w14:paraId="6014CCF1">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健全基本养老服务体系。</w:t>
      </w:r>
      <w:r>
        <w:rPr>
          <w:rFonts w:hint="eastAsia"/>
          <w:color w:val="auto"/>
          <w:highlight w:val="none"/>
          <w:lang w:val="en-US" w:eastAsia="zh-CN"/>
        </w:rPr>
        <w:t>健全“区—镇—村”三级养老服务体系，推进区养老服务中心运营，“十五五”期间新增护理型床位370张以上。大力发展社区嵌入式养老服务，以镇（街）综合养老服务中心和社区站点为枢纽，整合助餐、助洁、康复护理、精神慰藉等服务，推广“15分钟居家养老服务圈”。增加普惠性养老服务供给，深化医养融合，支持养老机构与医疗机构通过签约合作、共建病房等方式深度融合。力争“十五五”期间全区公办养老机构护理型床位占比达到80%。持续推进特殊困难老年人家庭和公共场所适老化改造建设。稳妥推进渐进式延迟法定退休年龄改革。积极培育银发经济新业态，鼓励发展康复辅具、智慧养老、老年文旅等产业，促进养老服务消费。</w:t>
      </w:r>
    </w:p>
    <w:p w14:paraId="498E03E0">
      <w:pPr>
        <w:shd w:val="clear"/>
        <w:kinsoku/>
        <w:bidi w:val="0"/>
        <w:rPr>
          <w:rFonts w:hint="eastAsia"/>
          <w:color w:val="auto"/>
          <w:highlight w:val="none"/>
          <w:lang w:val="en-US" w:eastAsia="zh-CN"/>
        </w:rPr>
      </w:pPr>
      <w:r>
        <w:rPr>
          <w:rFonts w:hint="eastAsia" w:cs="Times New Roman"/>
          <w:b/>
          <w:bCs/>
          <w:color w:val="auto"/>
          <w:highlight w:val="none"/>
          <w:lang w:val="en-US" w:eastAsia="zh-CN"/>
        </w:rPr>
        <w:t>实现更高水平住有所居</w:t>
      </w:r>
      <w:r>
        <w:rPr>
          <w:rFonts w:hint="eastAsia" w:ascii="Times New Roman" w:hAnsi="Times New Roman" w:cs="Times New Roman"/>
          <w:b/>
          <w:bCs/>
          <w:color w:val="auto"/>
          <w:highlight w:val="none"/>
          <w:lang w:val="en-US" w:eastAsia="zh-CN"/>
        </w:rPr>
        <w:t>。</w:t>
      </w:r>
      <w:r>
        <w:rPr>
          <w:rFonts w:hint="eastAsia"/>
          <w:color w:val="auto"/>
          <w:highlight w:val="none"/>
          <w:lang w:val="en-US" w:eastAsia="zh-CN"/>
        </w:rPr>
        <w:t>加快构建房地产发展新模式，坚持租购并举、以需定建、以需定购。优化商品住房供应结构，增加高品质住宅，推进好房子、好小区、好社区建设，增加改善型、高品质住房供给。</w:t>
      </w:r>
      <w:r>
        <w:rPr>
          <w:rFonts w:hint="eastAsia" w:ascii="Times New Roman" w:hAnsi="Times New Roman" w:cs="Times New Roman"/>
          <w:color w:val="auto"/>
          <w:highlight w:val="none"/>
          <w:lang w:val="en-US" w:eastAsia="zh-CN"/>
        </w:rPr>
        <w:t>加快构建与房地产发展新模式相适配的政策体系，健全完善“人、房、地、钱”要素联动机制，促进房地产市场平稳健康发展。</w:t>
      </w:r>
      <w:r>
        <w:rPr>
          <w:rFonts w:hint="eastAsia"/>
          <w:color w:val="auto"/>
          <w:highlight w:val="none"/>
          <w:lang w:val="en-US" w:eastAsia="zh-CN"/>
        </w:rPr>
        <w:t>推进房地产领域风险化解，落实“保交房”属地责任，积极消化存量商品住房库存，推动已售房屋按期交付。</w:t>
      </w:r>
    </w:p>
    <w:p w14:paraId="1301C74D">
      <w:pPr>
        <w:pStyle w:val="3"/>
        <w:shd w:val="clear"/>
        <w:kinsoku/>
        <w:bidi w:val="0"/>
        <w:rPr>
          <w:rFonts w:hint="eastAsia"/>
          <w:color w:val="auto"/>
          <w:highlight w:val="none"/>
          <w:lang w:val="en-US" w:eastAsia="zh-CN"/>
        </w:rPr>
        <w:sectPr>
          <w:pgSz w:w="11906" w:h="16839"/>
          <w:pgMar w:top="2098" w:right="1474" w:bottom="1984" w:left="1587" w:header="454" w:footer="1417" w:gutter="0"/>
          <w:pgNumType w:fmt="numberInDash"/>
          <w:cols w:space="720" w:num="1"/>
          <w:rtlGutter w:val="0"/>
        </w:sectPr>
      </w:pPr>
    </w:p>
    <w:bookmarkEnd w:id="970"/>
    <w:bookmarkEnd w:id="971"/>
    <w:bookmarkEnd w:id="972"/>
    <w:bookmarkEnd w:id="973"/>
    <w:bookmarkEnd w:id="974"/>
    <w:bookmarkEnd w:id="975"/>
    <w:p w14:paraId="40C39AAB">
      <w:pPr>
        <w:pStyle w:val="3"/>
        <w:shd w:val="clear"/>
        <w:kinsoku/>
        <w:bidi w:val="0"/>
        <w:rPr>
          <w:rFonts w:hint="eastAsia"/>
          <w:color w:val="auto"/>
          <w:highlight w:val="none"/>
          <w:lang w:val="en-US" w:eastAsia="zh-CN"/>
        </w:rPr>
      </w:pPr>
      <w:bookmarkStart w:id="1066" w:name="_Toc13620"/>
      <w:bookmarkStart w:id="1067" w:name="_Toc17034"/>
      <w:bookmarkStart w:id="1068" w:name="_Toc11540"/>
      <w:bookmarkStart w:id="1069" w:name="_Toc19057"/>
      <w:bookmarkStart w:id="1070" w:name="_Toc5396"/>
      <w:bookmarkStart w:id="1071" w:name="_Toc15416"/>
      <w:bookmarkStart w:id="1072" w:name="_Toc7814"/>
      <w:bookmarkStart w:id="1073" w:name="_Toc29391"/>
      <w:bookmarkStart w:id="1074" w:name="_Toc11766"/>
      <w:bookmarkStart w:id="1075" w:name="_Toc12308"/>
      <w:bookmarkStart w:id="1076" w:name="_Toc25825"/>
      <w:bookmarkStart w:id="1077" w:name="_Toc29044"/>
      <w:bookmarkStart w:id="1078" w:name="_Toc4595"/>
      <w:bookmarkStart w:id="1079" w:name="_Toc10665"/>
      <w:bookmarkStart w:id="1080" w:name="_Toc8844"/>
      <w:bookmarkStart w:id="1081" w:name="_Toc28039"/>
      <w:bookmarkStart w:id="1082" w:name="_Toc32621"/>
      <w:bookmarkStart w:id="1083" w:name="_Toc32275"/>
      <w:bookmarkStart w:id="1084" w:name="_Toc19406"/>
      <w:bookmarkStart w:id="1085" w:name="_Toc476"/>
      <w:bookmarkStart w:id="1086" w:name="_Toc27768"/>
      <w:bookmarkStart w:id="1087" w:name="_Toc12711"/>
      <w:bookmarkStart w:id="1088" w:name="_Toc6849"/>
      <w:bookmarkStart w:id="1089" w:name="_Toc2175"/>
      <w:bookmarkStart w:id="1090" w:name="_Toc9681"/>
      <w:r>
        <w:rPr>
          <w:rFonts w:hint="eastAsia"/>
          <w:color w:val="auto"/>
          <w:highlight w:val="none"/>
          <w:lang w:val="en-US" w:eastAsia="zh-CN"/>
        </w:rPr>
        <w:t>第十二章 深化绿美生态建设，打造美丽浈江生态样板</w:t>
      </w:r>
      <w:bookmarkEnd w:id="1066"/>
      <w:bookmarkEnd w:id="1067"/>
      <w:bookmarkEnd w:id="1068"/>
      <w:bookmarkEnd w:id="1069"/>
      <w:bookmarkEnd w:id="1070"/>
      <w:bookmarkEnd w:id="1071"/>
      <w:bookmarkEnd w:id="1072"/>
      <w:bookmarkEnd w:id="1073"/>
      <w:bookmarkEnd w:id="1074"/>
      <w:bookmarkEnd w:id="1075"/>
      <w:bookmarkEnd w:id="1076"/>
      <w:bookmarkEnd w:id="1077"/>
    </w:p>
    <w:p w14:paraId="5DB5BC59">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7AAE990A">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坚持以“绿水青山就是金山银山”理念为根本遵循</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统筹推进生态</w:t>
      </w:r>
      <w:r>
        <w:rPr>
          <w:rFonts w:hint="eastAsia" w:ascii="仿宋_GB2312" w:hAnsi="仿宋_GB2312" w:cs="仿宋_GB2312"/>
          <w:strike w:val="0"/>
          <w:dstrike w:val="0"/>
          <w:color w:val="auto"/>
          <w:sz w:val="32"/>
          <w:szCs w:val="32"/>
          <w:highlight w:val="none"/>
          <w:lang w:val="en-US" w:eastAsia="zh-CN"/>
        </w:rPr>
        <w:t>保护</w:t>
      </w:r>
      <w:r>
        <w:rPr>
          <w:rFonts w:hint="eastAsia" w:ascii="仿宋_GB2312" w:hAnsi="仿宋_GB2312" w:eastAsia="仿宋_GB2312" w:cs="仿宋_GB2312"/>
          <w:strike w:val="0"/>
          <w:dstrike w:val="0"/>
          <w:color w:val="auto"/>
          <w:sz w:val="32"/>
          <w:szCs w:val="32"/>
          <w:highlight w:val="none"/>
          <w:lang w:val="en-US" w:eastAsia="zh-CN"/>
        </w:rPr>
        <w:t>优先、</w:t>
      </w:r>
      <w:r>
        <w:rPr>
          <w:rFonts w:hint="eastAsia" w:ascii="仿宋_GB2312" w:hAnsi="仿宋_GB2312" w:cs="仿宋_GB2312"/>
          <w:strike w:val="0"/>
          <w:dstrike w:val="0"/>
          <w:color w:val="auto"/>
          <w:sz w:val="32"/>
          <w:szCs w:val="32"/>
          <w:highlight w:val="none"/>
          <w:lang w:val="en-US" w:eastAsia="zh-CN"/>
        </w:rPr>
        <w:t>资源价值转化</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仿宋_GB2312" w:hAnsi="仿宋_GB2312" w:cs="仿宋_GB2312"/>
          <w:strike w:val="0"/>
          <w:dstrike w:val="0"/>
          <w:color w:val="auto"/>
          <w:sz w:val="32"/>
          <w:szCs w:val="32"/>
          <w:highlight w:val="none"/>
          <w:lang w:val="en-US" w:eastAsia="zh-CN"/>
        </w:rPr>
        <w:t>绿色</w:t>
      </w:r>
      <w:r>
        <w:rPr>
          <w:rFonts w:hint="eastAsia" w:ascii="仿宋_GB2312" w:hAnsi="仿宋_GB2312" w:eastAsia="仿宋_GB2312" w:cs="仿宋_GB2312"/>
          <w:strike w:val="0"/>
          <w:dstrike w:val="0"/>
          <w:color w:val="auto"/>
          <w:sz w:val="32"/>
          <w:szCs w:val="32"/>
          <w:highlight w:val="none"/>
          <w:lang w:val="en-US" w:eastAsia="zh-CN"/>
        </w:rPr>
        <w:t>低碳</w:t>
      </w:r>
      <w:r>
        <w:rPr>
          <w:rFonts w:hint="eastAsia" w:ascii="仿宋_GB2312" w:hAnsi="仿宋_GB2312" w:cs="仿宋_GB2312"/>
          <w:strike w:val="0"/>
          <w:dstrike w:val="0"/>
          <w:color w:val="auto"/>
          <w:sz w:val="32"/>
          <w:szCs w:val="32"/>
          <w:highlight w:val="none"/>
          <w:lang w:val="en-US" w:eastAsia="zh-CN"/>
        </w:rPr>
        <w:t>转型</w:t>
      </w:r>
      <w:r>
        <w:rPr>
          <w:rFonts w:hint="eastAsia" w:ascii="仿宋_GB2312" w:hAnsi="仿宋_GB2312" w:eastAsia="仿宋_GB2312" w:cs="仿宋_GB2312"/>
          <w:strike w:val="0"/>
          <w:dstrike w:val="0"/>
          <w:color w:val="auto"/>
          <w:sz w:val="32"/>
          <w:szCs w:val="32"/>
          <w:highlight w:val="none"/>
          <w:lang w:val="en-US" w:eastAsia="zh-CN"/>
        </w:rPr>
        <w:t>，</w:t>
      </w:r>
      <w:r>
        <w:rPr>
          <w:rFonts w:hint="eastAsia" w:ascii="仿宋_GB2312" w:hAnsi="仿宋_GB2312" w:cs="仿宋_GB2312"/>
          <w:strike w:val="0"/>
          <w:dstrike w:val="0"/>
          <w:color w:val="auto"/>
          <w:sz w:val="32"/>
          <w:szCs w:val="32"/>
          <w:highlight w:val="none"/>
          <w:lang w:val="en-US" w:eastAsia="zh-CN"/>
        </w:rPr>
        <w:t>实现</w:t>
      </w:r>
      <w:r>
        <w:rPr>
          <w:rFonts w:hint="eastAsia" w:ascii="仿宋_GB2312" w:hAnsi="仿宋_GB2312" w:eastAsia="仿宋_GB2312" w:cs="仿宋_GB2312"/>
          <w:strike w:val="0"/>
          <w:dstrike w:val="0"/>
          <w:color w:val="auto"/>
          <w:sz w:val="32"/>
          <w:szCs w:val="32"/>
          <w:highlight w:val="none"/>
          <w:lang w:val="en-US" w:eastAsia="zh-CN"/>
        </w:rPr>
        <w:t>产业生态化、生态产业化，着力构建绿色低碳循环经济体系，奋力打造人与自然和谐共生的美丽浈江样板。</w:t>
      </w:r>
    </w:p>
    <w:p w14:paraId="2D29941F">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14271874">
      <w:pPr>
        <w:pStyle w:val="4"/>
        <w:shd w:val="clear"/>
        <w:kinsoku/>
        <w:bidi w:val="0"/>
        <w:rPr>
          <w:rFonts w:hint="eastAsia"/>
          <w:color w:val="auto"/>
          <w:highlight w:val="none"/>
          <w:lang w:val="en-US" w:eastAsia="zh-CN"/>
        </w:rPr>
      </w:pPr>
      <w:bookmarkStart w:id="1091" w:name="_Toc29420"/>
      <w:bookmarkStart w:id="1092" w:name="_Toc27899"/>
      <w:bookmarkStart w:id="1093" w:name="_Toc24637"/>
      <w:bookmarkStart w:id="1094" w:name="_Toc26596"/>
      <w:bookmarkStart w:id="1095" w:name="_Toc29488"/>
      <w:bookmarkStart w:id="1096" w:name="_Toc8235"/>
      <w:bookmarkStart w:id="1097" w:name="_Toc16293"/>
      <w:bookmarkStart w:id="1098" w:name="_Toc12757"/>
      <w:bookmarkStart w:id="1099" w:name="_Toc28733"/>
      <w:bookmarkStart w:id="1100" w:name="_Toc24677"/>
      <w:bookmarkStart w:id="1101" w:name="_Toc22832"/>
      <w:bookmarkStart w:id="1102" w:name="_Toc11640"/>
      <w:r>
        <w:rPr>
          <w:rFonts w:hint="eastAsia"/>
          <w:color w:val="auto"/>
          <w:highlight w:val="none"/>
          <w:lang w:val="en-US" w:eastAsia="zh-CN"/>
        </w:rPr>
        <w:t xml:space="preserve">第一节 </w:t>
      </w:r>
      <w:bookmarkEnd w:id="1091"/>
      <w:bookmarkEnd w:id="1092"/>
      <w:bookmarkEnd w:id="1093"/>
      <w:bookmarkEnd w:id="1094"/>
      <w:bookmarkEnd w:id="1095"/>
      <w:bookmarkEnd w:id="1096"/>
      <w:bookmarkEnd w:id="1097"/>
      <w:bookmarkEnd w:id="1098"/>
      <w:bookmarkEnd w:id="1099"/>
      <w:r>
        <w:rPr>
          <w:rFonts w:hint="eastAsia"/>
          <w:color w:val="auto"/>
          <w:highlight w:val="none"/>
          <w:lang w:val="en-US" w:eastAsia="zh-CN"/>
        </w:rPr>
        <w:t>擘画美丽浈江生态图景</w:t>
      </w:r>
      <w:bookmarkEnd w:id="1100"/>
      <w:bookmarkEnd w:id="1101"/>
      <w:bookmarkEnd w:id="1102"/>
    </w:p>
    <w:p w14:paraId="58739875">
      <w:pPr>
        <w:shd w:val="clear"/>
        <w:kinsoku/>
        <w:bidi w:val="0"/>
        <w:rPr>
          <w:rFonts w:hint="eastAsia"/>
          <w:b/>
          <w:bCs/>
          <w:color w:val="auto"/>
          <w:highlight w:val="none"/>
          <w:lang w:val="en-US" w:eastAsia="zh-CN"/>
        </w:rPr>
      </w:pPr>
    </w:p>
    <w:p w14:paraId="208BD3EE">
      <w:pPr>
        <w:shd w:val="clear"/>
        <w:kinsoku/>
        <w:bidi w:val="0"/>
        <w:rPr>
          <w:rFonts w:hint="eastAsia"/>
          <w:color w:val="auto"/>
          <w:highlight w:val="none"/>
          <w:lang w:val="en-US" w:eastAsia="zh-CN"/>
        </w:rPr>
      </w:pPr>
      <w:r>
        <w:rPr>
          <w:rFonts w:hint="eastAsia"/>
          <w:b/>
          <w:bCs/>
          <w:color w:val="auto"/>
          <w:highlight w:val="none"/>
          <w:lang w:val="en-US" w:eastAsia="zh-CN"/>
        </w:rPr>
        <w:t>筑牢自然生态屏障。</w:t>
      </w:r>
      <w:r>
        <w:rPr>
          <w:rFonts w:hint="eastAsia"/>
          <w:color w:val="auto"/>
          <w:highlight w:val="none"/>
          <w:lang w:val="en-US" w:eastAsia="zh-CN"/>
        </w:rPr>
        <w:t>衔接落实韶关市“三屏多廊、两核多节点”生态格局，统筹国土空间整体保护、系统修复与综合治理，推进樱花公园、莲花山生态体育公园等生态节点保护修复，构建山水秀美的生态空间。强化北江、浈江水系生态廊道建设，实施河湖湿地生态修复工程。积极配合丹霞山国家公园创建，守护丹霞地貌地质资源。加强生物多样性与区域典型生态系统保护，维系景观、文化与生态多元价值。</w:t>
      </w:r>
    </w:p>
    <w:p w14:paraId="6F2015EB">
      <w:pPr>
        <w:shd w:val="clear"/>
        <w:kinsoku/>
        <w:bidi w:val="0"/>
        <w:rPr>
          <w:rFonts w:hint="eastAsia"/>
          <w:color w:val="auto"/>
          <w:highlight w:val="none"/>
          <w:lang w:val="en-US" w:eastAsia="zh-CN"/>
        </w:rPr>
      </w:pPr>
      <w:r>
        <w:rPr>
          <w:rFonts w:hint="eastAsia"/>
          <w:b/>
          <w:bCs/>
          <w:color w:val="auto"/>
          <w:highlight w:val="none"/>
          <w:lang w:val="en-US" w:eastAsia="zh-CN"/>
        </w:rPr>
        <w:t>提升森林质量效益。</w:t>
      </w:r>
      <w:r>
        <w:rPr>
          <w:rFonts w:hint="eastAsia"/>
          <w:color w:val="auto"/>
          <w:highlight w:val="none"/>
          <w:lang w:val="en-US" w:eastAsia="zh-CN"/>
        </w:rPr>
        <w:t>推进谋划灵鹫山山地公园等郊野公园、山地公园建设，优化森林资源与群落结构。重点改造低效林，大规模开展高质量混交造林，推动乔木林单位面积蓄积量稳步增长。深入开展全民义务植树，加强古树名木保护管理，探索“古树+”保护利用模式，彰显浈江生态文化特色。严格保护生态公益林与天然林，有序推进退桉工程，强化外来入侵物种清理整治。</w:t>
      </w:r>
    </w:p>
    <w:p w14:paraId="2EBED802">
      <w:pPr>
        <w:shd w:val="clear"/>
        <w:kinsoku/>
        <w:bidi w:val="0"/>
        <w:rPr>
          <w:rFonts w:hint="eastAsia" w:cs="仿宋_GB2312"/>
          <w:color w:val="auto"/>
          <w:highlight w:val="none"/>
          <w:lang w:eastAsia="zh-CN"/>
        </w:rPr>
      </w:pPr>
      <w:r>
        <w:rPr>
          <w:rFonts w:hint="eastAsia" w:ascii="BatangChe" w:hAnsi="BatangChe" w:cs="仿宋_GB2312"/>
          <w:b/>
          <w:bCs/>
          <w:color w:val="auto"/>
          <w:kern w:val="2"/>
          <w:sz w:val="32"/>
          <w:szCs w:val="32"/>
          <w:highlight w:val="none"/>
          <w:lang w:val="en-US" w:eastAsia="zh-CN" w:bidi="ar-SA"/>
        </w:rPr>
        <w:t>构建城乡绿美格局。</w:t>
      </w:r>
      <w:r>
        <w:rPr>
          <w:rFonts w:hint="eastAsia" w:ascii="BatangChe" w:hAnsi="BatangChe" w:cs="仿宋_GB2312"/>
          <w:b w:val="0"/>
          <w:bCs w:val="0"/>
          <w:i w:val="0"/>
          <w:iCs w:val="0"/>
          <w:caps w:val="0"/>
          <w:color w:val="auto"/>
          <w:spacing w:val="0"/>
          <w:kern w:val="0"/>
          <w:sz w:val="32"/>
          <w:szCs w:val="32"/>
          <w:highlight w:val="none"/>
          <w:u w:val="none"/>
          <w:lang w:val="en-US" w:eastAsia="zh-CN" w:bidi="ar-SA"/>
        </w:rPr>
        <w:t>充分利用</w:t>
      </w:r>
      <w:r>
        <w:rPr>
          <w:rFonts w:hint="eastAsia" w:ascii="BatangChe" w:hAnsi="BatangChe" w:cs="仿宋_GB2312"/>
          <w:color w:val="auto"/>
          <w:kern w:val="2"/>
          <w:sz w:val="32"/>
          <w:szCs w:val="32"/>
          <w:highlight w:val="none"/>
          <w:lang w:val="en-US" w:eastAsia="zh-CN" w:bidi="ar-SA"/>
        </w:rPr>
        <w:t>桥底、街角等城市“边角料”</w:t>
      </w:r>
      <w:r>
        <w:rPr>
          <w:rFonts w:hint="eastAsia" w:ascii="BatangChe" w:hAnsi="BatangChe" w:cs="仿宋_GB2312"/>
          <w:b w:val="0"/>
          <w:bCs w:val="0"/>
          <w:color w:val="auto"/>
          <w:sz w:val="32"/>
          <w:szCs w:val="32"/>
          <w:highlight w:val="none"/>
          <w:lang w:val="en-US" w:eastAsia="zh-CN"/>
        </w:rPr>
        <w:t>空间建设</w:t>
      </w:r>
      <w:r>
        <w:rPr>
          <w:rFonts w:hint="eastAsia" w:ascii="BatangChe" w:hAnsi="BatangChe" w:eastAsia="仿宋_GB2312" w:cs="仿宋_GB2312"/>
          <w:b w:val="0"/>
          <w:bCs w:val="0"/>
          <w:color w:val="auto"/>
          <w:sz w:val="32"/>
          <w:szCs w:val="32"/>
          <w:highlight w:val="none"/>
          <w:lang w:val="en-US" w:eastAsia="zh-CN"/>
        </w:rPr>
        <w:t>口袋公园</w:t>
      </w:r>
      <w:r>
        <w:rPr>
          <w:rFonts w:hint="eastAsia" w:ascii="BatangChe" w:hAnsi="BatangChe" w:cs="仿宋_GB2312"/>
          <w:color w:val="auto"/>
          <w:kern w:val="2"/>
          <w:sz w:val="32"/>
          <w:szCs w:val="32"/>
          <w:highlight w:val="none"/>
          <w:lang w:val="en-US" w:eastAsia="zh-CN" w:bidi="ar-SA"/>
        </w:rPr>
        <w:t>，</w:t>
      </w:r>
      <w:r>
        <w:rPr>
          <w:rFonts w:hint="eastAsia" w:ascii="BatangChe" w:hAnsi="BatangChe" w:eastAsia="仿宋_GB2312" w:cs="仿宋_GB2312"/>
          <w:b w:val="0"/>
          <w:bCs w:val="0"/>
          <w:color w:val="auto"/>
          <w:sz w:val="32"/>
          <w:szCs w:val="32"/>
          <w:highlight w:val="none"/>
        </w:rPr>
        <w:t>构建“大公园、小游园、微绿地”的多层次</w:t>
      </w:r>
      <w:r>
        <w:rPr>
          <w:rFonts w:hint="eastAsia" w:ascii="BatangChe" w:hAnsi="BatangChe" w:cs="仿宋_GB2312"/>
          <w:b w:val="0"/>
          <w:bCs w:val="0"/>
          <w:color w:val="auto"/>
          <w:sz w:val="32"/>
          <w:szCs w:val="32"/>
          <w:highlight w:val="none"/>
          <w:lang w:val="en-US" w:eastAsia="zh-CN"/>
        </w:rPr>
        <w:t>城市</w:t>
      </w:r>
      <w:r>
        <w:rPr>
          <w:rFonts w:hint="eastAsia" w:ascii="BatangChe" w:hAnsi="BatangChe" w:eastAsia="仿宋_GB2312" w:cs="仿宋_GB2312"/>
          <w:b w:val="0"/>
          <w:bCs w:val="0"/>
          <w:color w:val="auto"/>
          <w:sz w:val="32"/>
          <w:szCs w:val="32"/>
          <w:highlight w:val="none"/>
        </w:rPr>
        <w:t>绿</w:t>
      </w:r>
      <w:r>
        <w:rPr>
          <w:rFonts w:hint="eastAsia" w:ascii="BatangChe" w:hAnsi="BatangChe" w:cs="仿宋_GB2312"/>
          <w:b w:val="0"/>
          <w:bCs w:val="0"/>
          <w:color w:val="auto"/>
          <w:sz w:val="32"/>
          <w:szCs w:val="32"/>
          <w:highlight w:val="none"/>
          <w:lang w:val="en-US" w:eastAsia="zh-CN"/>
        </w:rPr>
        <w:t>地系统</w:t>
      </w:r>
      <w:r>
        <w:rPr>
          <w:rFonts w:hint="eastAsia" w:ascii="BatangChe" w:hAnsi="BatangChe" w:cs="仿宋_GB2312"/>
          <w:color w:val="auto"/>
          <w:kern w:val="2"/>
          <w:sz w:val="32"/>
          <w:szCs w:val="32"/>
          <w:highlight w:val="none"/>
          <w:lang w:val="en-US" w:eastAsia="zh-CN" w:bidi="ar-SA"/>
        </w:rPr>
        <w:t>。推进森林城镇、森林乡村建设</w:t>
      </w:r>
      <w:r>
        <w:rPr>
          <w:rFonts w:hint="eastAsia" w:ascii="BatangChe" w:hAnsi="BatangChe" w:eastAsia="仿宋_GB2312" w:cs="仿宋_GB2312"/>
          <w:b w:val="0"/>
          <w:bCs w:val="0"/>
          <w:color w:val="auto"/>
          <w:sz w:val="32"/>
          <w:szCs w:val="32"/>
          <w:highlight w:val="none"/>
          <w:lang w:val="en-US" w:eastAsia="zh-CN"/>
        </w:rPr>
        <w:t>，</w:t>
      </w:r>
      <w:r>
        <w:rPr>
          <w:rFonts w:hint="eastAsia" w:ascii="BatangChe" w:hAnsi="BatangChe" w:cs="仿宋_GB2312"/>
          <w:b w:val="0"/>
          <w:bCs w:val="0"/>
          <w:color w:val="auto"/>
          <w:sz w:val="32"/>
          <w:szCs w:val="32"/>
          <w:highlight w:val="none"/>
          <w:lang w:val="en-US" w:eastAsia="zh-CN"/>
        </w:rPr>
        <w:t>建设</w:t>
      </w:r>
      <w:r>
        <w:rPr>
          <w:rFonts w:hint="eastAsia" w:ascii="BatangChe" w:hAnsi="BatangChe" w:eastAsia="仿宋_GB2312" w:cs="仿宋_GB2312"/>
          <w:b w:val="0"/>
          <w:bCs w:val="0"/>
          <w:color w:val="auto"/>
          <w:sz w:val="32"/>
          <w:szCs w:val="32"/>
          <w:highlight w:val="none"/>
          <w:lang w:val="en-US" w:eastAsia="zh-CN"/>
        </w:rPr>
        <w:t>更多“美丽庭院”“四小园”</w:t>
      </w:r>
      <w:r>
        <w:rPr>
          <w:rFonts w:hint="eastAsia" w:ascii="BatangChe" w:hAnsi="BatangChe" w:cs="仿宋_GB2312"/>
          <w:b w:val="0"/>
          <w:bCs w:val="0"/>
          <w:color w:val="auto"/>
          <w:sz w:val="32"/>
          <w:szCs w:val="32"/>
          <w:highlight w:val="none"/>
          <w:lang w:val="en-US" w:eastAsia="zh-CN"/>
        </w:rPr>
        <w:t>，打造</w:t>
      </w:r>
      <w:r>
        <w:rPr>
          <w:rFonts w:hint="eastAsia" w:ascii="BatangChe" w:hAnsi="BatangChe" w:cs="仿宋_GB2312"/>
          <w:color w:val="auto"/>
          <w:kern w:val="2"/>
          <w:sz w:val="32"/>
          <w:szCs w:val="32"/>
          <w:highlight w:val="none"/>
          <w:lang w:val="en-US" w:eastAsia="zh-CN" w:bidi="ar-SA"/>
        </w:rPr>
        <w:t>一批绿美乡村等特色村庄。塑造串联城乡的立体化生态廊网，推动道路、水系、驿道与生物栖息地连线成片</w:t>
      </w:r>
      <w:r>
        <w:rPr>
          <w:rFonts w:hint="eastAsia" w:cs="仿宋_GB2312"/>
          <w:color w:val="auto"/>
          <w:highlight w:val="none"/>
        </w:rPr>
        <w:t>，</w:t>
      </w:r>
      <w:r>
        <w:rPr>
          <w:rFonts w:hint="eastAsia" w:cs="仿宋_GB2312"/>
          <w:color w:val="auto"/>
          <w:highlight w:val="none"/>
          <w:lang w:eastAsia="zh-CN"/>
        </w:rPr>
        <w:t>实现“路在景中、路亦成景”，绘就“推窗见绿、漫步荫凉、四季常青”的绿美城乡画卷。</w:t>
      </w:r>
    </w:p>
    <w:p w14:paraId="4A3A9F17">
      <w:pPr>
        <w:shd w:val="clear"/>
        <w:kinsoku/>
        <w:bidi w:val="0"/>
        <w:rPr>
          <w:rFonts w:hint="eastAsia" w:cs="仿宋_GB2312"/>
          <w:color w:val="auto"/>
          <w:highlight w:val="none"/>
          <w:lang w:val="en-US" w:eastAsia="zh-CN"/>
        </w:rPr>
      </w:pPr>
    </w:p>
    <w:p w14:paraId="00B6CE77">
      <w:pPr>
        <w:pStyle w:val="4"/>
        <w:shd w:val="clear"/>
        <w:kinsoku/>
        <w:bidi w:val="0"/>
        <w:rPr>
          <w:rFonts w:hint="eastAsia"/>
          <w:color w:val="auto"/>
          <w:highlight w:val="none"/>
          <w:lang w:val="en-US" w:eastAsia="zh-CN"/>
        </w:rPr>
      </w:pPr>
      <w:bookmarkStart w:id="1103" w:name="_Toc4489"/>
      <w:bookmarkStart w:id="1104" w:name="_Toc18293"/>
      <w:bookmarkStart w:id="1105" w:name="_Toc1865"/>
      <w:bookmarkStart w:id="1106" w:name="_Toc17966"/>
      <w:bookmarkStart w:id="1107" w:name="_Toc8571"/>
      <w:bookmarkStart w:id="1108" w:name="_Toc31903"/>
      <w:bookmarkStart w:id="1109" w:name="_Toc22744"/>
      <w:bookmarkStart w:id="1110" w:name="_Toc19137"/>
      <w:bookmarkStart w:id="1111" w:name="_Toc13410"/>
      <w:bookmarkStart w:id="1112" w:name="_Toc21663"/>
      <w:bookmarkStart w:id="1113" w:name="_Toc15932"/>
      <w:bookmarkStart w:id="1114" w:name="_Toc20769"/>
      <w:r>
        <w:rPr>
          <w:rFonts w:hint="eastAsia"/>
          <w:color w:val="auto"/>
          <w:highlight w:val="none"/>
          <w:lang w:val="en-US" w:eastAsia="zh-CN"/>
        </w:rPr>
        <w:t>第二节 全面提升生态环境品质</w:t>
      </w:r>
      <w:bookmarkEnd w:id="1103"/>
      <w:bookmarkEnd w:id="1104"/>
      <w:bookmarkEnd w:id="1105"/>
      <w:bookmarkEnd w:id="1106"/>
      <w:bookmarkEnd w:id="1107"/>
      <w:bookmarkEnd w:id="1108"/>
      <w:bookmarkEnd w:id="1109"/>
      <w:bookmarkEnd w:id="1110"/>
      <w:bookmarkEnd w:id="1111"/>
      <w:bookmarkEnd w:id="1112"/>
      <w:bookmarkEnd w:id="1113"/>
      <w:bookmarkEnd w:id="1114"/>
    </w:p>
    <w:p w14:paraId="574E2A5F">
      <w:pPr>
        <w:shd w:val="clear"/>
        <w:kinsoku/>
        <w:bidi w:val="0"/>
        <w:rPr>
          <w:rFonts w:hint="eastAsia" w:ascii="Times New Roman" w:hAnsi="Times New Roman" w:cs="Times New Roman"/>
          <w:b/>
          <w:bCs/>
          <w:color w:val="auto"/>
          <w:highlight w:val="none"/>
          <w:lang w:val="en-US" w:eastAsia="zh-CN"/>
        </w:rPr>
      </w:pPr>
    </w:p>
    <w:p w14:paraId="4BF923A8">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深入打好蓝天保卫战。</w:t>
      </w:r>
      <w:r>
        <w:rPr>
          <w:rFonts w:hint="eastAsia"/>
          <w:color w:val="auto"/>
          <w:highlight w:val="none"/>
          <w:lang w:val="en-US" w:eastAsia="zh-CN"/>
        </w:rPr>
        <w:t>强化区域协同治理与污染源头防控，推动移动源、工业污染源、社会面源减排协同发力。加强机动车检验检测机构监管，控制移动污染源排放。深化涉VOCs领域工业污染治理，强化重点企业废气排放管控。提升污染天气应对能力，持续改善区域空气质量，守护“浈江蓝”。“十五五”期间，力争全区AQI优良达标率完成市下达的目标任务。</w:t>
      </w:r>
    </w:p>
    <w:p w14:paraId="0A7B2934">
      <w:pPr>
        <w:shd w:val="clear"/>
        <w:kinsoku/>
        <w:bidi w:val="0"/>
        <w:rPr>
          <w:rFonts w:hint="eastAsia"/>
          <w:b/>
          <w:bCs/>
          <w:color w:val="auto"/>
          <w:highlight w:val="none"/>
          <w:lang w:val="en-US" w:eastAsia="zh-CN"/>
        </w:rPr>
      </w:pPr>
      <w:r>
        <w:rPr>
          <w:rFonts w:hint="eastAsia" w:ascii="Times New Roman" w:hAnsi="Times New Roman" w:cs="Times New Roman"/>
          <w:b/>
          <w:bCs/>
          <w:color w:val="auto"/>
          <w:highlight w:val="none"/>
          <w:lang w:val="en-US" w:eastAsia="zh-CN"/>
        </w:rPr>
        <w:t>巩固深化水环境治理。</w:t>
      </w:r>
      <w:r>
        <w:rPr>
          <w:rFonts w:hint="eastAsia"/>
          <w:color w:val="auto"/>
          <w:highlight w:val="none"/>
          <w:lang w:val="en-US" w:eastAsia="zh-CN"/>
        </w:rPr>
        <w:t>推进北江、武江、浈江美丽河湖保护建设，充分发挥河长制作用，强化武江十里亭水源地及乡镇集中式饮用水水源地保护。深化工业污水治理，引导企业提升清洁生产水平。完善内涝治理与污水管网建设改造，提高城区污水收集覆盖率与效率。开展城市小流域水环境综合整治，排查治理良村排水渠、大陂河小流域沿线污染源。“十五五”期间，力争市考核以上地表水断面水质达标率、优良比例及十里亭饮用水水源水质达标率持续保持100%。</w:t>
      </w:r>
    </w:p>
    <w:p w14:paraId="2FD594CA">
      <w:pPr>
        <w:shd w:val="clear"/>
        <w:kinsoku/>
        <w:bidi w:val="0"/>
        <w:rPr>
          <w:rFonts w:hint="eastAsia"/>
          <w:color w:val="auto"/>
          <w:highlight w:val="none"/>
          <w:lang w:val="en-US" w:eastAsia="zh-CN"/>
        </w:rPr>
      </w:pPr>
      <w:r>
        <w:rPr>
          <w:rFonts w:hint="eastAsia"/>
          <w:b/>
          <w:bCs/>
          <w:color w:val="auto"/>
          <w:highlight w:val="none"/>
          <w:lang w:val="en-US" w:eastAsia="zh-CN"/>
        </w:rPr>
        <w:t>深化土壤污染防治。</w:t>
      </w:r>
      <w:r>
        <w:rPr>
          <w:rFonts w:hint="eastAsia"/>
          <w:b w:val="0"/>
          <w:bCs w:val="0"/>
          <w:color w:val="auto"/>
          <w:highlight w:val="none"/>
          <w:lang w:val="en-US" w:eastAsia="zh-CN"/>
        </w:rPr>
        <w:t>深入打好净土保卫战</w:t>
      </w:r>
      <w:r>
        <w:rPr>
          <w:rFonts w:hint="eastAsia"/>
          <w:color w:val="auto"/>
          <w:highlight w:val="none"/>
          <w:lang w:val="en-US" w:eastAsia="zh-CN"/>
        </w:rPr>
        <w:t>，实施土壤污染源头防控，严格监管土壤污染重点单位。推进农业面源污染源头减量，</w:t>
      </w:r>
      <w:r>
        <w:rPr>
          <w:rFonts w:hint="eastAsia" w:cs="仿宋_GB2312"/>
          <w:color w:val="auto"/>
          <w:highlight w:val="none"/>
        </w:rPr>
        <w:t>强化农药包装废弃物回收处理</w:t>
      </w:r>
      <w:r>
        <w:rPr>
          <w:rFonts w:hint="eastAsia"/>
          <w:color w:val="auto"/>
          <w:highlight w:val="none"/>
          <w:lang w:val="en-US" w:eastAsia="zh-CN"/>
        </w:rPr>
        <w:t>。加强固体废物综合治理与合理利用，遏制固体废物非法转移倾倒。</w:t>
      </w:r>
      <w:r>
        <w:rPr>
          <w:rFonts w:hint="eastAsia" w:cs="仿宋_GB2312"/>
          <w:color w:val="auto"/>
          <w:szCs w:val="21"/>
          <w:highlight w:val="none"/>
        </w:rPr>
        <w:t>规范生活垃圾填埋和焚烧运营，</w:t>
      </w:r>
      <w:r>
        <w:rPr>
          <w:rFonts w:hint="eastAsia" w:cs="仿宋_GB2312"/>
          <w:color w:val="auto"/>
          <w:szCs w:val="21"/>
          <w:highlight w:val="none"/>
          <w:lang w:val="en-US" w:eastAsia="zh-CN"/>
        </w:rPr>
        <w:t>推动</w:t>
      </w:r>
      <w:r>
        <w:rPr>
          <w:rFonts w:hint="eastAsia"/>
          <w:color w:val="auto"/>
          <w:highlight w:val="none"/>
          <w:lang w:val="en-US" w:eastAsia="zh-CN"/>
        </w:rPr>
        <w:t>浈江区生活垃圾转运站升级改造项目建设。加强新化学物质环境监管执法，依法查处新污染物领域环境违法行为。</w:t>
      </w:r>
    </w:p>
    <w:p w14:paraId="2839053B">
      <w:pPr>
        <w:shd w:val="clear"/>
        <w:kinsoku/>
        <w:bidi w:val="0"/>
        <w:rPr>
          <w:rFonts w:hint="eastAsia"/>
          <w:color w:val="auto"/>
          <w:highlight w:val="none"/>
          <w:lang w:val="en-US" w:eastAsia="zh-CN"/>
        </w:rPr>
      </w:pPr>
    </w:p>
    <w:p w14:paraId="3430BD06">
      <w:pPr>
        <w:pStyle w:val="4"/>
        <w:shd w:val="clear"/>
        <w:kinsoku/>
        <w:bidi w:val="0"/>
        <w:rPr>
          <w:rFonts w:hint="eastAsia"/>
          <w:color w:val="auto"/>
          <w:highlight w:val="none"/>
          <w:lang w:val="en-US" w:eastAsia="zh-CN"/>
        </w:rPr>
      </w:pPr>
      <w:bookmarkStart w:id="1115" w:name="_Toc9415"/>
      <w:bookmarkStart w:id="1116" w:name="_Toc3067"/>
      <w:bookmarkStart w:id="1117" w:name="_Toc28876"/>
      <w:bookmarkStart w:id="1118" w:name="_Toc5419"/>
      <w:bookmarkStart w:id="1119" w:name="_Toc13188"/>
      <w:bookmarkStart w:id="1120" w:name="_Toc29119"/>
      <w:bookmarkStart w:id="1121" w:name="_Toc18744"/>
      <w:bookmarkStart w:id="1122" w:name="_Toc31867"/>
      <w:bookmarkStart w:id="1123" w:name="_Toc22000"/>
      <w:bookmarkStart w:id="1124" w:name="_Toc21425"/>
      <w:bookmarkStart w:id="1125" w:name="_Toc27708"/>
      <w:bookmarkStart w:id="1126" w:name="_Toc725"/>
      <w:r>
        <w:rPr>
          <w:rFonts w:hint="eastAsia"/>
          <w:color w:val="auto"/>
          <w:highlight w:val="none"/>
          <w:lang w:val="en-US" w:eastAsia="zh-CN"/>
        </w:rPr>
        <w:t>第三节 加快绿色低碳转型发展</w:t>
      </w:r>
      <w:bookmarkEnd w:id="1115"/>
      <w:bookmarkEnd w:id="1116"/>
      <w:bookmarkEnd w:id="1117"/>
      <w:bookmarkEnd w:id="1118"/>
      <w:bookmarkEnd w:id="1119"/>
      <w:bookmarkEnd w:id="1120"/>
      <w:bookmarkEnd w:id="1121"/>
      <w:bookmarkEnd w:id="1122"/>
      <w:bookmarkEnd w:id="1123"/>
      <w:bookmarkEnd w:id="1124"/>
      <w:bookmarkEnd w:id="1125"/>
      <w:bookmarkEnd w:id="1126"/>
    </w:p>
    <w:p w14:paraId="3FBC2954">
      <w:pPr>
        <w:shd w:val="clear"/>
        <w:kinsoku/>
        <w:autoSpaceDE/>
        <w:autoSpaceDN/>
        <w:bidi w:val="0"/>
        <w:ind w:firstLine="643" w:firstLineChars="200"/>
        <w:rPr>
          <w:rFonts w:hint="eastAsia" w:ascii="Times New Roman" w:hAnsi="Times New Roman" w:cs="Times New Roman"/>
          <w:b/>
          <w:bCs/>
          <w:color w:val="auto"/>
          <w:highlight w:val="none"/>
          <w:lang w:val="en-US" w:eastAsia="zh-CN"/>
        </w:rPr>
      </w:pPr>
    </w:p>
    <w:p w14:paraId="72F51273">
      <w:pPr>
        <w:shd w:val="clear"/>
        <w:kinsoku/>
        <w:autoSpaceDE/>
        <w:autoSpaceDN/>
        <w:bidi w:val="0"/>
        <w:ind w:firstLine="643" w:firstLineChars="200"/>
        <w:rPr>
          <w:rFonts w:hint="eastAsia"/>
          <w:color w:val="auto"/>
          <w:highlight w:val="none"/>
          <w:lang w:val="en-US" w:eastAsia="zh-CN"/>
        </w:rPr>
      </w:pPr>
      <w:r>
        <w:rPr>
          <w:rFonts w:hint="eastAsia" w:ascii="Times New Roman" w:hAnsi="Times New Roman" w:cs="Times New Roman"/>
          <w:b/>
          <w:bCs/>
          <w:color w:val="auto"/>
          <w:highlight w:val="none"/>
          <w:lang w:val="en-US" w:eastAsia="zh-CN"/>
        </w:rPr>
        <w:t>稳妥推进碳达峰碳中和。</w:t>
      </w:r>
      <w:r>
        <w:rPr>
          <w:rFonts w:hint="eastAsia"/>
          <w:color w:val="auto"/>
          <w:highlight w:val="none"/>
          <w:lang w:val="en-US" w:eastAsia="zh-CN"/>
        </w:rPr>
        <w:t>有序开展重点领域碳达峰行动，推动煤电转型升级，大力发展光伏、氢能、热能等清洁能源，提升非化石能源占一次能源比重。加大新能源汽车推广力度，推进交通运输设备电动化与基础设施绿色低碳改造。优化工业产业结构，引导企业更新升级用能设备，以数字化智能化赋能绿色低碳发展。</w:t>
      </w:r>
    </w:p>
    <w:p w14:paraId="11B1FBDF">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持续推进节能管理。</w:t>
      </w:r>
      <w:r>
        <w:rPr>
          <w:rFonts w:hint="eastAsia"/>
          <w:color w:val="auto"/>
          <w:highlight w:val="none"/>
          <w:lang w:val="en-US" w:eastAsia="zh-CN"/>
        </w:rPr>
        <w:t>严格落实重点用能项目前置审查、验收及事中事后监管，加快重点用能企业高端化、智能化、绿色化改造，坚决遏制“两高”项目盲目发展。探索零碳园区建设，推广园区屋顶光伏等可再生能源利用，鼓励企业实施节能降碳改造与用能设备更新。完善园区绿色交通基础设施，强化先进技术应用，提升园区能碳管理效能。</w:t>
      </w:r>
    </w:p>
    <w:p w14:paraId="1929F7CE">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促进资源循环高效利用。</w:t>
      </w:r>
      <w:r>
        <w:rPr>
          <w:rFonts w:hint="eastAsia"/>
          <w:color w:val="auto"/>
          <w:highlight w:val="none"/>
          <w:lang w:val="en-US" w:eastAsia="zh-CN"/>
        </w:rPr>
        <w:t>参与“无废城市”建设，以工业固体废物、生活垃圾等为重点，推行无废生产方式。推进生活垃圾分类，提升资源化利用率。大力发展循环经济，提升建筑垃圾资源化利用水平，加快构建废弃物循环利用体系、再生资源回收体系。全面发展绿色建筑，大力发展装配式建筑，鼓励超低能耗建筑、近零能耗建筑、零碳建筑建设。</w:t>
      </w:r>
    </w:p>
    <w:p w14:paraId="66DA3BB0">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倡导绿色生活方式。</w:t>
      </w:r>
      <w:r>
        <w:rPr>
          <w:rFonts w:hint="eastAsia"/>
          <w:color w:val="auto"/>
          <w:highlight w:val="none"/>
          <w:lang w:val="en-US" w:eastAsia="zh-CN"/>
        </w:rPr>
        <w:t>开展绿色低碳全民行动，提升全民节能意识，推广绿色低碳出行、节水节电的生活方式，大力倡导简约适度、绿色低碳、文明健康的生活理念和消费方式。积极倡导绿色消费，鼓励企业采取“设备更新”，优化政府绿色采购政策，减少一次性消费品和包装用材消耗，拓展绿色产品采购范围和规模，推广节能低碳生活用品，引导消费者购买绿色产品。</w:t>
      </w:r>
    </w:p>
    <w:p w14:paraId="36B04770">
      <w:pPr>
        <w:shd w:val="clear"/>
        <w:kinsoku/>
        <w:bidi w:val="0"/>
        <w:rPr>
          <w:rFonts w:hint="eastAsia"/>
          <w:color w:val="auto"/>
          <w:highlight w:val="none"/>
          <w:lang w:val="en-US" w:eastAsia="zh-CN"/>
        </w:rPr>
      </w:pPr>
    </w:p>
    <w:p w14:paraId="5B6A3B18">
      <w:pPr>
        <w:pStyle w:val="4"/>
        <w:shd w:val="clear"/>
        <w:kinsoku/>
        <w:bidi w:val="0"/>
        <w:rPr>
          <w:rFonts w:hint="eastAsia"/>
          <w:color w:val="auto"/>
          <w:highlight w:val="none"/>
          <w:lang w:val="en-US" w:eastAsia="zh-CN"/>
        </w:rPr>
      </w:pPr>
      <w:bookmarkStart w:id="1127" w:name="_Toc21337"/>
      <w:bookmarkStart w:id="1128" w:name="_Toc15532"/>
      <w:bookmarkStart w:id="1129" w:name="_Toc5951"/>
      <w:bookmarkStart w:id="1130" w:name="_Toc20422"/>
      <w:bookmarkStart w:id="1131" w:name="_Toc12030"/>
      <w:bookmarkStart w:id="1132" w:name="_Toc27918"/>
      <w:bookmarkStart w:id="1133" w:name="_Toc17253"/>
      <w:bookmarkStart w:id="1134" w:name="_Toc15558"/>
      <w:bookmarkStart w:id="1135" w:name="_Toc26754"/>
      <w:bookmarkStart w:id="1136" w:name="_Toc20209"/>
      <w:bookmarkStart w:id="1137" w:name="_Toc4055"/>
      <w:bookmarkStart w:id="1138" w:name="_Toc14639"/>
      <w:r>
        <w:rPr>
          <w:rFonts w:hint="eastAsia"/>
          <w:color w:val="auto"/>
          <w:highlight w:val="none"/>
          <w:lang w:val="en-US" w:eastAsia="zh-CN"/>
        </w:rPr>
        <w:t>第四节 拓宽生态价值转化路径</w:t>
      </w:r>
      <w:bookmarkEnd w:id="1127"/>
      <w:bookmarkEnd w:id="1128"/>
      <w:bookmarkEnd w:id="1129"/>
      <w:bookmarkEnd w:id="1130"/>
      <w:bookmarkEnd w:id="1131"/>
      <w:bookmarkEnd w:id="1132"/>
      <w:bookmarkEnd w:id="1133"/>
      <w:bookmarkEnd w:id="1134"/>
      <w:bookmarkEnd w:id="1135"/>
      <w:bookmarkEnd w:id="1136"/>
      <w:bookmarkEnd w:id="1137"/>
      <w:bookmarkEnd w:id="1138"/>
    </w:p>
    <w:p w14:paraId="50B03108">
      <w:pPr>
        <w:shd w:val="clear"/>
        <w:kinsoku/>
        <w:autoSpaceDE/>
        <w:autoSpaceDN/>
        <w:bidi w:val="0"/>
        <w:ind w:firstLine="643" w:firstLineChars="200"/>
        <w:rPr>
          <w:rFonts w:hint="eastAsia"/>
          <w:b/>
          <w:bCs/>
          <w:color w:val="auto"/>
          <w:highlight w:val="none"/>
          <w:lang w:val="en-US" w:eastAsia="zh-CN"/>
        </w:rPr>
      </w:pPr>
    </w:p>
    <w:p w14:paraId="459A5AB7">
      <w:pPr>
        <w:shd w:val="clear"/>
        <w:kinsoku/>
        <w:autoSpaceDE/>
        <w:autoSpaceDN/>
        <w:bidi w:val="0"/>
        <w:ind w:firstLine="643" w:firstLineChars="200"/>
        <w:rPr>
          <w:rFonts w:hint="eastAsia"/>
          <w:color w:val="auto"/>
          <w:highlight w:val="none"/>
          <w:lang w:val="en-US" w:eastAsia="zh-CN"/>
        </w:rPr>
      </w:pPr>
      <w:r>
        <w:rPr>
          <w:rFonts w:hint="eastAsia"/>
          <w:b/>
          <w:bCs/>
          <w:color w:val="auto"/>
          <w:highlight w:val="none"/>
          <w:lang w:val="en-US" w:eastAsia="zh-CN"/>
        </w:rPr>
        <w:t>加快发展林业经济。</w:t>
      </w:r>
      <w:r>
        <w:rPr>
          <w:rFonts w:hint="eastAsia"/>
          <w:color w:val="auto"/>
          <w:highlight w:val="none"/>
          <w:lang w:val="en-US" w:eastAsia="zh-CN"/>
        </w:rPr>
        <w:t>规范林地林木流转，推广“公司+合作社+农户+基地”模式，打造浈江林业特色品牌。推动林业与旅游、康养、文化体验、庭院经济深度融合，发展林粮、林茶、林药、林菌等林下种植，规范林禽、林畜等林下养殖，扩大油茶、茶叶、南药、苗木花卉等特色产业规模。推进浈江油茶产业基地、茶博园、竹产业园等建设，打造林下经济基地，延伸林下采集加工产业链。</w:t>
      </w:r>
    </w:p>
    <w:p w14:paraId="05FCB73C">
      <w:pPr>
        <w:shd w:val="clear"/>
        <w:kinsoku/>
        <w:bidi w:val="0"/>
        <w:rPr>
          <w:rFonts w:hint="eastAsia"/>
          <w:color w:val="auto"/>
          <w:highlight w:val="none"/>
          <w:lang w:val="en-US" w:eastAsia="zh-CN"/>
        </w:rPr>
      </w:pPr>
      <w:r>
        <w:rPr>
          <w:rFonts w:hint="eastAsia"/>
          <w:b/>
          <w:bCs/>
          <w:color w:val="auto"/>
          <w:highlight w:val="none"/>
          <w:lang w:val="en-US" w:eastAsia="zh-CN"/>
        </w:rPr>
        <w:t>培育多元水经济业态。</w:t>
      </w:r>
      <w:r>
        <w:rPr>
          <w:rFonts w:hint="eastAsia"/>
          <w:color w:val="auto"/>
          <w:highlight w:val="none"/>
          <w:lang w:val="en-US" w:eastAsia="zh-CN"/>
        </w:rPr>
        <w:t>加强涉水生态空间功能管控，加快激发水经济发展活力，挖掘水资源与水利工程价值，推进北江一江两岸、花坪镇西牛潭水库资源保护开发，有序发展生态旅游、森林康养、山水疗养、水上运动等产业，构建多元化水经济产业链。开展万里碧道建设，依托阅丹公路、大富河碧道，打造“亲水、乐水、享水”生态水岸景观。</w:t>
      </w:r>
    </w:p>
    <w:p w14:paraId="7A81FC7E">
      <w:pPr>
        <w:shd w:val="clear"/>
        <w:kinsoku/>
        <w:bidi w:val="0"/>
        <w:rPr>
          <w:rFonts w:hint="eastAsia"/>
          <w:color w:val="auto"/>
          <w:highlight w:val="none"/>
          <w:lang w:val="en-US" w:eastAsia="zh-CN"/>
        </w:rPr>
      </w:pPr>
      <w:r>
        <w:rPr>
          <w:rFonts w:hint="eastAsia" w:ascii="BatangChe" w:hAnsi="BatangChe" w:cs="仿宋_GB2312"/>
          <w:b/>
          <w:bCs/>
          <w:color w:val="auto"/>
          <w:kern w:val="2"/>
          <w:sz w:val="32"/>
          <w:szCs w:val="32"/>
          <w:highlight w:val="none"/>
          <w:lang w:val="en-US" w:eastAsia="zh-CN" w:bidi="ar-SA"/>
        </w:rPr>
        <w:t>探索发展碳汇经济</w:t>
      </w:r>
      <w:r>
        <w:rPr>
          <w:rFonts w:hint="eastAsia"/>
          <w:b/>
          <w:bCs/>
          <w:color w:val="auto"/>
          <w:highlight w:val="none"/>
          <w:lang w:val="en-US" w:eastAsia="zh-CN"/>
        </w:rPr>
        <w:t>。</w:t>
      </w:r>
      <w:r>
        <w:rPr>
          <w:rFonts w:hint="eastAsia"/>
          <w:color w:val="auto"/>
          <w:highlight w:val="none"/>
          <w:lang w:val="en-US" w:eastAsia="zh-CN"/>
        </w:rPr>
        <w:t>探索生态产品价值实现机制，建立市场化、多元化转化路径。加强区域绿色低碳协同发展，学习珠三角地区绿色低碳发展经验。开展生态产品价值核算，推进林业碳汇项目开发。探索林权资产折资量化林票制，拓展生态产品交易场景，探索打造特色绿色转型金融支持模式，让“沉睡山林”变流动资产。</w:t>
      </w:r>
    </w:p>
    <w:p w14:paraId="4345A57C">
      <w:pPr>
        <w:pStyle w:val="3"/>
        <w:shd w:val="clear"/>
        <w:kinsoku/>
        <w:bidi w:val="0"/>
        <w:rPr>
          <w:rFonts w:hint="eastAsia"/>
          <w:color w:val="auto"/>
          <w:highlight w:val="none"/>
          <w:lang w:val="en-US" w:eastAsia="zh-CN"/>
        </w:rPr>
        <w:sectPr>
          <w:pgSz w:w="11906" w:h="16839"/>
          <w:pgMar w:top="2098" w:right="1474" w:bottom="1984" w:left="1587" w:header="1020" w:footer="1417" w:gutter="0"/>
          <w:pgNumType w:fmt="numberInDash"/>
          <w:cols w:space="720" w:num="1"/>
          <w:rtlGutter w:val="0"/>
        </w:sectPr>
      </w:pPr>
    </w:p>
    <w:bookmarkEnd w:id="1078"/>
    <w:bookmarkEnd w:id="1079"/>
    <w:bookmarkEnd w:id="1080"/>
    <w:bookmarkEnd w:id="1081"/>
    <w:bookmarkEnd w:id="1082"/>
    <w:bookmarkEnd w:id="1083"/>
    <w:bookmarkEnd w:id="1084"/>
    <w:bookmarkEnd w:id="1085"/>
    <w:bookmarkEnd w:id="1086"/>
    <w:bookmarkEnd w:id="1087"/>
    <w:p w14:paraId="71C8D1DE">
      <w:pPr>
        <w:pStyle w:val="3"/>
        <w:shd w:val="clear"/>
        <w:kinsoku/>
        <w:bidi w:val="0"/>
        <w:rPr>
          <w:rFonts w:hint="eastAsia"/>
          <w:b w:val="0"/>
          <w:bCs/>
          <w:color w:val="auto"/>
          <w:highlight w:val="none"/>
          <w:lang w:val="en-US" w:eastAsia="zh-CN"/>
        </w:rPr>
      </w:pPr>
      <w:bookmarkStart w:id="1139" w:name="_Toc27891"/>
      <w:bookmarkStart w:id="1140" w:name="_Toc17944"/>
      <w:bookmarkStart w:id="1141" w:name="_Toc22831"/>
      <w:bookmarkStart w:id="1142" w:name="_Toc12067"/>
      <w:bookmarkStart w:id="1143" w:name="_Toc23502"/>
      <w:bookmarkStart w:id="1144" w:name="_Toc622"/>
      <w:bookmarkStart w:id="1145" w:name="_Toc672"/>
      <w:bookmarkStart w:id="1146" w:name="_Toc849"/>
      <w:bookmarkStart w:id="1147" w:name="_Toc25030"/>
      <w:bookmarkStart w:id="1148" w:name="_Toc6836"/>
      <w:bookmarkStart w:id="1149" w:name="_Toc32379"/>
      <w:bookmarkStart w:id="1150" w:name="_Toc29279"/>
      <w:bookmarkStart w:id="1151" w:name="_Toc25681"/>
      <w:bookmarkStart w:id="1152" w:name="_Toc8076"/>
      <w:bookmarkStart w:id="1153" w:name="_Toc27295"/>
      <w:bookmarkStart w:id="1154" w:name="_Toc8444"/>
      <w:bookmarkStart w:id="1155" w:name="_Toc18542"/>
      <w:bookmarkStart w:id="1156" w:name="_Toc16437"/>
      <w:bookmarkStart w:id="1157" w:name="_Toc26355"/>
      <w:bookmarkStart w:id="1158" w:name="_Toc987"/>
      <w:bookmarkStart w:id="1159" w:name="_Toc24028"/>
      <w:r>
        <w:rPr>
          <w:rFonts w:hint="eastAsia"/>
          <w:b w:val="0"/>
          <w:bCs/>
          <w:color w:val="auto"/>
          <w:highlight w:val="none"/>
          <w:lang w:val="en-US" w:eastAsia="zh-CN"/>
        </w:rPr>
        <w:t xml:space="preserve">第十三章 </w:t>
      </w:r>
      <w:bookmarkEnd w:id="1088"/>
      <w:bookmarkEnd w:id="1139"/>
      <w:bookmarkEnd w:id="1140"/>
      <w:r>
        <w:rPr>
          <w:rFonts w:hint="eastAsia"/>
          <w:b w:val="0"/>
          <w:bCs/>
          <w:color w:val="auto"/>
          <w:highlight w:val="none"/>
          <w:lang w:val="en-US" w:eastAsia="zh-CN"/>
        </w:rPr>
        <w:t>统筹发展和安全，建设更高水平平安浈江</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14:paraId="656C9B40">
      <w:pPr>
        <w:shd w:val="clear"/>
        <w:kinsoku/>
        <w:bidi w:val="0"/>
        <w:rPr>
          <w:rFonts w:hint="eastAsia" w:ascii="仿宋_GB2312" w:hAnsi="仿宋_GB2312" w:eastAsia="仿宋_GB2312" w:cs="仿宋_GB2312"/>
          <w:strike w:val="0"/>
          <w:dstrike w:val="0"/>
          <w:color w:val="auto"/>
          <w:sz w:val="32"/>
          <w:szCs w:val="32"/>
          <w:highlight w:val="none"/>
          <w:lang w:val="en-US" w:eastAsia="zh-CN"/>
        </w:rPr>
      </w:pPr>
      <w:bookmarkStart w:id="1160" w:name="_Toc4072"/>
    </w:p>
    <w:p w14:paraId="6B78D2B9">
      <w:pPr>
        <w:shd w:val="clear"/>
        <w:kinsoku/>
        <w:bidi w:val="0"/>
        <w:rPr>
          <w:rFonts w:hint="eastAsia" w:ascii="仿宋_GB2312" w:hAnsi="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深入贯彻落实总体国家安全观，把安全发展贯穿经济社会发展各领域和全过程，构建大安全大应急框架，防范化解重点领域风险，全面提高社会治理能力，筑牢人民群众生命财产安全防线</w:t>
      </w:r>
      <w:r>
        <w:rPr>
          <w:rFonts w:hint="eastAsia" w:ascii="仿宋_GB2312" w:hAnsi="仿宋_GB2312" w:cs="仿宋_GB2312"/>
          <w:strike w:val="0"/>
          <w:dstrike w:val="0"/>
          <w:color w:val="auto"/>
          <w:sz w:val="32"/>
          <w:szCs w:val="32"/>
          <w:highlight w:val="none"/>
          <w:lang w:val="en-US" w:eastAsia="zh-CN"/>
        </w:rPr>
        <w:t>。</w:t>
      </w:r>
    </w:p>
    <w:p w14:paraId="3A37C894">
      <w:pPr>
        <w:shd w:val="clear"/>
        <w:kinsoku/>
        <w:bidi w:val="0"/>
        <w:rPr>
          <w:rFonts w:hint="eastAsia" w:ascii="仿宋_GB2312" w:hAnsi="仿宋_GB2312" w:cs="仿宋_GB2312"/>
          <w:strike w:val="0"/>
          <w:dstrike w:val="0"/>
          <w:color w:val="auto"/>
          <w:sz w:val="32"/>
          <w:szCs w:val="32"/>
          <w:highlight w:val="none"/>
          <w:lang w:val="en-US" w:eastAsia="zh-CN"/>
        </w:rPr>
      </w:pPr>
    </w:p>
    <w:bookmarkEnd w:id="1160"/>
    <w:p w14:paraId="62CE7B82">
      <w:pPr>
        <w:pStyle w:val="4"/>
        <w:shd w:val="clear"/>
        <w:kinsoku/>
        <w:bidi w:val="0"/>
        <w:rPr>
          <w:rFonts w:hint="eastAsia"/>
          <w:b w:val="0"/>
          <w:bCs w:val="0"/>
          <w:color w:val="auto"/>
          <w:highlight w:val="none"/>
          <w:lang w:val="en-US" w:eastAsia="zh-CN"/>
        </w:rPr>
      </w:pPr>
      <w:bookmarkStart w:id="1161" w:name="_Toc11693"/>
      <w:bookmarkStart w:id="1162" w:name="_Toc7178"/>
      <w:bookmarkStart w:id="1163" w:name="_Toc25699"/>
      <w:bookmarkStart w:id="1164" w:name="_Toc19334"/>
      <w:bookmarkStart w:id="1165" w:name="_Toc23791"/>
      <w:bookmarkStart w:id="1166" w:name="_Toc13447"/>
      <w:bookmarkStart w:id="1167" w:name="_Toc20747"/>
      <w:bookmarkStart w:id="1168" w:name="_Toc11479"/>
      <w:bookmarkStart w:id="1169" w:name="_Toc8558"/>
      <w:bookmarkStart w:id="1170" w:name="_Toc4176"/>
      <w:bookmarkStart w:id="1171" w:name="_Toc17476"/>
      <w:bookmarkStart w:id="1172" w:name="_Toc4407"/>
      <w:bookmarkStart w:id="1173" w:name="_Toc26866"/>
      <w:bookmarkStart w:id="1174" w:name="_Toc5022"/>
      <w:bookmarkStart w:id="1175" w:name="_Toc14572"/>
      <w:bookmarkStart w:id="1176" w:name="_Toc23331"/>
      <w:bookmarkStart w:id="1177" w:name="_Toc15263"/>
      <w:bookmarkStart w:id="1178" w:name="_Toc6900"/>
      <w:bookmarkStart w:id="1179" w:name="_Toc29836"/>
      <w:bookmarkStart w:id="1180" w:name="_Toc15685"/>
      <w:bookmarkStart w:id="1181" w:name="_Toc21545"/>
      <w:r>
        <w:rPr>
          <w:rFonts w:hint="eastAsia"/>
          <w:b w:val="0"/>
          <w:bCs w:val="0"/>
          <w:color w:val="auto"/>
          <w:highlight w:val="none"/>
          <w:lang w:val="en-US" w:eastAsia="zh-CN"/>
        </w:rPr>
        <w:t>第一节 稳慎化解重点领域风险</w:t>
      </w:r>
      <w:bookmarkEnd w:id="1161"/>
      <w:bookmarkEnd w:id="1162"/>
      <w:bookmarkEnd w:id="1163"/>
      <w:bookmarkEnd w:id="1164"/>
      <w:bookmarkEnd w:id="1165"/>
      <w:bookmarkEnd w:id="1166"/>
      <w:bookmarkEnd w:id="1167"/>
      <w:bookmarkEnd w:id="1168"/>
      <w:bookmarkEnd w:id="1169"/>
      <w:bookmarkEnd w:id="1170"/>
      <w:bookmarkEnd w:id="1171"/>
      <w:bookmarkEnd w:id="1172"/>
    </w:p>
    <w:p w14:paraId="6D4766D2">
      <w:pPr>
        <w:shd w:val="clear"/>
        <w:kinsoku/>
        <w:bidi w:val="0"/>
        <w:rPr>
          <w:rFonts w:hint="eastAsia"/>
          <w:b w:val="0"/>
          <w:bCs w:val="0"/>
          <w:color w:val="auto"/>
          <w:highlight w:val="none"/>
          <w:lang w:val="en-US" w:eastAsia="zh-CN"/>
        </w:rPr>
      </w:pPr>
    </w:p>
    <w:p w14:paraId="4C5D3CEA">
      <w:pPr>
        <w:shd w:val="clear"/>
        <w:kinsoku/>
        <w:bidi w:val="0"/>
        <w:rPr>
          <w:rFonts w:hint="eastAsia"/>
          <w:color w:val="auto"/>
          <w:highlight w:val="none"/>
          <w:lang w:val="en-US" w:eastAsia="zh-CN"/>
        </w:rPr>
      </w:pPr>
      <w:r>
        <w:rPr>
          <w:rFonts w:hint="eastAsia"/>
          <w:b w:val="0"/>
          <w:bCs w:val="0"/>
          <w:color w:val="auto"/>
          <w:highlight w:val="none"/>
          <w:lang w:val="en-US" w:eastAsia="zh-CN"/>
        </w:rPr>
        <w:t>防范化解</w:t>
      </w:r>
      <w:r>
        <w:rPr>
          <w:rFonts w:hint="eastAsia"/>
          <w:b w:val="0"/>
          <w:bCs w:val="0"/>
          <w:color w:val="auto"/>
          <w:highlight w:val="none"/>
        </w:rPr>
        <w:t>政府债务风险</w:t>
      </w:r>
      <w:r>
        <w:rPr>
          <w:rFonts w:hint="eastAsia"/>
          <w:b w:val="0"/>
          <w:bCs w:val="0"/>
          <w:color w:val="auto"/>
          <w:highlight w:val="none"/>
          <w:lang w:eastAsia="zh-CN"/>
        </w:rPr>
        <w:t>，</w:t>
      </w:r>
      <w:r>
        <w:rPr>
          <w:rFonts w:hint="eastAsia"/>
          <w:color w:val="auto"/>
          <w:highlight w:val="none"/>
          <w:lang w:val="en-US" w:eastAsia="zh-CN"/>
        </w:rPr>
        <w:t>加快构建政府债务管理长效机制，落实专项债券</w:t>
      </w:r>
      <w:r>
        <w:rPr>
          <w:rFonts w:hint="eastAsia"/>
          <w:color w:val="auto"/>
          <w:highlight w:val="none"/>
        </w:rPr>
        <w:t>“借、用、管、还”</w:t>
      </w:r>
      <w:r>
        <w:rPr>
          <w:rFonts w:hint="eastAsia"/>
          <w:color w:val="auto"/>
          <w:highlight w:val="none"/>
          <w:lang w:val="en-US" w:eastAsia="zh-CN"/>
        </w:rPr>
        <w:t>全生命周期管理</w:t>
      </w:r>
      <w:r>
        <w:rPr>
          <w:rFonts w:hint="eastAsia"/>
          <w:color w:val="auto"/>
          <w:highlight w:val="none"/>
          <w:lang w:eastAsia="zh-CN"/>
        </w:rPr>
        <w:t>。</w:t>
      </w:r>
      <w:r>
        <w:rPr>
          <w:rFonts w:hint="eastAsia"/>
          <w:color w:val="auto"/>
          <w:highlight w:val="none"/>
        </w:rPr>
        <w:t>健全全口径债务监测平台，坚决遏制新增隐性债务</w:t>
      </w:r>
      <w:r>
        <w:rPr>
          <w:rFonts w:hint="eastAsia"/>
          <w:color w:val="auto"/>
          <w:highlight w:val="none"/>
          <w:lang w:eastAsia="zh-CN"/>
        </w:rPr>
        <w:t>。</w:t>
      </w:r>
      <w:r>
        <w:rPr>
          <w:rFonts w:hint="eastAsia"/>
          <w:color w:val="auto"/>
          <w:highlight w:val="none"/>
        </w:rPr>
        <w:t>推动建立跨部门债务风险评估与预警机制，制定化债计划与应急预案，切实防范区域性财政风险。</w:t>
      </w:r>
      <w:r>
        <w:rPr>
          <w:rFonts w:hint="eastAsia" w:ascii="Times New Roman" w:hAnsi="Times New Roman" w:cs="Times New Roman"/>
          <w:b w:val="0"/>
          <w:bCs w:val="0"/>
          <w:color w:val="auto"/>
          <w:highlight w:val="none"/>
          <w:lang w:val="en-US" w:eastAsia="zh-CN"/>
        </w:rPr>
        <w:t>筑牢金融安全监管防线，</w:t>
      </w:r>
      <w:r>
        <w:rPr>
          <w:rFonts w:hint="eastAsia"/>
          <w:color w:val="auto"/>
          <w:highlight w:val="none"/>
          <w:lang w:val="en-US" w:eastAsia="zh-CN"/>
        </w:rPr>
        <w:t>落实属地风险排查责任。建立非法集资、企业债务违约等风险联防联控机制，开展涉众金融矛盾专项治理。强化金融消费者权益保护，守住不发生区域性系统性金融风险底线。</w:t>
      </w:r>
      <w:r>
        <w:rPr>
          <w:rFonts w:hint="eastAsia" w:ascii="Times New Roman" w:hAnsi="Times New Roman" w:cs="Times New Roman"/>
          <w:b w:val="0"/>
          <w:bCs w:val="0"/>
          <w:color w:val="auto"/>
          <w:highlight w:val="none"/>
          <w:lang w:val="en-US" w:eastAsia="zh-CN"/>
        </w:rPr>
        <w:t>构建数据安全保障体系，</w:t>
      </w:r>
      <w:r>
        <w:rPr>
          <w:rFonts w:hint="eastAsia"/>
          <w:color w:val="auto"/>
          <w:highlight w:val="none"/>
          <w:lang w:val="en-US" w:eastAsia="zh-CN"/>
        </w:rPr>
        <w:t>建立数据分类分级保护制度，推动数据安全合规使用。建设区级数据安全监测预警平台，健全政务云、公共数据平台安全运维机制，定期开展应急演练。</w:t>
      </w:r>
      <w:r>
        <w:rPr>
          <w:rFonts w:hint="eastAsia" w:cs="Times New Roman"/>
          <w:b w:val="0"/>
          <w:bCs w:val="0"/>
          <w:color w:val="auto"/>
          <w:highlight w:val="none"/>
          <w:lang w:val="en-US" w:eastAsia="zh-CN"/>
        </w:rPr>
        <w:t>加强</w:t>
      </w:r>
      <w:r>
        <w:rPr>
          <w:rFonts w:hint="eastAsia" w:ascii="Times New Roman" w:hAnsi="Times New Roman" w:cs="Times New Roman"/>
          <w:b w:val="0"/>
          <w:bCs w:val="0"/>
          <w:color w:val="auto"/>
          <w:highlight w:val="none"/>
          <w:lang w:val="en-US" w:eastAsia="zh-CN"/>
        </w:rPr>
        <w:t>劳动关系综合治理，</w:t>
      </w:r>
      <w:r>
        <w:rPr>
          <w:rFonts w:hint="eastAsia"/>
          <w:color w:val="auto"/>
          <w:highlight w:val="none"/>
          <w:lang w:val="en-US" w:eastAsia="zh-CN"/>
        </w:rPr>
        <w:t>完善劳动关系风险监测与矛盾多元化解机制。推动“人社+法院+工会”劳动争议联处中心实质化运作，建设标准化仲裁庭和调解站点。开展治理欠薪专项行动，落实行业主管部门及属地责任，强化源头治理、预防为主、防治结合、标本兼治，着力整治拖欠农民工工资问题，维护劳动者合法权益与社会稳定。</w:t>
      </w:r>
    </w:p>
    <w:p w14:paraId="59916719">
      <w:pPr>
        <w:shd w:val="clear"/>
        <w:kinsoku/>
        <w:bidi w:val="0"/>
        <w:rPr>
          <w:rFonts w:hint="eastAsia"/>
          <w:color w:val="auto"/>
          <w:highlight w:val="none"/>
          <w:lang w:val="en-US" w:eastAsia="zh-CN"/>
        </w:rPr>
      </w:pPr>
    </w:p>
    <w:bookmarkEnd w:id="1173"/>
    <w:bookmarkEnd w:id="1174"/>
    <w:bookmarkEnd w:id="1175"/>
    <w:bookmarkEnd w:id="1176"/>
    <w:bookmarkEnd w:id="1177"/>
    <w:bookmarkEnd w:id="1178"/>
    <w:bookmarkEnd w:id="1179"/>
    <w:bookmarkEnd w:id="1180"/>
    <w:bookmarkEnd w:id="1181"/>
    <w:p w14:paraId="3D87CF4B">
      <w:pPr>
        <w:pStyle w:val="4"/>
        <w:shd w:val="clear"/>
        <w:kinsoku/>
        <w:bidi w:val="0"/>
        <w:rPr>
          <w:rFonts w:hint="eastAsia"/>
          <w:b w:val="0"/>
          <w:bCs w:val="0"/>
          <w:color w:val="auto"/>
          <w:highlight w:val="none"/>
          <w:lang w:val="en-US" w:eastAsia="zh-CN"/>
        </w:rPr>
      </w:pPr>
      <w:bookmarkStart w:id="1182" w:name="_Toc16645"/>
      <w:bookmarkStart w:id="1183" w:name="_Toc20028"/>
      <w:bookmarkStart w:id="1184" w:name="_Toc4274"/>
      <w:bookmarkStart w:id="1185" w:name="_Toc4133"/>
      <w:bookmarkStart w:id="1186" w:name="_Toc13713"/>
      <w:bookmarkStart w:id="1187" w:name="_Toc25770"/>
      <w:bookmarkStart w:id="1188" w:name="_Toc614"/>
      <w:bookmarkStart w:id="1189" w:name="_Toc31555"/>
      <w:bookmarkStart w:id="1190" w:name="_Toc26825"/>
      <w:bookmarkStart w:id="1191" w:name="_Toc10802"/>
      <w:bookmarkStart w:id="1192" w:name="_Toc13307"/>
      <w:bookmarkStart w:id="1193" w:name="_Toc32142"/>
      <w:bookmarkStart w:id="1194" w:name="_Toc6622"/>
      <w:bookmarkStart w:id="1195" w:name="_Toc3228"/>
      <w:bookmarkStart w:id="1196" w:name="_Toc5526"/>
      <w:bookmarkStart w:id="1197" w:name="_Toc31261"/>
      <w:bookmarkStart w:id="1198" w:name="_Toc28390"/>
      <w:bookmarkStart w:id="1199" w:name="_Toc17610"/>
      <w:bookmarkStart w:id="1200" w:name="_Toc28216"/>
      <w:bookmarkStart w:id="1201" w:name="_Toc7576"/>
      <w:bookmarkStart w:id="1202" w:name="_Toc13537"/>
      <w:r>
        <w:rPr>
          <w:rFonts w:hint="eastAsia"/>
          <w:b w:val="0"/>
          <w:bCs w:val="0"/>
          <w:color w:val="auto"/>
          <w:highlight w:val="none"/>
          <w:lang w:val="en-US" w:eastAsia="zh-CN"/>
        </w:rPr>
        <w:t>第二节 筑牢公共安全防线</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14:paraId="198A34A8">
      <w:pPr>
        <w:shd w:val="clear"/>
        <w:kinsoku/>
        <w:bidi w:val="0"/>
        <w:ind w:firstLine="640"/>
        <w:rPr>
          <w:rFonts w:hint="eastAsia"/>
          <w:b/>
          <w:bCs/>
          <w:color w:val="auto"/>
          <w:highlight w:val="none"/>
          <w:lang w:val="en-US" w:eastAsia="zh-CN"/>
        </w:rPr>
      </w:pPr>
      <w:bookmarkStart w:id="1203" w:name="_Toc7832"/>
    </w:p>
    <w:p w14:paraId="02AC0911">
      <w:pPr>
        <w:shd w:val="clear"/>
        <w:kinsoku/>
        <w:bidi w:val="0"/>
        <w:ind w:firstLine="640"/>
        <w:rPr>
          <w:rFonts w:hint="eastAsia"/>
          <w:color w:val="auto"/>
          <w:highlight w:val="none"/>
          <w:lang w:val="en-US" w:eastAsia="zh-CN"/>
        </w:rPr>
      </w:pPr>
      <w:r>
        <w:rPr>
          <w:rFonts w:hint="eastAsia"/>
          <w:b/>
          <w:bCs/>
          <w:color w:val="auto"/>
          <w:highlight w:val="none"/>
          <w:lang w:val="en-US" w:eastAsia="zh-CN"/>
        </w:rPr>
        <w:t>提高安全生产水平。</w:t>
      </w:r>
      <w:r>
        <w:rPr>
          <w:rFonts w:hint="eastAsia"/>
          <w:color w:val="auto"/>
          <w:highlight w:val="none"/>
          <w:lang w:val="en-US" w:eastAsia="zh-CN"/>
        </w:rPr>
        <w:t>健全安全生产责任体系，深化落实党政领导干部安全生产责任制。加强制度化常态化安全生产监管，落实安全生产风险排查整治和责任倒查机制，加强风险源头管控。</w:t>
      </w:r>
      <w:r>
        <w:rPr>
          <w:rFonts w:hint="eastAsia" w:cs="仿宋_GB2312"/>
          <w:color w:val="auto"/>
          <w:highlight w:val="none"/>
        </w:rPr>
        <w:t>深入实施安全生产治本攻坚</w:t>
      </w:r>
      <w:r>
        <w:rPr>
          <w:rFonts w:hint="eastAsia" w:cs="仿宋_GB2312"/>
          <w:color w:val="auto"/>
          <w:highlight w:val="none"/>
          <w:lang w:val="en-US" w:eastAsia="zh-CN"/>
        </w:rPr>
        <w:t>三年</w:t>
      </w:r>
      <w:r>
        <w:rPr>
          <w:rFonts w:hint="eastAsia" w:cs="仿宋_GB2312"/>
          <w:color w:val="auto"/>
          <w:highlight w:val="none"/>
        </w:rPr>
        <w:t>行动，</w:t>
      </w:r>
      <w:r>
        <w:rPr>
          <w:rFonts w:hint="eastAsia"/>
          <w:color w:val="auto"/>
          <w:highlight w:val="none"/>
          <w:lang w:val="en-US" w:eastAsia="zh-CN"/>
        </w:rPr>
        <w:t>深化消防、道路交通、建筑施工、危化品、工贸、校园、食品药品、水上运输、特种设备、电动自行车、燃气等重点领域排险除患，加强重点行业领域、新业态安全整治，从源头上防范化解安全生产风险，严防重特大事故发生。</w:t>
      </w:r>
      <w:r>
        <w:rPr>
          <w:rFonts w:hint="eastAsia" w:cs="仿宋_GB2312"/>
          <w:color w:val="auto"/>
          <w:highlight w:val="none"/>
        </w:rPr>
        <w:t>严格督促企业落实安全生产主体责任，严厉打击安全生产违法行为。</w:t>
      </w:r>
    </w:p>
    <w:p w14:paraId="7B5CC16C">
      <w:pPr>
        <w:shd w:val="clear"/>
        <w:kinsoku/>
        <w:bidi w:val="0"/>
        <w:rPr>
          <w:rFonts w:hint="eastAsia"/>
          <w:color w:val="auto"/>
          <w:highlight w:val="none"/>
          <w:lang w:val="en-US" w:eastAsia="zh-CN"/>
        </w:rPr>
      </w:pPr>
      <w:r>
        <w:rPr>
          <w:rFonts w:hint="eastAsia"/>
          <w:b/>
          <w:bCs/>
          <w:color w:val="auto"/>
          <w:highlight w:val="none"/>
          <w:lang w:val="en-US" w:eastAsia="zh-CN"/>
        </w:rPr>
        <w:t>建立大安全大应急框架。</w:t>
      </w:r>
      <w:r>
        <w:rPr>
          <w:rFonts w:hint="eastAsia"/>
          <w:color w:val="auto"/>
          <w:highlight w:val="none"/>
          <w:lang w:val="en-US" w:eastAsia="zh-CN"/>
        </w:rPr>
        <w:t>健全应急指挥机制，推进应急救援队伍建设，强化应急信息平台融合共享，提高防灾减灾抗灾救灾能力。建立灵敏高效的应急协同机制，完善部门联动、军地联动、社会力量协同机制，健全灾情管理和信息共享机制。建立隐患排查、风险识别、监测预警、及时处置的基层应急闭环管理机制，增强极端天气下镇村应急响应能力。强化</w:t>
      </w:r>
      <w:r>
        <w:rPr>
          <w:rFonts w:hint="eastAsia" w:cs="仿宋_GB2312"/>
          <w:color w:val="auto"/>
          <w:highlight w:val="none"/>
        </w:rPr>
        <w:t>公共消防安全</w:t>
      </w:r>
      <w:r>
        <w:rPr>
          <w:rFonts w:hint="eastAsia" w:cs="仿宋_GB2312"/>
          <w:color w:val="auto"/>
          <w:highlight w:val="none"/>
          <w:lang w:val="en-US" w:eastAsia="zh-CN"/>
        </w:rPr>
        <w:t>建设</w:t>
      </w:r>
      <w:r>
        <w:rPr>
          <w:rFonts w:hint="eastAsia" w:cs="仿宋_GB2312"/>
          <w:color w:val="auto"/>
          <w:highlight w:val="none"/>
        </w:rPr>
        <w:t>，</w:t>
      </w:r>
      <w:r>
        <w:rPr>
          <w:rFonts w:hint="eastAsia"/>
          <w:color w:val="auto"/>
          <w:highlight w:val="none"/>
          <w:lang w:val="en-US" w:eastAsia="zh-CN"/>
        </w:rPr>
        <w:t>加快智慧消防建设步伐，推进消防科普教育基地建设，实现</w:t>
      </w:r>
      <w:r>
        <w:rPr>
          <w:rFonts w:hint="eastAsia" w:ascii="Times New Roman" w:hAnsi="Times New Roman" w:eastAsia="仿宋_GB2312" w:cs="Times New Roman"/>
          <w:b w:val="0"/>
          <w:color w:val="auto"/>
          <w:kern w:val="2"/>
          <w:sz w:val="32"/>
          <w:szCs w:val="24"/>
          <w:highlight w:val="none"/>
          <w:lang w:val="en-US" w:eastAsia="zh-CN" w:bidi="ar-SA"/>
        </w:rPr>
        <w:t>火灾事故总量持续下降，重特大火灾事故得到有效遏制</w:t>
      </w:r>
      <w:r>
        <w:rPr>
          <w:rFonts w:hint="eastAsia" w:ascii="Times New Roman" w:hAnsi="Times New Roman" w:cs="Times New Roman"/>
          <w:b w:val="0"/>
          <w:color w:val="auto"/>
          <w:kern w:val="2"/>
          <w:sz w:val="32"/>
          <w:szCs w:val="24"/>
          <w:highlight w:val="none"/>
          <w:lang w:val="en-US" w:eastAsia="zh-CN" w:bidi="ar-SA"/>
        </w:rPr>
        <w:t>，</w:t>
      </w:r>
      <w:r>
        <w:rPr>
          <w:rFonts w:hint="eastAsia"/>
          <w:color w:val="auto"/>
          <w:highlight w:val="none"/>
          <w:lang w:val="en-US" w:eastAsia="zh-CN"/>
        </w:rPr>
        <w:t>救援能力达到区域领先水平。深入实施基层防灾自然灾害应急能力提升工程，</w:t>
      </w:r>
      <w:r>
        <w:rPr>
          <w:rFonts w:hint="eastAsia" w:ascii="仿宋_GB2312" w:hAnsi="仿宋_GB2312" w:cs="仿宋_GB2312"/>
          <w:b w:val="0"/>
          <w:bCs w:val="0"/>
          <w:color w:val="auto"/>
          <w:sz w:val="32"/>
          <w:szCs w:val="22"/>
          <w:highlight w:val="none"/>
          <w:lang w:val="en-US" w:eastAsia="zh-CN"/>
        </w:rPr>
        <w:t>推进应急抢险救援基础设施改造和完善项目建设，</w:t>
      </w:r>
      <w:r>
        <w:rPr>
          <w:rFonts w:hint="eastAsia"/>
          <w:color w:val="auto"/>
          <w:highlight w:val="none"/>
          <w:lang w:val="en-US" w:eastAsia="zh-CN"/>
        </w:rPr>
        <w:t>有效防范台风、洪涝、地震等自然灾害和次生灾害。强化应急物资储备保障，推动应急避难场所建设。完善森林防灭火机制，推进“五清”专项行动，加强火源管控和宣传教育。</w:t>
      </w:r>
      <w:bookmarkEnd w:id="1203"/>
      <w:bookmarkStart w:id="1204" w:name="_Toc7468"/>
      <w:bookmarkStart w:id="1205" w:name="_Toc20123"/>
      <w:bookmarkStart w:id="1206" w:name="_Toc32575"/>
      <w:bookmarkStart w:id="1207" w:name="_Toc27760"/>
      <w:bookmarkStart w:id="1208" w:name="_Toc1758"/>
      <w:bookmarkStart w:id="1209" w:name="_Toc15459"/>
      <w:bookmarkStart w:id="1210" w:name="_Toc14681"/>
      <w:bookmarkStart w:id="1211" w:name="_Toc25145"/>
      <w:bookmarkStart w:id="1212" w:name="_Toc7598"/>
      <w:bookmarkStart w:id="1213" w:name="_Toc10780"/>
      <w:bookmarkStart w:id="1214" w:name="_Toc8082"/>
      <w:bookmarkStart w:id="1215" w:name="_Toc32479"/>
      <w:bookmarkStart w:id="1216" w:name="_Toc14357"/>
      <w:bookmarkStart w:id="1217" w:name="_Toc21550"/>
      <w:bookmarkStart w:id="1218" w:name="_Toc3417"/>
    </w:p>
    <w:p w14:paraId="2EEA67BE">
      <w:pPr>
        <w:shd w:val="clear"/>
        <w:kinsoku/>
        <w:bidi w:val="0"/>
        <w:rPr>
          <w:rFonts w:hint="eastAsia"/>
          <w:color w:val="auto"/>
          <w:highlight w:val="none"/>
          <w:lang w:val="en-US" w:eastAsia="zh-CN"/>
        </w:rPr>
      </w:pPr>
    </w:p>
    <w:p w14:paraId="05968148">
      <w:pPr>
        <w:pStyle w:val="4"/>
        <w:shd w:val="clear"/>
        <w:kinsoku/>
        <w:bidi w:val="0"/>
        <w:rPr>
          <w:rFonts w:hint="eastAsia"/>
          <w:color w:val="auto"/>
          <w:highlight w:val="none"/>
          <w:lang w:val="en-US" w:eastAsia="zh-CN"/>
        </w:rPr>
      </w:pPr>
      <w:bookmarkStart w:id="1219" w:name="_Toc32280"/>
      <w:bookmarkStart w:id="1220" w:name="_Toc13011"/>
      <w:bookmarkStart w:id="1221" w:name="_Toc4972"/>
      <w:bookmarkStart w:id="1222" w:name="_Toc21076"/>
      <w:bookmarkStart w:id="1223" w:name="_Toc10365"/>
      <w:bookmarkStart w:id="1224" w:name="_Toc8918"/>
      <w:r>
        <w:rPr>
          <w:rFonts w:hint="eastAsia"/>
          <w:color w:val="auto"/>
          <w:highlight w:val="none"/>
          <w:lang w:val="en-US" w:eastAsia="zh-CN"/>
        </w:rPr>
        <w:t xml:space="preserve">第三节 </w:t>
      </w:r>
      <w:bookmarkEnd w:id="1204"/>
      <w:bookmarkEnd w:id="1205"/>
      <w:r>
        <w:rPr>
          <w:rFonts w:hint="eastAsia"/>
          <w:color w:val="auto"/>
          <w:highlight w:val="none"/>
          <w:lang w:val="en-US" w:eastAsia="zh-CN"/>
        </w:rPr>
        <w:t>完善社会治理体系</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14:paraId="47A54B39">
      <w:pPr>
        <w:shd w:val="clear"/>
        <w:kinsoku/>
        <w:bidi w:val="0"/>
        <w:rPr>
          <w:rFonts w:hint="eastAsia"/>
          <w:b/>
          <w:bCs/>
          <w:color w:val="auto"/>
          <w:highlight w:val="none"/>
          <w:lang w:val="en-US" w:eastAsia="zh-CN"/>
        </w:rPr>
      </w:pPr>
    </w:p>
    <w:p w14:paraId="23342EC8">
      <w:pPr>
        <w:shd w:val="clear"/>
        <w:kinsoku/>
        <w:bidi w:val="0"/>
        <w:rPr>
          <w:rFonts w:hint="eastAsia"/>
          <w:color w:val="auto"/>
          <w:highlight w:val="none"/>
          <w:lang w:val="en-US" w:eastAsia="zh-CN"/>
        </w:rPr>
      </w:pPr>
      <w:r>
        <w:rPr>
          <w:rFonts w:hint="eastAsia"/>
          <w:b/>
          <w:bCs/>
          <w:color w:val="auto"/>
          <w:highlight w:val="none"/>
          <w:lang w:val="en-US" w:eastAsia="zh-CN"/>
        </w:rPr>
        <w:t>认真贯彻落实总体国家安全观。</w:t>
      </w:r>
      <w:r>
        <w:rPr>
          <w:rFonts w:hint="eastAsia"/>
          <w:color w:val="auto"/>
          <w:highlight w:val="none"/>
          <w:lang w:val="en-US" w:eastAsia="zh-CN"/>
        </w:rPr>
        <w:t>巩固集中统一、高效权威的国家安全领导体制，严格落实党委（党组）国家安全责任制。坚决捍卫国家政权安全、制度安全、意识形态安全，落实保密工作责任制，严守国家秘密。健全完善重点领域和重要专项国家安全工作协调机制，夯实国家安全防线。严格落实耕地保护和粮食安全责任制，提升能源保障水平，加强网络、数据、生态、生物等新兴领域安全能力建设，探索建立人工智能安全监管制度。深化全民国防教育，提升国防动员能力水平，抓实优质兵员征集，加强国家安全宣传教育，增强民众国家安全意识。</w:t>
      </w:r>
    </w:p>
    <w:p w14:paraId="1AA4B5F9">
      <w:pPr>
        <w:kinsoku/>
        <w:ind w:firstLine="0"/>
        <w:rPr>
          <w:rFonts w:hint="eastAsia" w:cs="仿宋_GB2312"/>
          <w:color w:val="auto"/>
          <w:highlight w:val="none"/>
        </w:rPr>
      </w:pPr>
      <w:r>
        <w:rPr>
          <w:rFonts w:hint="eastAsia"/>
          <w:b/>
          <w:bCs/>
          <w:color w:val="auto"/>
          <w:highlight w:val="none"/>
          <w:lang w:val="en-US" w:eastAsia="zh-CN"/>
        </w:rPr>
        <w:t>高水平推进法治浈江建设。</w:t>
      </w:r>
      <w:r>
        <w:rPr>
          <w:rFonts w:hint="eastAsia" w:cs="仿宋_GB2312"/>
          <w:color w:val="auto"/>
          <w:highlight w:val="none"/>
        </w:rPr>
        <w:t>深入学习贯彻习近平法治思想，深入推进全面依法治</w:t>
      </w:r>
      <w:r>
        <w:rPr>
          <w:rFonts w:hint="eastAsia" w:cs="仿宋_GB2312"/>
          <w:color w:val="auto"/>
          <w:highlight w:val="none"/>
          <w:lang w:val="en-US" w:eastAsia="zh-CN"/>
        </w:rPr>
        <w:t>区</w:t>
      </w:r>
      <w:r>
        <w:rPr>
          <w:rFonts w:hint="eastAsia" w:cs="仿宋_GB2312"/>
          <w:color w:val="auto"/>
          <w:highlight w:val="none"/>
        </w:rPr>
        <w:t>，协同推进严格执法、公正司法、全民守法</w:t>
      </w:r>
      <w:r>
        <w:rPr>
          <w:rFonts w:hint="eastAsia" w:cs="仿宋_GB2312"/>
          <w:color w:val="auto"/>
          <w:highlight w:val="none"/>
          <w:lang w:eastAsia="zh-CN"/>
        </w:rPr>
        <w:t>，</w:t>
      </w:r>
      <w:r>
        <w:rPr>
          <w:rFonts w:hint="eastAsia" w:cs="仿宋_GB2312"/>
          <w:color w:val="auto"/>
          <w:highlight w:val="none"/>
        </w:rPr>
        <w:t>纵深推进法治政府建设</w:t>
      </w:r>
      <w:r>
        <w:rPr>
          <w:rFonts w:hint="eastAsia" w:cs="仿宋_GB2312"/>
          <w:color w:val="auto"/>
          <w:highlight w:val="none"/>
          <w:lang w:eastAsia="zh-CN"/>
        </w:rPr>
        <w:t>。</w:t>
      </w:r>
      <w:r>
        <w:rPr>
          <w:rFonts w:hint="eastAsia" w:cs="仿宋_GB2312"/>
          <w:color w:val="auto"/>
          <w:highlight w:val="none"/>
        </w:rPr>
        <w:t>落实重大</w:t>
      </w:r>
      <w:r>
        <w:rPr>
          <w:rFonts w:hint="eastAsia" w:cs="仿宋_GB2312"/>
          <w:color w:val="auto"/>
          <w:highlight w:val="none"/>
          <w:lang w:val="en-US" w:eastAsia="zh-CN"/>
        </w:rPr>
        <w:t>行政</w:t>
      </w:r>
      <w:r>
        <w:rPr>
          <w:rFonts w:hint="eastAsia" w:cs="仿宋_GB2312"/>
          <w:color w:val="auto"/>
          <w:highlight w:val="none"/>
        </w:rPr>
        <w:t>决策</w:t>
      </w:r>
      <w:r>
        <w:rPr>
          <w:rFonts w:hint="eastAsia" w:cs="仿宋_GB2312"/>
          <w:color w:val="auto"/>
          <w:highlight w:val="none"/>
          <w:lang w:val="en-US" w:eastAsia="zh-CN"/>
        </w:rPr>
        <w:t>事项</w:t>
      </w:r>
      <w:r>
        <w:rPr>
          <w:rFonts w:hint="eastAsia" w:cs="仿宋_GB2312"/>
          <w:color w:val="auto"/>
          <w:highlight w:val="none"/>
        </w:rPr>
        <w:t>、行政规范性文件合法性审查，健全重大政策事前评估和事后评价制度，畅通参与政策制定渠道，提高决策科学化、民主化、法治化水平。推动行政执法体制改革，强化跨部门执法司法协同和监督，健全规范涉企执法长效机制，加强基层执法工作队伍建设</w:t>
      </w:r>
      <w:r>
        <w:rPr>
          <w:rFonts w:hint="eastAsia" w:cs="仿宋_GB2312"/>
          <w:color w:val="auto"/>
          <w:highlight w:val="none"/>
          <w:lang w:eastAsia="zh-CN"/>
        </w:rPr>
        <w:t>。</w:t>
      </w:r>
      <w:r>
        <w:rPr>
          <w:rFonts w:hint="eastAsia"/>
          <w:color w:val="auto"/>
          <w:highlight w:val="none"/>
          <w:lang w:val="en-US" w:eastAsia="zh-CN"/>
        </w:rPr>
        <w:t>落实和完善司法责任制，规范司法权力运行，提高司法裁判公正性、稳定性、权威性。加强数字法院建设，依托全国法院统一办案办公系统，提升电子卷宗随案生成及应用水平，以数字化、智能化推动审判流程、诉讼规则、司法模式变革。</w:t>
      </w:r>
      <w:r>
        <w:rPr>
          <w:rFonts w:hint="eastAsia" w:cs="仿宋_GB2312"/>
          <w:color w:val="auto"/>
          <w:highlight w:val="none"/>
        </w:rPr>
        <w:t>强化检察监督，加强公益诉讼。深入推进法治社会建设，</w:t>
      </w:r>
      <w:r>
        <w:rPr>
          <w:rFonts w:hint="eastAsia"/>
          <w:color w:val="auto"/>
          <w:highlight w:val="none"/>
          <w:lang w:val="en-US" w:eastAsia="zh-CN"/>
        </w:rPr>
        <w:t>推动全民守法，构建共建共治共享的法治社会格局。</w:t>
      </w:r>
      <w:r>
        <w:rPr>
          <w:rFonts w:hint="eastAsia" w:cs="仿宋_GB2312"/>
          <w:color w:val="auto"/>
          <w:highlight w:val="none"/>
          <w:lang w:val="en-US" w:eastAsia="zh-CN"/>
        </w:rPr>
        <w:t>健全</w:t>
      </w:r>
      <w:r>
        <w:rPr>
          <w:rFonts w:hint="eastAsia" w:cs="仿宋_GB2312"/>
          <w:color w:val="auto"/>
          <w:highlight w:val="none"/>
        </w:rPr>
        <w:t>公共法律服务体系，深入实施</w:t>
      </w:r>
      <w:r>
        <w:rPr>
          <w:rFonts w:hint="eastAsia" w:cs="仿宋_GB2312"/>
          <w:color w:val="auto"/>
          <w:highlight w:val="none"/>
          <w:lang w:eastAsia="zh-CN"/>
        </w:rPr>
        <w:t>“</w:t>
      </w:r>
      <w:r>
        <w:rPr>
          <w:rFonts w:hint="eastAsia" w:cs="仿宋_GB2312"/>
          <w:color w:val="auto"/>
          <w:highlight w:val="none"/>
        </w:rPr>
        <w:t>九五</w:t>
      </w:r>
      <w:r>
        <w:rPr>
          <w:rFonts w:hint="eastAsia" w:cs="仿宋_GB2312"/>
          <w:color w:val="auto"/>
          <w:highlight w:val="none"/>
          <w:lang w:eastAsia="zh-CN"/>
        </w:rPr>
        <w:t>”</w:t>
      </w:r>
      <w:r>
        <w:rPr>
          <w:rFonts w:hint="eastAsia" w:cs="仿宋_GB2312"/>
          <w:color w:val="auto"/>
          <w:highlight w:val="none"/>
        </w:rPr>
        <w:t>普法，加强基层法律服务站点建设，引导群众依法办事、依法维权。加强涉外法治建设，</w:t>
      </w:r>
      <w:r>
        <w:rPr>
          <w:rFonts w:hint="eastAsia" w:cs="仿宋_GB2312"/>
          <w:color w:val="auto"/>
          <w:highlight w:val="none"/>
          <w:lang w:val="en-US" w:eastAsia="zh-CN"/>
        </w:rPr>
        <w:t>培育和</w:t>
      </w:r>
      <w:r>
        <w:rPr>
          <w:rFonts w:hint="eastAsia" w:cs="仿宋_GB2312"/>
          <w:color w:val="auto"/>
          <w:highlight w:val="none"/>
        </w:rPr>
        <w:t>支持涉外法律服务机构发展。</w:t>
      </w:r>
    </w:p>
    <w:p w14:paraId="60280928">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建设更高水平的平安浈江。</w:t>
      </w:r>
      <w:r>
        <w:rPr>
          <w:rFonts w:hint="eastAsia"/>
          <w:color w:val="auto"/>
          <w:highlight w:val="none"/>
          <w:lang w:val="en-US" w:eastAsia="zh-CN"/>
        </w:rPr>
        <w:t>坚持安全第一、预防为主，推动公共安全治理模式向事前预防转型，提高公共安全治理水平。健全“1+6+N”社会治安综合治理工作体系，全面完成区、镇两级综治中心规范化建设。完善社会治安整体防控体系，推动扫黑除恶常态化走深走实，推进“无毒浈江”建设。深化打击治理电信网络新型犯罪，依法严惩群众反映强烈的违法犯罪活动。强化涉恐涉暴、网络舆情、群体性事件等风险监测预警与治安隐患源头防范，深化预防和治理未成年人违法犯罪。深化网络空间安全综合治理，加强个人信息保护。创新完善公安政务服务管理与自身建设，进一步深化公安改革和科技兴警战略。推进法治公安建设，打造高素质过硬公安铁军。深化科技兴警，推进智慧警务建设，加强警务信息基础设施建设，到2030年，实现城市智慧社区覆盖率90%以上，农村技防覆盖率80%以上。</w:t>
      </w:r>
    </w:p>
    <w:p w14:paraId="2CB020EE">
      <w:pPr>
        <w:shd w:val="clear"/>
        <w:kinsoku/>
        <w:bidi w:val="0"/>
        <w:rPr>
          <w:rFonts w:hint="eastAsia"/>
          <w:color w:val="auto"/>
          <w:highlight w:val="none"/>
          <w:lang w:val="en-US" w:eastAsia="zh-CN"/>
        </w:rPr>
      </w:pPr>
      <w:r>
        <w:rPr>
          <w:rFonts w:hint="eastAsia" w:ascii="Times New Roman" w:hAnsi="Times New Roman" w:cs="Times New Roman"/>
          <w:b/>
          <w:bCs/>
          <w:color w:val="auto"/>
          <w:highlight w:val="none"/>
          <w:lang w:val="en-US" w:eastAsia="zh-CN"/>
        </w:rPr>
        <w:t>完善现代化社会治理体系。</w:t>
      </w:r>
      <w:r>
        <w:rPr>
          <w:rFonts w:hint="eastAsia"/>
          <w:color w:val="auto"/>
          <w:highlight w:val="none"/>
          <w:lang w:val="en-US" w:eastAsia="zh-CN"/>
        </w:rPr>
        <w:t>坚持和发展新时代“枫桥经验”，做好婚姻家庭、邻里纠纷、涉法涉诉、涉农涉土、涉众金融、房产物业、劳资纠纷等各类矛盾排查化解。推进信访工作法治化，完善人民调解、行政调解、司法调解联动机制。</w:t>
      </w:r>
      <w:r>
        <w:rPr>
          <w:rFonts w:hint="eastAsia" w:ascii="Times New Roman" w:hAnsi="Times New Roman" w:cs="Times New Roman"/>
          <w:b w:val="0"/>
          <w:bCs w:val="0"/>
          <w:color w:val="auto"/>
          <w:highlight w:val="none"/>
          <w:lang w:val="en-US" w:eastAsia="zh-CN"/>
        </w:rPr>
        <w:t>深化党建引领基层治理，</w:t>
      </w:r>
      <w:r>
        <w:rPr>
          <w:rFonts w:hint="eastAsia"/>
          <w:color w:val="auto"/>
          <w:highlight w:val="none"/>
          <w:lang w:val="en-US" w:eastAsia="zh-CN"/>
        </w:rPr>
        <w:t>坚持和加强党对社会治理的全面领导，健全区、镇（街道）、村（社区）三级党建联动机制。在新经济组织、新社会组织、新就业群体中拓展党组织覆盖，建设“暖心驿站”等服务阵地。全面实施镇（街道）履行职责事项清单和村（社区）工作事项准入制度，推进村级组织减负增效，夯实基层治理组织基础。</w:t>
      </w:r>
      <w:r>
        <w:rPr>
          <w:rFonts w:hint="eastAsia" w:ascii="Times New Roman" w:hAnsi="Times New Roman" w:cs="Times New Roman"/>
          <w:b w:val="0"/>
          <w:bCs w:val="0"/>
          <w:color w:val="auto"/>
          <w:highlight w:val="none"/>
          <w:lang w:val="en-US" w:eastAsia="zh-CN"/>
        </w:rPr>
        <w:t>构建多元协同治理格局，</w:t>
      </w:r>
      <w:r>
        <w:rPr>
          <w:rFonts w:hint="eastAsia"/>
          <w:color w:val="auto"/>
          <w:highlight w:val="none"/>
          <w:lang w:val="en-US" w:eastAsia="zh-CN"/>
        </w:rPr>
        <w:t>培育和扶持社区社会组织、行业协会商会等社会力量，推动其参与公共服务和行业治理。完善群众参与机制，引导各方有序参与社区事务。完善“民有所呼、我有所应”工作机制，整合诉求渠道。加强社会工作者专业队伍建设，实施社工能力提升计划，营造文明和谐的社会风尚。</w:t>
      </w:r>
    </w:p>
    <w:bookmarkEnd w:id="1089"/>
    <w:bookmarkEnd w:id="1090"/>
    <w:p w14:paraId="2C424937">
      <w:pPr>
        <w:pStyle w:val="3"/>
        <w:shd w:val="clear"/>
        <w:kinsoku/>
        <w:bidi w:val="0"/>
        <w:rPr>
          <w:rFonts w:hint="eastAsia"/>
          <w:color w:val="auto"/>
          <w:highlight w:val="none"/>
          <w:lang w:val="en-US" w:eastAsia="en-US"/>
        </w:rPr>
        <w:sectPr>
          <w:pgSz w:w="11906" w:h="16839"/>
          <w:pgMar w:top="2098" w:right="1474" w:bottom="1984" w:left="1587" w:header="1020" w:footer="1417" w:gutter="0"/>
          <w:pgNumType w:fmt="numberInDash"/>
          <w:cols w:space="720" w:num="1"/>
          <w:rtlGutter w:val="0"/>
        </w:sectPr>
      </w:pPr>
      <w:bookmarkStart w:id="1225" w:name="_Toc23219"/>
      <w:bookmarkStart w:id="1226" w:name="_Toc9068"/>
      <w:bookmarkStart w:id="1227" w:name="_Toc30687"/>
      <w:bookmarkStart w:id="1228" w:name="_Toc7584"/>
    </w:p>
    <w:bookmarkEnd w:id="1225"/>
    <w:bookmarkEnd w:id="1226"/>
    <w:bookmarkEnd w:id="1227"/>
    <w:p w14:paraId="63964300">
      <w:pPr>
        <w:pStyle w:val="3"/>
        <w:shd w:val="clear"/>
        <w:kinsoku/>
        <w:bidi w:val="0"/>
        <w:rPr>
          <w:rFonts w:hint="eastAsia"/>
          <w:color w:val="auto"/>
          <w:highlight w:val="none"/>
          <w:lang w:val="en-US" w:eastAsia="zh-CN"/>
        </w:rPr>
      </w:pPr>
      <w:bookmarkStart w:id="1229" w:name="_Toc32730"/>
      <w:bookmarkStart w:id="1230" w:name="_Toc8000"/>
      <w:bookmarkStart w:id="1231" w:name="_Toc31886"/>
      <w:bookmarkStart w:id="1232" w:name="_Toc25552"/>
      <w:bookmarkStart w:id="1233" w:name="_Toc17578"/>
      <w:bookmarkStart w:id="1234" w:name="_Toc29761"/>
      <w:bookmarkStart w:id="1235" w:name="_Toc30695"/>
      <w:bookmarkStart w:id="1236" w:name="_Toc31106"/>
      <w:bookmarkStart w:id="1237" w:name="_Toc188"/>
      <w:bookmarkStart w:id="1238" w:name="_Toc22024"/>
      <w:bookmarkStart w:id="1239" w:name="_Toc16191"/>
      <w:bookmarkStart w:id="1240" w:name="_Toc17109"/>
      <w:bookmarkStart w:id="1241" w:name="_Toc17038"/>
      <w:bookmarkStart w:id="1242" w:name="_Toc7927"/>
      <w:bookmarkStart w:id="1243" w:name="_Toc28156"/>
      <w:bookmarkStart w:id="1244" w:name="_Toc19995"/>
      <w:bookmarkStart w:id="1245" w:name="_Toc28391"/>
      <w:bookmarkStart w:id="1246" w:name="_Toc1032"/>
      <w:bookmarkStart w:id="1247" w:name="_Toc15955"/>
      <w:bookmarkStart w:id="1248" w:name="_Toc9665"/>
      <w:bookmarkStart w:id="1249" w:name="_Toc30730"/>
      <w:r>
        <w:rPr>
          <w:rFonts w:hint="eastAsia"/>
          <w:color w:val="auto"/>
          <w:highlight w:val="none"/>
          <w:lang w:val="en-US" w:eastAsia="zh-CN"/>
        </w:rPr>
        <w:t>第十四章 坚持和加强党的全面领导，强化规划实施保障</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14:paraId="4F75364B">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69868778">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trike w:val="0"/>
          <w:dstrike w:val="0"/>
          <w:color w:val="auto"/>
          <w:sz w:val="32"/>
          <w:szCs w:val="32"/>
          <w:highlight w:val="none"/>
          <w:lang w:val="en-US" w:eastAsia="zh-CN"/>
        </w:rPr>
        <w:t>坚持和加强党的全面领导，推进社会主义民主法治建设，进一步健全区级规划体系，创新规划落实机制，强化规划约束力，发挥政策对规划的支撑保障作用，确保各项目标任务落到实处、取得实效。</w:t>
      </w:r>
    </w:p>
    <w:p w14:paraId="4B6830FF">
      <w:pPr>
        <w:shd w:val="clear"/>
        <w:kinsoku/>
        <w:bidi w:val="0"/>
        <w:rPr>
          <w:rFonts w:hint="eastAsia" w:ascii="仿宋_GB2312" w:hAnsi="仿宋_GB2312" w:eastAsia="仿宋_GB2312" w:cs="仿宋_GB2312"/>
          <w:strike w:val="0"/>
          <w:dstrike w:val="0"/>
          <w:color w:val="auto"/>
          <w:sz w:val="32"/>
          <w:szCs w:val="32"/>
          <w:highlight w:val="none"/>
          <w:lang w:val="en-US" w:eastAsia="zh-CN"/>
        </w:rPr>
      </w:pPr>
    </w:p>
    <w:p w14:paraId="35DCD2D2">
      <w:pPr>
        <w:pStyle w:val="4"/>
        <w:shd w:val="clear"/>
        <w:kinsoku/>
        <w:bidi w:val="0"/>
        <w:rPr>
          <w:rFonts w:hint="eastAsia"/>
          <w:color w:val="auto"/>
          <w:highlight w:val="none"/>
          <w:lang w:val="en-US" w:eastAsia="zh-CN"/>
        </w:rPr>
      </w:pPr>
      <w:bookmarkStart w:id="1250" w:name="_Toc10109"/>
      <w:bookmarkStart w:id="1251" w:name="_Toc8467"/>
      <w:bookmarkStart w:id="1252" w:name="_Toc20036"/>
      <w:bookmarkStart w:id="1253" w:name="_Toc8022"/>
      <w:bookmarkStart w:id="1254" w:name="_Toc13929"/>
      <w:bookmarkStart w:id="1255" w:name="_Toc9245"/>
      <w:bookmarkStart w:id="1256" w:name="_Toc14746"/>
      <w:bookmarkStart w:id="1257" w:name="_Toc9395"/>
      <w:bookmarkStart w:id="1258" w:name="_Toc3938"/>
      <w:bookmarkStart w:id="1259" w:name="_Toc5252"/>
      <w:bookmarkStart w:id="1260" w:name="_Toc19965"/>
      <w:bookmarkStart w:id="1261" w:name="_Toc12482"/>
      <w:bookmarkStart w:id="1262" w:name="_Toc19503"/>
      <w:bookmarkStart w:id="1263" w:name="_Toc14784"/>
      <w:bookmarkStart w:id="1264" w:name="_Toc850"/>
      <w:bookmarkStart w:id="1265" w:name="_Toc14791"/>
      <w:bookmarkStart w:id="1266" w:name="_Toc12789"/>
      <w:bookmarkStart w:id="1267" w:name="_Toc9269"/>
      <w:r>
        <w:rPr>
          <w:rFonts w:hint="eastAsia"/>
          <w:color w:val="auto"/>
          <w:highlight w:val="none"/>
          <w:lang w:val="en-US" w:eastAsia="zh-CN"/>
        </w:rPr>
        <w:t>第一节 坚持和加强党的全面领导</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47DE9B89">
      <w:pPr>
        <w:shd w:val="clear"/>
        <w:kinsoku/>
        <w:bidi w:val="0"/>
        <w:rPr>
          <w:rFonts w:hint="eastAsia" w:ascii="仿宋_GB2312" w:hAnsi="仿宋_GB2312" w:cs="仿宋_GB2312"/>
          <w:b/>
          <w:bCs/>
          <w:strike w:val="0"/>
          <w:dstrike w:val="0"/>
          <w:color w:val="auto"/>
          <w:sz w:val="32"/>
          <w:szCs w:val="32"/>
          <w:highlight w:val="none"/>
          <w:lang w:val="en-US" w:eastAsia="zh-CN"/>
        </w:rPr>
      </w:pPr>
    </w:p>
    <w:p w14:paraId="37FB5F02">
      <w:pPr>
        <w:shd w:val="clear"/>
        <w:kinsoku/>
        <w:bidi w:val="0"/>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cs="仿宋_GB2312"/>
          <w:b/>
          <w:bCs/>
          <w:strike w:val="0"/>
          <w:dstrike w:val="0"/>
          <w:color w:val="auto"/>
          <w:sz w:val="32"/>
          <w:szCs w:val="32"/>
          <w:highlight w:val="none"/>
          <w:lang w:val="en-US" w:eastAsia="zh-CN"/>
        </w:rPr>
        <w:t>坚持把党的政治建设摆在首位。</w:t>
      </w:r>
      <w:r>
        <w:rPr>
          <w:rFonts w:hint="eastAsia" w:ascii="仿宋_GB2312" w:hAnsi="仿宋_GB2312" w:eastAsia="仿宋_GB2312" w:cs="仿宋_GB2312"/>
          <w:strike w:val="0"/>
          <w:dstrike w:val="0"/>
          <w:color w:val="auto"/>
          <w:sz w:val="32"/>
          <w:szCs w:val="32"/>
          <w:highlight w:val="none"/>
          <w:lang w:val="en-US" w:eastAsia="zh-CN"/>
        </w:rPr>
        <w:t>深入贯彻习近平新时代中国特色社会主义思想，深刻领悟“两个确立”的决定性意义，增强“四个意识”、坚定“四个自信”、做到“两个维护”，确保党中央决策部署和省委、市委工作要求始终贯穿规划编制实施的全过程。</w:t>
      </w:r>
      <w:r>
        <w:rPr>
          <w:rFonts w:hint="eastAsia"/>
          <w:color w:val="auto"/>
          <w:highlight w:val="none"/>
        </w:rPr>
        <w:t>坚持用习近平新时代中国特色社会主义思想凝心铸魂，</w:t>
      </w:r>
      <w:r>
        <w:rPr>
          <w:rFonts w:hint="eastAsia" w:ascii="BatangChe" w:hAnsi="BatangChe" w:eastAsia="仿宋_GB2312" w:cs="仿宋_GB2312"/>
          <w:color w:val="auto"/>
          <w:sz w:val="32"/>
          <w:szCs w:val="32"/>
          <w:highlight w:val="none"/>
          <w:lang w:val="en-US" w:eastAsia="zh-CN"/>
        </w:rPr>
        <w:t>用党的创新理论统一思想、统一意志、统一行动，推动广大党员干部自觉做习近平新时代中国特色社会主义思想的坚定信仰者和忠实实践者。</w:t>
      </w:r>
      <w:r>
        <w:rPr>
          <w:rFonts w:hint="eastAsia" w:ascii="BatangChe" w:hAnsi="BatangChe" w:cs="仿宋_GB2312"/>
          <w:color w:val="auto"/>
          <w:sz w:val="32"/>
          <w:szCs w:val="32"/>
          <w:highlight w:val="none"/>
          <w:lang w:val="en-US" w:eastAsia="zh-CN"/>
        </w:rPr>
        <w:t>加强党领导</w:t>
      </w:r>
      <w:r>
        <w:rPr>
          <w:rFonts w:hint="eastAsia" w:ascii="BatangChe" w:hAnsi="BatangChe" w:eastAsia="仿宋_GB2312" w:cs="仿宋_GB2312"/>
          <w:b w:val="0"/>
          <w:bCs w:val="0"/>
          <w:color w:val="auto"/>
          <w:sz w:val="32"/>
          <w:szCs w:val="32"/>
          <w:highlight w:val="none"/>
          <w:lang w:eastAsia="zh-CN"/>
        </w:rPr>
        <w:t>经济工作的制度化、专业化建设。</w:t>
      </w:r>
      <w:r>
        <w:rPr>
          <w:rFonts w:hint="eastAsia" w:ascii="BatangChe" w:hAnsi="BatangChe" w:eastAsia="仿宋_GB2312" w:cs="仿宋_GB2312"/>
          <w:color w:val="auto"/>
          <w:sz w:val="32"/>
          <w:szCs w:val="32"/>
          <w:highlight w:val="none"/>
          <w:lang w:eastAsia="zh-CN"/>
        </w:rPr>
        <w:t>完善党委研究经济社会发展战略、定期分析经济形势、研究重大政策措施的工作机制，提高决策科学化水平</w:t>
      </w:r>
      <w:r>
        <w:rPr>
          <w:rFonts w:hint="eastAsia" w:ascii="BatangChe" w:hAnsi="BatangChe" w:cs="仿宋_GB2312"/>
          <w:color w:val="auto"/>
          <w:sz w:val="32"/>
          <w:szCs w:val="32"/>
          <w:highlight w:val="none"/>
          <w:lang w:eastAsia="zh-CN"/>
        </w:rPr>
        <w:t>，</w:t>
      </w:r>
      <w:r>
        <w:rPr>
          <w:rFonts w:hint="eastAsia" w:ascii="BatangChe" w:hAnsi="BatangChe" w:eastAsia="仿宋_GB2312" w:cs="仿宋_GB2312"/>
          <w:color w:val="auto"/>
          <w:sz w:val="32"/>
          <w:szCs w:val="32"/>
          <w:highlight w:val="none"/>
          <w:lang w:eastAsia="zh-CN"/>
        </w:rPr>
        <w:t>不断增强党的创造力、凝聚力、战斗力。</w:t>
      </w:r>
      <w:r>
        <w:rPr>
          <w:rFonts w:hint="eastAsia" w:ascii="BatangChe" w:hAnsi="BatangChe" w:cs="仿宋_GB2312"/>
          <w:color w:val="auto"/>
          <w:sz w:val="32"/>
          <w:szCs w:val="32"/>
          <w:highlight w:val="none"/>
          <w:lang w:val="en-US" w:eastAsia="zh-CN"/>
        </w:rPr>
        <w:t>坚持</w:t>
      </w:r>
      <w:r>
        <w:rPr>
          <w:rFonts w:hint="eastAsia"/>
          <w:color w:val="auto"/>
          <w:highlight w:val="none"/>
        </w:rPr>
        <w:t>发展党内民主，落实民主集中制，坚持科学决策、民主决策、依法决策。</w:t>
      </w:r>
      <w:r>
        <w:rPr>
          <w:rFonts w:hint="eastAsia" w:ascii="仿宋_GB2312" w:hAnsi="仿宋_GB2312" w:cs="仿宋_GB2312"/>
          <w:b w:val="0"/>
          <w:bCs w:val="0"/>
          <w:strike w:val="0"/>
          <w:dstrike w:val="0"/>
          <w:color w:val="auto"/>
          <w:sz w:val="32"/>
          <w:szCs w:val="32"/>
          <w:highlight w:val="none"/>
          <w:lang w:val="en-US" w:eastAsia="zh-CN"/>
        </w:rPr>
        <w:t>坚持党的领导、人民当家作主、依法治国有机统一，发展全过程人民民主</w:t>
      </w:r>
      <w:r>
        <w:rPr>
          <w:rFonts w:hint="eastAsia" w:ascii="仿宋_GB2312" w:hAnsi="仿宋_GB2312" w:cs="仿宋_GB2312"/>
          <w:strike w:val="0"/>
          <w:dstrike w:val="0"/>
          <w:color w:val="auto"/>
          <w:sz w:val="32"/>
          <w:szCs w:val="32"/>
          <w:highlight w:val="none"/>
          <w:lang w:val="en-US" w:eastAsia="zh-CN"/>
        </w:rPr>
        <w:t>，</w:t>
      </w:r>
      <w:r>
        <w:rPr>
          <w:rFonts w:hint="eastAsia" w:ascii="仿宋_GB2312" w:hAnsi="仿宋_GB2312" w:eastAsia="仿宋_GB2312" w:cs="仿宋_GB2312"/>
          <w:strike w:val="0"/>
          <w:dstrike w:val="0"/>
          <w:color w:val="auto"/>
          <w:sz w:val="32"/>
          <w:szCs w:val="32"/>
          <w:highlight w:val="none"/>
          <w:lang w:val="en-US" w:eastAsia="zh-CN"/>
        </w:rPr>
        <w:t>充分发挥人大监督、政协协商作用</w:t>
      </w:r>
      <w:r>
        <w:rPr>
          <w:rFonts w:hint="eastAsia" w:ascii="仿宋_GB2312" w:hAnsi="仿宋_GB2312" w:cs="仿宋_GB2312"/>
          <w:strike w:val="0"/>
          <w:dstrike w:val="0"/>
          <w:color w:val="auto"/>
          <w:sz w:val="32"/>
          <w:szCs w:val="32"/>
          <w:highlight w:val="none"/>
          <w:lang w:val="en-US" w:eastAsia="zh-CN"/>
        </w:rPr>
        <w:t>。</w:t>
      </w:r>
    </w:p>
    <w:p w14:paraId="25E341DB">
      <w:pPr>
        <w:shd w:val="clear"/>
        <w:kinsoku/>
        <w:bidi w:val="0"/>
        <w:rPr>
          <w:rFonts w:hint="eastAsia" w:ascii="BatangChe" w:hAnsi="BatangChe" w:cs="仿宋_GB2312"/>
          <w:color w:val="auto"/>
          <w:sz w:val="32"/>
          <w:szCs w:val="32"/>
          <w:highlight w:val="none"/>
          <w:lang w:val="en-US" w:eastAsia="zh-CN"/>
        </w:rPr>
      </w:pPr>
      <w:r>
        <w:rPr>
          <w:rFonts w:hint="eastAsia" w:ascii="仿宋_GB2312" w:hAnsi="仿宋_GB2312" w:eastAsia="仿宋_GB2312" w:cs="仿宋_GB2312"/>
          <w:b/>
          <w:bCs/>
          <w:strike w:val="0"/>
          <w:dstrike w:val="0"/>
          <w:color w:val="auto"/>
          <w:sz w:val="32"/>
          <w:szCs w:val="32"/>
          <w:highlight w:val="none"/>
          <w:lang w:val="en-US" w:eastAsia="zh-CN"/>
        </w:rPr>
        <w:t>全面加强干部队伍建设</w:t>
      </w:r>
      <w:r>
        <w:rPr>
          <w:rFonts w:hint="eastAsia" w:ascii="仿宋_GB2312" w:hAnsi="仿宋_GB2312" w:cs="仿宋_GB2312"/>
          <w:b/>
          <w:bCs/>
          <w:strike w:val="0"/>
          <w:dstrike w:val="0"/>
          <w:color w:val="auto"/>
          <w:sz w:val="32"/>
          <w:szCs w:val="32"/>
          <w:highlight w:val="none"/>
          <w:lang w:val="en-US" w:eastAsia="zh-CN"/>
        </w:rPr>
        <w:t>。</w:t>
      </w:r>
      <w:r>
        <w:rPr>
          <w:rFonts w:hint="eastAsia" w:ascii="BatangChe" w:hAnsi="BatangChe" w:eastAsia="仿宋_GB2312" w:cs="仿宋_GB2312"/>
          <w:b w:val="0"/>
          <w:bCs w:val="0"/>
          <w:color w:val="auto"/>
          <w:sz w:val="32"/>
          <w:szCs w:val="32"/>
          <w:highlight w:val="none"/>
          <w:lang w:val="en-US" w:eastAsia="zh-CN"/>
        </w:rPr>
        <w:t>全面贯彻新时代党的组织路线。落实党管干部原则，深化“一线考察，多维辨才”工作体系，</w:t>
      </w:r>
      <w:r>
        <w:rPr>
          <w:rFonts w:hint="eastAsia" w:ascii="BatangChe" w:hAnsi="BatangChe" w:eastAsia="仿宋_GB2312" w:cs="仿宋_GB2312"/>
          <w:color w:val="auto"/>
          <w:sz w:val="32"/>
          <w:szCs w:val="32"/>
          <w:highlight w:val="none"/>
          <w:lang w:val="en-US" w:eastAsia="zh-CN"/>
        </w:rPr>
        <w:t>选优配强各级领导班子和领导干部，全面增强干部现代化建设能力</w:t>
      </w:r>
      <w:r>
        <w:rPr>
          <w:rFonts w:hint="eastAsia" w:ascii="BatangChe" w:hAnsi="BatangChe" w:cs="仿宋_GB2312"/>
          <w:color w:val="auto"/>
          <w:sz w:val="32"/>
          <w:szCs w:val="32"/>
          <w:highlight w:val="none"/>
          <w:lang w:val="en-US" w:eastAsia="zh-CN"/>
        </w:rPr>
        <w:t>。</w:t>
      </w:r>
      <w:r>
        <w:rPr>
          <w:rFonts w:hint="eastAsia" w:ascii="BatangChe" w:hAnsi="BatangChe" w:eastAsia="仿宋_GB2312" w:cs="仿宋_GB2312"/>
          <w:color w:val="auto"/>
          <w:sz w:val="32"/>
          <w:szCs w:val="32"/>
          <w:highlight w:val="none"/>
          <w:lang w:val="en-US" w:eastAsia="zh-CN"/>
        </w:rPr>
        <w:t>开展“浈创未来·赋能现代化”干部能力提升计划，深化“浈先上讲台”培训载体，全面推行“一线工作法”，</w:t>
      </w:r>
      <w:r>
        <w:rPr>
          <w:rFonts w:hint="eastAsia" w:ascii="BatangChe" w:hAnsi="BatangChe" w:eastAsia="仿宋_GB2312" w:cs="仿宋_GB2312"/>
          <w:color w:val="auto"/>
          <w:sz w:val="32"/>
          <w:szCs w:val="32"/>
          <w:highlight w:val="none"/>
          <w:lang w:eastAsia="zh-CN"/>
        </w:rPr>
        <w:t>打造高素质专业化干部队伍，</w:t>
      </w:r>
      <w:r>
        <w:rPr>
          <w:rFonts w:hint="eastAsia" w:ascii="BatangChe" w:hAnsi="BatangChe" w:eastAsia="仿宋_GB2312" w:cs="仿宋_GB2312"/>
          <w:color w:val="auto"/>
          <w:sz w:val="32"/>
          <w:szCs w:val="32"/>
          <w:highlight w:val="none"/>
          <w:lang w:val="en-US" w:eastAsia="zh-CN"/>
        </w:rPr>
        <w:t>加强对敢担当善作为干部的激励保护，推进领导干部能上能下常态化，推动树立和践行正确政绩观，以正确用人导向引领干事创业导向。</w:t>
      </w:r>
    </w:p>
    <w:p w14:paraId="7CF0140D">
      <w:pPr>
        <w:pStyle w:val="39"/>
        <w:shd w:val="clear"/>
        <w:kinsoku/>
        <w:bidi w:val="0"/>
        <w:spacing w:line="560" w:lineRule="exact"/>
        <w:rPr>
          <w:rFonts w:hint="eastAsia" w:ascii="BatangChe" w:hAnsi="BatangChe" w:eastAsia="仿宋_GB2312" w:cs="仿宋_GB2312"/>
          <w:color w:val="auto"/>
          <w:sz w:val="32"/>
          <w:szCs w:val="32"/>
          <w:highlight w:val="none"/>
          <w:lang w:val="en-US" w:eastAsia="zh-CN"/>
        </w:rPr>
      </w:pPr>
      <w:r>
        <w:rPr>
          <w:rFonts w:hint="eastAsia" w:ascii="BatangChe" w:hAnsi="BatangChe" w:eastAsia="仿宋_GB2312" w:cs="仿宋_GB2312"/>
          <w:b/>
          <w:bCs/>
          <w:color w:val="auto"/>
          <w:sz w:val="32"/>
          <w:szCs w:val="32"/>
          <w:highlight w:val="none"/>
          <w:lang w:val="en-US" w:eastAsia="zh-CN"/>
        </w:rPr>
        <w:t>纵深推进全面从严治党。</w:t>
      </w:r>
      <w:r>
        <w:rPr>
          <w:rFonts w:hint="eastAsia" w:ascii="BatangChe" w:hAnsi="BatangChe" w:eastAsia="仿宋_GB2312" w:cs="仿宋_GB2312"/>
          <w:color w:val="auto"/>
          <w:sz w:val="32"/>
          <w:szCs w:val="32"/>
          <w:highlight w:val="none"/>
          <w:lang w:val="en-US" w:eastAsia="zh-CN"/>
        </w:rPr>
        <w:t>坚持把纪律和规矩挺在前面，认真履行全面从严治党主体责任和监督责任，推动公权力规范运行。</w:t>
      </w:r>
      <w:r>
        <w:rPr>
          <w:rFonts w:hint="eastAsia" w:ascii="BatangChe" w:hAnsi="BatangChe" w:eastAsia="仿宋_GB2312" w:cs="仿宋_GB2312"/>
          <w:b w:val="0"/>
          <w:bCs w:val="0"/>
          <w:color w:val="auto"/>
          <w:sz w:val="32"/>
          <w:szCs w:val="32"/>
          <w:highlight w:val="none"/>
          <w:lang w:val="en-US" w:eastAsia="zh-CN"/>
        </w:rPr>
        <w:t>锲而不舍落实中央八项规定精神，</w:t>
      </w:r>
      <w:r>
        <w:rPr>
          <w:rFonts w:hint="eastAsia" w:ascii="BatangChe" w:hAnsi="BatangChe" w:eastAsia="仿宋_GB2312" w:cs="仿宋_GB2312"/>
          <w:color w:val="auto"/>
          <w:sz w:val="32"/>
          <w:szCs w:val="32"/>
          <w:highlight w:val="none"/>
          <w:lang w:val="en-US" w:eastAsia="zh-CN"/>
        </w:rPr>
        <w:t>深化整治群众身边不正之风和腐败问题。加强对“一把手”和领导班子的监管，准确运用“四种形态”，落实“三个区分开来”，一体推进不敢腐、不能腐、不想腐</w:t>
      </w:r>
      <w:r>
        <w:rPr>
          <w:rFonts w:hint="eastAsia" w:ascii="BatangChe" w:hAnsi="BatangChe" w:eastAsia="仿宋_GB2312" w:cs="仿宋_GB2312"/>
          <w:b w:val="0"/>
          <w:bCs w:val="0"/>
          <w:color w:val="auto"/>
          <w:sz w:val="32"/>
          <w:szCs w:val="32"/>
          <w:highlight w:val="none"/>
          <w:lang w:val="en-US" w:eastAsia="zh-CN"/>
        </w:rPr>
        <w:t>。深化政治巡察，发挥巡察利剑作用，提升政治监督质效。持续纠治形式主义、官僚</w:t>
      </w:r>
      <w:r>
        <w:rPr>
          <w:rFonts w:hint="eastAsia" w:ascii="BatangChe" w:hAnsi="BatangChe" w:eastAsia="仿宋_GB2312" w:cs="仿宋_GB2312"/>
          <w:color w:val="auto"/>
          <w:sz w:val="32"/>
          <w:szCs w:val="32"/>
          <w:highlight w:val="none"/>
          <w:lang w:val="en-US" w:eastAsia="zh-CN"/>
        </w:rPr>
        <w:t>主义突出问题，切实为基层松绑减负。</w:t>
      </w:r>
      <w:r>
        <w:rPr>
          <w:rFonts w:hint="eastAsia" w:ascii="BatangChe" w:hAnsi="BatangChe" w:eastAsia="仿宋_GB2312" w:cs="仿宋_GB2312"/>
          <w:b w:val="0"/>
          <w:bCs w:val="0"/>
          <w:color w:val="auto"/>
          <w:sz w:val="32"/>
          <w:szCs w:val="32"/>
          <w:highlight w:val="none"/>
          <w:lang w:val="en-US" w:eastAsia="zh-CN"/>
        </w:rPr>
        <w:t>深入涵养廉洁文化。</w:t>
      </w:r>
      <w:r>
        <w:rPr>
          <w:rFonts w:hint="eastAsia" w:ascii="BatangChe" w:hAnsi="BatangChe" w:eastAsia="仿宋_GB2312" w:cs="仿宋_GB2312"/>
          <w:color w:val="auto"/>
          <w:sz w:val="32"/>
          <w:szCs w:val="32"/>
          <w:highlight w:val="none"/>
          <w:lang w:val="en-US" w:eastAsia="zh-CN"/>
        </w:rPr>
        <w:t>加强新时代廉洁文化建设，提高警示教育针对性和实效性，引导党员干部知敬畏、存戒惧、守底线，营造风清气正的良好政治生态。</w:t>
      </w:r>
    </w:p>
    <w:p w14:paraId="1D11E00F">
      <w:pPr>
        <w:pStyle w:val="39"/>
        <w:shd w:val="clear"/>
        <w:kinsoku/>
        <w:bidi w:val="0"/>
        <w:spacing w:line="560" w:lineRule="exact"/>
        <w:rPr>
          <w:rFonts w:hint="eastAsia" w:ascii="BatangChe" w:hAnsi="BatangChe" w:eastAsia="仿宋_GB2312" w:cs="仿宋_GB2312"/>
          <w:color w:val="auto"/>
          <w:sz w:val="32"/>
          <w:szCs w:val="32"/>
          <w:highlight w:val="none"/>
          <w:lang w:val="en-US" w:eastAsia="zh-CN"/>
        </w:rPr>
      </w:pPr>
    </w:p>
    <w:p w14:paraId="4C3D3AE9">
      <w:pPr>
        <w:pStyle w:val="4"/>
        <w:shd w:val="clear"/>
        <w:kinsoku/>
        <w:bidi w:val="0"/>
        <w:rPr>
          <w:rFonts w:hint="eastAsia"/>
          <w:strike w:val="0"/>
          <w:dstrike w:val="0"/>
          <w:color w:val="auto"/>
          <w:highlight w:val="none"/>
          <w:u w:val="none" w:color="auto"/>
          <w:lang w:val="en-US" w:eastAsia="zh-CN"/>
        </w:rPr>
      </w:pPr>
      <w:bookmarkStart w:id="1268" w:name="_Toc22427"/>
      <w:bookmarkStart w:id="1269" w:name="_Toc12087"/>
      <w:bookmarkStart w:id="1270" w:name="_Toc20478"/>
      <w:bookmarkStart w:id="1271" w:name="_Toc11717"/>
      <w:bookmarkStart w:id="1272" w:name="_Toc13134"/>
      <w:bookmarkStart w:id="1273" w:name="_Toc26019"/>
      <w:bookmarkStart w:id="1274" w:name="_Toc32487"/>
      <w:bookmarkStart w:id="1275" w:name="_Toc25956"/>
      <w:bookmarkStart w:id="1276" w:name="_Toc31179"/>
      <w:bookmarkStart w:id="1277" w:name="_Toc8744"/>
      <w:bookmarkStart w:id="1278" w:name="_Toc16452"/>
      <w:bookmarkStart w:id="1279" w:name="_Toc3533"/>
      <w:bookmarkStart w:id="1280" w:name="_Toc23680"/>
      <w:bookmarkStart w:id="1281" w:name="_Toc11011"/>
      <w:bookmarkStart w:id="1282" w:name="_Toc5161"/>
      <w:bookmarkStart w:id="1283" w:name="_Toc13506"/>
      <w:bookmarkStart w:id="1284" w:name="_Toc20234"/>
      <w:bookmarkStart w:id="1285" w:name="_Toc8888"/>
      <w:r>
        <w:rPr>
          <w:rFonts w:hint="eastAsia"/>
          <w:strike w:val="0"/>
          <w:dstrike w:val="0"/>
          <w:color w:val="auto"/>
          <w:highlight w:val="none"/>
          <w:u w:val="none" w:color="auto"/>
          <w:lang w:val="en-US" w:eastAsia="zh-CN"/>
        </w:rPr>
        <w:t>第二节 完善统一规划体系</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1F4F574A">
      <w:pPr>
        <w:shd w:val="clear"/>
        <w:kinsoku/>
        <w:rPr>
          <w:rFonts w:hint="eastAsia"/>
          <w:b/>
          <w:bCs/>
          <w:strike w:val="0"/>
          <w:dstrike w:val="0"/>
          <w:color w:val="auto"/>
          <w:highlight w:val="none"/>
          <w:u w:val="none" w:color="auto"/>
          <w:lang w:val="en-US" w:eastAsia="zh-CN"/>
        </w:rPr>
      </w:pPr>
    </w:p>
    <w:p w14:paraId="3D5D3460">
      <w:pPr>
        <w:shd w:val="clear"/>
        <w:kinsoku/>
        <w:rPr>
          <w:rFonts w:hint="eastAsia"/>
          <w:strike w:val="0"/>
          <w:dstrike w:val="0"/>
          <w:color w:val="auto"/>
          <w:highlight w:val="none"/>
          <w:u w:val="none" w:color="auto"/>
          <w:lang w:val="en-US" w:eastAsia="zh-CN"/>
        </w:rPr>
      </w:pPr>
      <w:r>
        <w:rPr>
          <w:rFonts w:hint="eastAsia"/>
          <w:b/>
          <w:bCs/>
          <w:strike w:val="0"/>
          <w:dstrike w:val="0"/>
          <w:color w:val="auto"/>
          <w:highlight w:val="none"/>
          <w:u w:val="none" w:color="auto"/>
          <w:lang w:val="en-US" w:eastAsia="zh-CN"/>
        </w:rPr>
        <w:t>加强规划衔接协调。</w:t>
      </w:r>
      <w:r>
        <w:rPr>
          <w:rFonts w:hint="eastAsia"/>
          <w:b w:val="0"/>
          <w:bCs w:val="0"/>
          <w:strike w:val="0"/>
          <w:dstrike w:val="0"/>
          <w:color w:val="auto"/>
          <w:highlight w:val="none"/>
          <w:u w:val="none" w:color="auto"/>
          <w:lang w:val="en-US" w:eastAsia="zh-CN"/>
        </w:rPr>
        <w:t>加强</w:t>
      </w:r>
      <w:r>
        <w:rPr>
          <w:rFonts w:hint="eastAsia"/>
          <w:strike w:val="0"/>
          <w:dstrike w:val="0"/>
          <w:color w:val="auto"/>
          <w:highlight w:val="none"/>
          <w:u w:val="none" w:color="auto"/>
          <w:lang w:val="en-US" w:eastAsia="zh-CN"/>
        </w:rPr>
        <w:t>区级规划纲要与上位规划纲要、</w:t>
      </w:r>
      <w:r>
        <w:rPr>
          <w:rFonts w:hint="eastAsia" w:ascii="BatangChe" w:hAnsi="BatangChe" w:eastAsia="仿宋_GB2312" w:cs="仿宋_GB2312"/>
          <w:color w:val="auto"/>
          <w:sz w:val="32"/>
          <w:szCs w:val="32"/>
          <w:highlight w:val="none"/>
        </w:rPr>
        <w:t>专项规划与规划纲要、</w:t>
      </w:r>
      <w:r>
        <w:rPr>
          <w:rFonts w:hint="eastAsia" w:ascii="BatangChe" w:hAnsi="BatangChe" w:cs="仿宋_GB2312"/>
          <w:color w:val="auto"/>
          <w:sz w:val="32"/>
          <w:szCs w:val="32"/>
          <w:highlight w:val="none"/>
          <w:lang w:val="en-US" w:eastAsia="zh-CN"/>
        </w:rPr>
        <w:t>市</w:t>
      </w:r>
      <w:r>
        <w:rPr>
          <w:rFonts w:hint="eastAsia" w:ascii="BatangChe" w:hAnsi="BatangChe" w:eastAsia="仿宋_GB2312" w:cs="仿宋_GB2312"/>
          <w:color w:val="auto"/>
          <w:sz w:val="32"/>
          <w:szCs w:val="32"/>
          <w:highlight w:val="none"/>
        </w:rPr>
        <w:t>国土空间规划的衔接协调，</w:t>
      </w:r>
      <w:r>
        <w:rPr>
          <w:rFonts w:hint="eastAsia" w:ascii="BatangChe" w:hAnsi="BatangChe" w:cs="仿宋_GB2312"/>
          <w:color w:val="auto"/>
          <w:sz w:val="32"/>
          <w:szCs w:val="32"/>
          <w:highlight w:val="none"/>
          <w:lang w:val="en-US" w:eastAsia="zh-CN"/>
        </w:rPr>
        <w:t>确保各项规划协同一致，</w:t>
      </w:r>
      <w:r>
        <w:rPr>
          <w:rFonts w:hint="eastAsia" w:ascii="BatangChe" w:hAnsi="BatangChe" w:eastAsia="仿宋_GB2312" w:cs="仿宋_GB2312"/>
          <w:color w:val="auto"/>
          <w:sz w:val="32"/>
          <w:szCs w:val="32"/>
          <w:highlight w:val="none"/>
        </w:rPr>
        <w:t>促进项目落地和规划实施。</w:t>
      </w:r>
      <w:r>
        <w:rPr>
          <w:rFonts w:hint="eastAsia"/>
          <w:strike w:val="0"/>
          <w:dstrike w:val="0"/>
          <w:color w:val="auto"/>
          <w:highlight w:val="none"/>
          <w:u w:val="none" w:color="auto"/>
          <w:lang w:val="en-US" w:eastAsia="zh-CN"/>
        </w:rPr>
        <w:t>加强各项规划目标特别是约束性指标、发展方向、总体布局、重大政策、重大工程项目、风险防控等重点内容的统筹衔接，形成以区“十五五”规划为总纲、专项规划为支撑的规划体系。</w:t>
      </w:r>
    </w:p>
    <w:p w14:paraId="76EA9B6D">
      <w:pPr>
        <w:shd w:val="clear"/>
        <w:kinsoku/>
        <w:bidi w:val="0"/>
        <w:rPr>
          <w:rFonts w:hint="eastAsia" w:cs="仿宋_GB2312"/>
          <w:color w:val="auto"/>
          <w:highlight w:val="none"/>
        </w:rPr>
      </w:pPr>
      <w:r>
        <w:rPr>
          <w:rFonts w:hint="eastAsia"/>
          <w:b/>
          <w:bCs/>
          <w:strike w:val="0"/>
          <w:dstrike w:val="0"/>
          <w:color w:val="auto"/>
          <w:highlight w:val="none"/>
          <w:u w:val="none" w:color="auto"/>
          <w:lang w:val="en-US" w:eastAsia="zh-CN"/>
        </w:rPr>
        <w:t>强化发展规划战略导向作用。</w:t>
      </w:r>
      <w:r>
        <w:rPr>
          <w:rFonts w:hint="eastAsia"/>
          <w:strike w:val="0"/>
          <w:dstrike w:val="0"/>
          <w:color w:val="auto"/>
          <w:highlight w:val="none"/>
          <w:u w:val="none" w:color="auto"/>
          <w:lang w:val="en-US" w:eastAsia="zh-CN"/>
        </w:rPr>
        <w:t>以“十五五”规划为支撑，</w:t>
      </w:r>
      <w:r>
        <w:rPr>
          <w:rFonts w:hint="eastAsia" w:ascii="Times New Roman" w:hAnsi="Times New Roman" w:cs="仿宋_GB2312"/>
          <w:color w:val="auto"/>
          <w:highlight w:val="none"/>
          <w:lang w:val="en-US" w:eastAsia="zh-CN"/>
        </w:rPr>
        <w:t>统筹各级各类规划编制，精简数量、提高质量，建立区全口径规划编制目录清单，避免规划交叉重复、增加基层负担。</w:t>
      </w:r>
      <w:r>
        <w:rPr>
          <w:rFonts w:hint="eastAsia"/>
          <w:strike w:val="0"/>
          <w:dstrike w:val="0"/>
          <w:color w:val="auto"/>
          <w:highlight w:val="none"/>
          <w:u w:val="none" w:color="auto"/>
          <w:lang w:val="en-US" w:eastAsia="zh-CN"/>
        </w:rPr>
        <w:t>做好</w:t>
      </w:r>
      <w:r>
        <w:rPr>
          <w:rFonts w:hint="eastAsia" w:ascii="仿宋_GB2312" w:hAnsi="仿宋_GB2312" w:eastAsia="仿宋_GB2312" w:cs="仿宋_GB2312"/>
          <w:b w:val="0"/>
          <w:bCs w:val="0"/>
          <w:color w:val="auto"/>
          <w:kern w:val="2"/>
          <w:sz w:val="32"/>
          <w:szCs w:val="32"/>
          <w:highlight w:val="none"/>
          <w:lang w:val="en-US" w:eastAsia="zh-CN"/>
        </w:rPr>
        <w:t>农业、制造业、文旅、教育</w:t>
      </w:r>
      <w:r>
        <w:rPr>
          <w:rFonts w:hint="eastAsia"/>
          <w:strike w:val="0"/>
          <w:dstrike w:val="0"/>
          <w:color w:val="auto"/>
          <w:highlight w:val="none"/>
          <w:u w:val="none" w:color="auto"/>
          <w:lang w:val="en-US" w:eastAsia="zh-CN"/>
        </w:rPr>
        <w:t>等领域重点专项规划，人力资源和社会保障、市场监管、退役军人服务、残疾人保障等领域一般专项规划的编制工作，制订量化目标、细化项目清单、落实工作举措，</w:t>
      </w:r>
      <w:r>
        <w:rPr>
          <w:rFonts w:hint="eastAsia" w:cs="仿宋_GB2312"/>
          <w:color w:val="auto"/>
          <w:highlight w:val="none"/>
        </w:rPr>
        <w:t>作为指导相关领域发展、布局重大工程项目、合理配置公共资源、引导社会资本投向、制定相关政策的重要依据。</w:t>
      </w:r>
    </w:p>
    <w:p w14:paraId="714A175C">
      <w:pPr>
        <w:shd w:val="clear"/>
        <w:kinsoku/>
        <w:bidi w:val="0"/>
        <w:rPr>
          <w:rFonts w:hint="eastAsia" w:cs="仿宋_GB2312"/>
          <w:color w:val="auto"/>
          <w:highlight w:val="none"/>
        </w:rPr>
      </w:pPr>
    </w:p>
    <w:p w14:paraId="16170581">
      <w:pPr>
        <w:pStyle w:val="4"/>
        <w:shd w:val="clear"/>
        <w:kinsoku/>
        <w:bidi w:val="0"/>
        <w:rPr>
          <w:rFonts w:hint="eastAsia"/>
          <w:strike w:val="0"/>
          <w:dstrike w:val="0"/>
          <w:color w:val="auto"/>
          <w:highlight w:val="none"/>
          <w:u w:val="none" w:color="auto"/>
          <w:lang w:val="en-US" w:eastAsia="zh-CN"/>
        </w:rPr>
      </w:pPr>
      <w:bookmarkStart w:id="1286" w:name="_Toc8632"/>
      <w:bookmarkStart w:id="1287" w:name="_Toc1665"/>
      <w:bookmarkStart w:id="1288" w:name="_Toc5158"/>
      <w:bookmarkStart w:id="1289" w:name="_Toc32654"/>
      <w:bookmarkStart w:id="1290" w:name="_Toc7493"/>
      <w:bookmarkStart w:id="1291" w:name="_Toc16535"/>
      <w:bookmarkStart w:id="1292" w:name="_Toc2191"/>
      <w:bookmarkStart w:id="1293" w:name="_Toc9403"/>
      <w:bookmarkStart w:id="1294" w:name="_Toc10095"/>
      <w:bookmarkStart w:id="1295" w:name="_Toc6733"/>
      <w:bookmarkStart w:id="1296" w:name="_Toc1145"/>
      <w:bookmarkStart w:id="1297" w:name="_Toc28946"/>
      <w:bookmarkStart w:id="1298" w:name="_Toc25783"/>
      <w:bookmarkStart w:id="1299" w:name="_Toc1455"/>
      <w:bookmarkStart w:id="1300" w:name="_Toc5070"/>
      <w:bookmarkStart w:id="1301" w:name="_Toc5393"/>
      <w:bookmarkStart w:id="1302" w:name="_Toc4123"/>
      <w:bookmarkStart w:id="1303" w:name="_Toc10082"/>
      <w:r>
        <w:rPr>
          <w:rFonts w:hint="eastAsia"/>
          <w:strike w:val="0"/>
          <w:dstrike w:val="0"/>
          <w:color w:val="auto"/>
          <w:highlight w:val="none"/>
          <w:u w:val="none" w:color="auto"/>
          <w:lang w:val="en-US" w:eastAsia="zh-CN"/>
        </w:rPr>
        <w:t>第三节 健全规划实施机制</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14:paraId="1203F2A2">
      <w:pPr>
        <w:shd w:val="clear"/>
        <w:kinsoku/>
        <w:rPr>
          <w:rFonts w:hint="eastAsia"/>
          <w:b/>
          <w:bCs/>
          <w:color w:val="auto"/>
          <w:highlight w:val="none"/>
          <w:lang w:val="en-US" w:eastAsia="zh-CN"/>
        </w:rPr>
      </w:pPr>
    </w:p>
    <w:p w14:paraId="7CE3C26F">
      <w:pPr>
        <w:shd w:val="clear"/>
        <w:kinsoku/>
        <w:rPr>
          <w:rFonts w:hint="eastAsia"/>
          <w:b w:val="0"/>
          <w:bCs w:val="0"/>
          <w:color w:val="auto"/>
          <w:highlight w:val="none"/>
          <w:lang w:val="en-US" w:eastAsia="zh-CN"/>
        </w:rPr>
      </w:pPr>
      <w:r>
        <w:rPr>
          <w:rFonts w:hint="eastAsia"/>
          <w:b/>
          <w:bCs/>
          <w:color w:val="auto"/>
          <w:highlight w:val="none"/>
          <w:lang w:val="en-US" w:eastAsia="zh-CN"/>
        </w:rPr>
        <w:t>健全年度计划落实机制。</w:t>
      </w:r>
      <w:r>
        <w:rPr>
          <w:rFonts w:hint="eastAsia"/>
          <w:color w:val="auto"/>
          <w:highlight w:val="none"/>
          <w:lang w:val="en-US" w:eastAsia="zh-CN"/>
        </w:rPr>
        <w:t>围绕规划纲要确定的发展目标和主要任务，加强国民经济和社会发展年度工作与发展规划纲要衔接。将区发展规划确定的主要指标分解纳入年度计划指标体系，合理设置</w:t>
      </w:r>
      <w:r>
        <w:rPr>
          <w:rFonts w:hint="eastAsia"/>
          <w:b w:val="0"/>
          <w:bCs w:val="0"/>
          <w:color w:val="auto"/>
          <w:highlight w:val="none"/>
          <w:lang w:val="en-US" w:eastAsia="zh-CN"/>
        </w:rPr>
        <w:t>年度目标并做好年度间的平衡安排。区各有关部门和各镇（办）要根据职能分工，制定落实发展规划涉及本地区、本部门的主要任务实施方案，结合形势发展确定年度工作重点，明确进度要求和具体措施，确保规划目标任务有计划、按步骤得到落实。</w:t>
      </w:r>
    </w:p>
    <w:p w14:paraId="17A6AB9E">
      <w:pPr>
        <w:shd w:val="clear"/>
        <w:kinsoku/>
        <w:rPr>
          <w:rFonts w:hint="eastAsia"/>
          <w:strike w:val="0"/>
          <w:dstrike w:val="0"/>
          <w:color w:val="auto"/>
          <w:highlight w:val="none"/>
          <w:u w:val="none" w:color="auto"/>
          <w:lang w:val="en-US" w:eastAsia="zh-CN"/>
        </w:rPr>
      </w:pPr>
      <w:r>
        <w:rPr>
          <w:rFonts w:hint="eastAsia"/>
          <w:b/>
          <w:bCs/>
          <w:strike w:val="0"/>
          <w:dstrike w:val="0"/>
          <w:color w:val="auto"/>
          <w:highlight w:val="none"/>
          <w:u w:val="none" w:color="auto"/>
          <w:lang w:val="en-US" w:eastAsia="zh-CN"/>
        </w:rPr>
        <w:t>健全监测评估机制。</w:t>
      </w:r>
      <w:r>
        <w:rPr>
          <w:rFonts w:hint="eastAsia"/>
          <w:b w:val="0"/>
          <w:bCs w:val="0"/>
          <w:strike w:val="0"/>
          <w:dstrike w:val="0"/>
          <w:color w:val="auto"/>
          <w:highlight w:val="none"/>
          <w:u w:val="none" w:color="auto"/>
          <w:lang w:val="en-US" w:eastAsia="zh-CN"/>
        </w:rPr>
        <w:t>开展规划实施动态监测、中期评估和总结评估，并依法向区人民代表大会常务委员会报告规划实施情况、自觉接受人大监督。发挥纪检监察机关和审计机关对推进规划实施的监督作用。强化规划权威性、严肃性，</w:t>
      </w:r>
      <w:r>
        <w:rPr>
          <w:rFonts w:hint="eastAsia"/>
          <w:strike w:val="0"/>
          <w:dstrike w:val="0"/>
          <w:color w:val="auto"/>
          <w:highlight w:val="none"/>
          <w:u w:val="none" w:color="auto"/>
          <w:lang w:val="en-US" w:eastAsia="zh-CN"/>
        </w:rPr>
        <w:t>未经法定程序批准，不得随意调整更改各类规划，</w:t>
      </w:r>
      <w:r>
        <w:rPr>
          <w:rFonts w:hint="eastAsia" w:cs="仿宋_GB2312"/>
          <w:color w:val="auto"/>
          <w:highlight w:val="none"/>
        </w:rPr>
        <w:t>经评估确需对发展规划进行调整修订时，须按照新形势新要求调整完善规划内容，并按规定程序报批发布。</w:t>
      </w:r>
    </w:p>
    <w:p w14:paraId="3C2C53CD">
      <w:pPr>
        <w:shd w:val="clear"/>
        <w:kinsoku/>
        <w:bidi w:val="0"/>
        <w:rPr>
          <w:rFonts w:hint="eastAsia"/>
          <w:b w:val="0"/>
          <w:bCs w:val="0"/>
          <w:strike w:val="0"/>
          <w:dstrike w:val="0"/>
          <w:color w:val="auto"/>
          <w:highlight w:val="none"/>
          <w:u w:val="none" w:color="auto"/>
          <w:lang w:val="en-US" w:eastAsia="zh-CN"/>
        </w:rPr>
      </w:pPr>
      <w:r>
        <w:rPr>
          <w:rFonts w:hint="eastAsia"/>
          <w:b/>
          <w:bCs/>
          <w:strike w:val="0"/>
          <w:dstrike w:val="0"/>
          <w:color w:val="auto"/>
          <w:highlight w:val="none"/>
          <w:u w:val="none" w:color="auto"/>
          <w:lang w:val="en-US" w:eastAsia="zh-CN"/>
        </w:rPr>
        <w:t>强化规划实施要素保障</w:t>
      </w:r>
      <w:r>
        <w:rPr>
          <w:rFonts w:hint="default"/>
          <w:b/>
          <w:bCs/>
          <w:strike w:val="0"/>
          <w:dstrike w:val="0"/>
          <w:color w:val="auto"/>
          <w:highlight w:val="none"/>
          <w:u w:val="none" w:color="auto"/>
          <w:lang w:val="en-US" w:eastAsia="zh-CN"/>
        </w:rPr>
        <w:t>。</w:t>
      </w:r>
      <w:r>
        <w:rPr>
          <w:rFonts w:hint="eastAsia" w:ascii="Times New Roman" w:hAnsi="Times New Roman" w:cs="Times New Roman"/>
          <w:b w:val="0"/>
          <w:bCs w:val="0"/>
          <w:color w:val="auto"/>
          <w:highlight w:val="none"/>
          <w:lang w:val="en-US" w:eastAsia="zh-CN"/>
        </w:rPr>
        <w:t>加强配套政策制定实施，促进财政、就业、产业、投资、消费、环境、社会民生等领域政策协同，</w:t>
      </w:r>
      <w:r>
        <w:rPr>
          <w:rFonts w:hint="default"/>
          <w:strike w:val="0"/>
          <w:dstrike w:val="0"/>
          <w:color w:val="auto"/>
          <w:highlight w:val="none"/>
          <w:u w:val="none" w:color="auto"/>
          <w:lang w:val="en-US" w:eastAsia="zh-CN"/>
        </w:rPr>
        <w:t>加强资金、土地、能源、人才、科技等要素对规划实施的保障作用。</w:t>
      </w:r>
      <w:r>
        <w:rPr>
          <w:rFonts w:hint="eastAsia"/>
          <w:b w:val="0"/>
          <w:bCs w:val="0"/>
          <w:strike w:val="0"/>
          <w:dstrike w:val="0"/>
          <w:color w:val="auto"/>
          <w:highlight w:val="none"/>
          <w:u w:val="none" w:color="auto"/>
          <w:lang w:val="en-US" w:eastAsia="zh-CN"/>
        </w:rPr>
        <w:t>加强跨部门、跨层级要素统筹协调，打破部门壁垒和资源分散格局，引导资源要素向发展主战场高效集聚。创新要素供给模式，提升资源要素整体配置效率与支撑能力，为规划目标任务全面实现构筑坚实基础、提供持久动力。</w:t>
      </w:r>
      <w:bookmarkEnd w:id="543"/>
      <w:bookmarkEnd w:id="544"/>
      <w:bookmarkEnd w:id="545"/>
      <w:bookmarkEnd w:id="1228"/>
      <w:bookmarkEnd w:id="1247"/>
      <w:bookmarkEnd w:id="1248"/>
      <w:bookmarkEnd w:id="1249"/>
    </w:p>
    <w:p w14:paraId="66D22C39">
      <w:pPr>
        <w:rPr>
          <w:rFonts w:hint="eastAsia"/>
          <w:b w:val="0"/>
          <w:bCs w:val="0"/>
          <w:strike w:val="0"/>
          <w:dstrike w:val="0"/>
          <w:color w:val="auto"/>
          <w:highlight w:val="none"/>
          <w:u w:val="none" w:color="auto"/>
          <w:lang w:val="en-US" w:eastAsia="zh-CN"/>
        </w:rPr>
      </w:pPr>
      <w:r>
        <w:rPr>
          <w:rFonts w:hint="eastAsia"/>
          <w:b w:val="0"/>
          <w:bCs w:val="0"/>
          <w:strike w:val="0"/>
          <w:dstrike w:val="0"/>
          <w:color w:val="auto"/>
          <w:highlight w:val="none"/>
          <w:u w:val="none" w:color="auto"/>
          <w:lang w:val="en-US" w:eastAsia="zh-CN"/>
        </w:rPr>
        <w:br w:type="page"/>
      </w:r>
    </w:p>
    <w:p w14:paraId="2D61FFE2">
      <w:pPr>
        <w:keepNext w:val="0"/>
        <w:keepLines w:val="0"/>
        <w:pageBreakBefore w:val="0"/>
        <w:widowControl w:val="0"/>
        <w:kinsoku/>
        <w:wordWrap/>
        <w:overflowPunct/>
        <w:topLinePunct w:val="0"/>
        <w:autoSpaceDE/>
        <w:autoSpaceDN/>
        <w:bidi w:val="0"/>
        <w:adjustRightInd/>
        <w:snapToGrid/>
        <w:spacing w:line="570" w:lineRule="exact"/>
        <w:ind w:firstLine="0" w:firstLineChars="0"/>
        <w:jc w:val="center"/>
        <w:textAlignment w:val="auto"/>
        <w:rPr>
          <w:rFonts w:hint="eastAsia" w:ascii="BatangChe" w:hAnsi="BatangChe" w:eastAsia="方正小标宋简体" w:cs="方正小标宋简体"/>
          <w:b w:val="0"/>
          <w:bCs w:val="0"/>
          <w:snapToGrid/>
          <w:color w:val="auto"/>
          <w:kern w:val="2"/>
          <w:sz w:val="44"/>
          <w:szCs w:val="44"/>
          <w:highlight w:val="none"/>
          <w:lang w:eastAsia="zh-CN"/>
        </w:rPr>
      </w:pPr>
      <w:r>
        <w:rPr>
          <w:rFonts w:hint="eastAsia" w:ascii="BatangChe" w:hAnsi="BatangChe" w:eastAsia="方正小标宋简体" w:cs="方正小标宋简体"/>
          <w:b w:val="0"/>
          <w:bCs w:val="0"/>
          <w:snapToGrid/>
          <w:color w:val="auto"/>
          <w:kern w:val="2"/>
          <w:sz w:val="44"/>
          <w:szCs w:val="44"/>
          <w:highlight w:val="none"/>
          <w:lang w:eastAsia="zh-CN"/>
        </w:rPr>
        <w:t>名 词 解 释</w:t>
      </w:r>
    </w:p>
    <w:p w14:paraId="24833B16">
      <w:pPr>
        <w:pStyle w:val="61"/>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b w:val="0"/>
          <w:bCs w:val="0"/>
          <w:color w:val="auto"/>
          <w:sz w:val="32"/>
          <w:szCs w:val="32"/>
          <w:highlight w:val="none"/>
        </w:rPr>
      </w:pPr>
    </w:p>
    <w:p w14:paraId="0D1AE5F3">
      <w:pPr>
        <w:pStyle w:val="61"/>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snapToGrid w:val="0"/>
          <w:color w:val="auto"/>
          <w:kern w:val="0"/>
          <w:sz w:val="32"/>
          <w:szCs w:val="32"/>
          <w:highlight w:val="none"/>
          <w:lang w:val="en-US" w:eastAsia="zh-CN" w:bidi="ar-SA"/>
        </w:rPr>
        <w:t>1.</w:t>
      </w:r>
      <w:r>
        <w:rPr>
          <w:rFonts w:hint="eastAsia" w:ascii="仿宋_GB2312" w:hAnsi="仿宋_GB2312" w:eastAsia="仿宋_GB2312" w:cs="仿宋_GB2312"/>
          <w:b w:val="0"/>
          <w:bCs w:val="0"/>
          <w:color w:val="auto"/>
          <w:sz w:val="32"/>
          <w:szCs w:val="32"/>
          <w:highlight w:val="none"/>
        </w:rPr>
        <w:t>省委“1310”具体部署：“1”指锚定一个目标，即“走在前列”总目标。“3”指激活改革、开放、创新三大动力。“10”指奋力实现“十大新突破”，即纵深推进新阶段粤港澳大湾区建设，在牵引全面深化改革开放上取得新突破；始终坚持实体经济为本、制造业当家，在建设更具国际竞争力的现代化产业体系上取得新突破；一体推进教育强省、科技创新强省、人才强省建设，在实现高水平科技自立自强上取得新突破；深入实施“百县千镇万村高质量发展工程”，在城乡区域协调发展上取得新突破；全面推进海洋强省建设，在打造海上新广东上取得新突破；深入推进绿美广东生态建设，在打造人与自然和谐共生的现代化广东样板上取得新突破；扎实推进文化强省建设，在努力交出物质文明和精神文明两份好的答卷上取得新突破；用心用情抓好民生社会事业，在推动共同富裕上取得新突破；扎实推进法治广东平安广东建设，在构建新安全格局上取得新突破；坚定不移加强党的全面领导和党的建设，在营造良好政治生态上取得新突破。</w:t>
      </w:r>
    </w:p>
    <w:p w14:paraId="401088F7">
      <w:pPr>
        <w:pStyle w:val="61"/>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snapToGrid w:val="0"/>
          <w:color w:val="auto"/>
          <w:kern w:val="0"/>
          <w:sz w:val="32"/>
          <w:szCs w:val="32"/>
          <w:highlight w:val="none"/>
          <w:lang w:val="en-US" w:eastAsia="zh-CN" w:bidi="ar-SA"/>
        </w:rPr>
        <w:t>2</w:t>
      </w:r>
      <w:r>
        <w:rPr>
          <w:rFonts w:hint="eastAsia" w:ascii="仿宋_GB2312" w:hAnsi="仿宋_GB2312" w:eastAsia="仿宋_GB2312" w:cs="仿宋_GB2312"/>
          <w:b w:val="0"/>
          <w:bCs w:val="0"/>
          <w:snapToGrid w:val="0"/>
          <w:color w:val="auto"/>
          <w:kern w:val="0"/>
          <w:sz w:val="32"/>
          <w:szCs w:val="32"/>
          <w:highlight w:val="none"/>
          <w:lang w:val="en-US" w:eastAsia="en-US" w:bidi="ar-SA"/>
        </w:rPr>
        <w:t>.</w:t>
      </w:r>
      <w:r>
        <w:rPr>
          <w:rFonts w:hint="eastAsia" w:ascii="仿宋_GB2312" w:hAnsi="仿宋_GB2312" w:eastAsia="仿宋_GB2312" w:cs="仿宋_GB2312"/>
          <w:b w:val="0"/>
          <w:bCs w:val="0"/>
          <w:color w:val="auto"/>
          <w:sz w:val="32"/>
          <w:szCs w:val="32"/>
          <w:highlight w:val="none"/>
        </w:rPr>
        <w:t>市委“363”工作安排：第一个“3”指实施生态立市、工业强市、县域富市“三大战略”，“6”指开展绿美韶关、产业攻坚、科教人才、营商环境优化、要素保障、资源盘活“六大行动”，第二个“3”指推动基础设施水平、基层治理水平、民生事业水平“三大提升”。</w:t>
      </w:r>
    </w:p>
    <w:p w14:paraId="3744F259">
      <w:pPr>
        <w:shd w:val="clear"/>
        <w:kinsoku/>
        <w:bidi w:val="0"/>
        <w:rPr>
          <w:rFonts w:hint="eastAsia" w:ascii="仿宋_GB2312" w:hAnsi="仿宋_GB2312" w:cs="仿宋_GB2312"/>
          <w:color w:val="auto"/>
          <w:highlight w:val="none"/>
        </w:rPr>
      </w:pPr>
      <w:r>
        <w:rPr>
          <w:rFonts w:hint="eastAsia" w:ascii="仿宋_GB2312" w:hAnsi="仿宋_GB2312" w:cs="仿宋_GB2312"/>
          <w:color w:val="auto"/>
          <w:szCs w:val="32"/>
          <w:highlight w:val="none"/>
          <w:lang w:val="en-US" w:eastAsia="zh-CN"/>
        </w:rPr>
        <w:t>3.</w:t>
      </w:r>
      <w:r>
        <w:rPr>
          <w:rFonts w:hint="eastAsia" w:ascii="仿宋_GB2312" w:hAnsi="仿宋_GB2312" w:cs="仿宋_GB2312"/>
          <w:color w:val="auto"/>
          <w:szCs w:val="32"/>
          <w:highlight w:val="none"/>
        </w:rPr>
        <w:t>农</w:t>
      </w:r>
      <w:r>
        <w:rPr>
          <w:rFonts w:hint="eastAsia" w:ascii="仿宋_GB2312" w:hAnsi="仿宋_GB2312" w:cs="仿宋_GB2312"/>
          <w:color w:val="auto"/>
          <w:highlight w:val="none"/>
        </w:rPr>
        <w:t>村</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三资</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：农村集体所拥有的资金、资产、资源。</w:t>
      </w:r>
    </w:p>
    <w:p w14:paraId="4A05631D">
      <w:pPr>
        <w:shd w:val="clear"/>
        <w:kinsoku/>
        <w:bidi w:val="0"/>
        <w:rPr>
          <w:rFonts w:hint="eastAsia" w:ascii="仿宋_GB2312" w:hAnsi="仿宋_GB2312" w:cs="仿宋_GB2312"/>
          <w:strike w:val="0"/>
          <w:dstrike w:val="0"/>
          <w:color w:val="auto"/>
          <w:sz w:val="32"/>
          <w:szCs w:val="32"/>
          <w:highlight w:val="none"/>
          <w:lang w:val="en-US" w:eastAsia="zh-CN"/>
        </w:rPr>
      </w:pPr>
      <w:r>
        <w:rPr>
          <w:rFonts w:hint="eastAsia" w:ascii="仿宋_GB2312" w:hAnsi="仿宋_GB2312" w:cs="仿宋_GB2312"/>
          <w:strike w:val="0"/>
          <w:dstrike w:val="0"/>
          <w:color w:val="auto"/>
          <w:sz w:val="32"/>
          <w:szCs w:val="32"/>
          <w:highlight w:val="none"/>
          <w:lang w:val="en-US" w:eastAsia="zh-CN"/>
        </w:rPr>
        <w:t>4.</w:t>
      </w:r>
      <w:r>
        <w:rPr>
          <w:rFonts w:hint="eastAsia" w:ascii="仿宋_GB2312" w:hAnsi="仿宋_GB2312" w:eastAsia="仿宋_GB2312" w:cs="仿宋_GB2312"/>
          <w:strike w:val="0"/>
          <w:dstrike w:val="0"/>
          <w:color w:val="auto"/>
          <w:sz w:val="32"/>
          <w:szCs w:val="32"/>
          <w:highlight w:val="none"/>
        </w:rPr>
        <w:t>“六办”举措</w:t>
      </w:r>
      <w:r>
        <w:rPr>
          <w:rFonts w:hint="eastAsia" w:ascii="仿宋_GB2312" w:hAnsi="仿宋_GB2312" w:cs="仿宋_GB2312"/>
          <w:strike w:val="0"/>
          <w:dstrike w:val="0"/>
          <w:color w:val="auto"/>
          <w:sz w:val="32"/>
          <w:szCs w:val="32"/>
          <w:highlight w:val="none"/>
          <w:lang w:eastAsia="zh-CN"/>
        </w:rPr>
        <w:t>：</w:t>
      </w:r>
      <w:r>
        <w:rPr>
          <w:rFonts w:hint="eastAsia" w:ascii="仿宋_GB2312" w:hAnsi="仿宋_GB2312" w:cs="仿宋_GB2312"/>
          <w:strike w:val="0"/>
          <w:dstrike w:val="0"/>
          <w:color w:val="auto"/>
          <w:sz w:val="32"/>
          <w:szCs w:val="32"/>
          <w:highlight w:val="none"/>
          <w:lang w:val="en-US" w:eastAsia="zh-CN"/>
        </w:rPr>
        <w:t>马上办、免费办、跟踪办、统筹办、延时办、“一网通办”。</w:t>
      </w:r>
    </w:p>
    <w:p w14:paraId="2147BFA5">
      <w:pPr>
        <w:shd w:val="clear"/>
        <w:kinsoku/>
        <w:bidi w:val="0"/>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“双百行动”：百校联百县助力“百县千镇万村高质量发展工程”行动。</w:t>
      </w:r>
    </w:p>
    <w:p w14:paraId="1A3B458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rPr>
        <w:t>“枫桥经验”：指20世纪60年代初浙江省诸暨市枫桥镇干部群众创造的“发动和依靠群众，坚持矛盾不上交，就地解决，实现捕人少，治安好”的管理方式。</w:t>
      </w:r>
    </w:p>
    <w:p w14:paraId="73ACEBA7">
      <w:pPr>
        <w:shd w:val="clear"/>
        <w:kinsoku/>
        <w:bidi w:val="0"/>
        <w:rPr>
          <w:rFonts w:hint="eastAsia" w:ascii="仿宋_GB2312" w:hAnsi="仿宋_GB2312" w:cs="仿宋_GB2312"/>
          <w:color w:val="auto"/>
          <w:szCs w:val="32"/>
          <w:highlight w:val="none"/>
        </w:rPr>
      </w:pPr>
      <w:r>
        <w:rPr>
          <w:rFonts w:hint="eastAsia" w:ascii="仿宋_GB2312" w:hAnsi="仿宋_GB2312" w:cs="仿宋_GB2312"/>
          <w:b w:val="0"/>
          <w:bCs w:val="0"/>
          <w:strike w:val="0"/>
          <w:dstrike w:val="0"/>
          <w:color w:val="auto"/>
          <w:highlight w:val="none"/>
          <w:u w:val="none" w:color="auto"/>
          <w:lang w:val="en-US" w:eastAsia="zh-CN"/>
        </w:rPr>
        <w:t>7.</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一中心三极点</w:t>
      </w:r>
      <w:r>
        <w:rPr>
          <w:rFonts w:hint="eastAsia" w:ascii="仿宋_GB2312" w:hAnsi="仿宋_GB2312" w:cs="仿宋_GB2312"/>
          <w:color w:val="auto"/>
          <w:szCs w:val="32"/>
          <w:highlight w:val="none"/>
          <w:lang w:eastAsia="zh-CN"/>
        </w:rPr>
        <w:t>”</w:t>
      </w:r>
      <w:r>
        <w:rPr>
          <w:rFonts w:hint="eastAsia" w:ascii="仿宋_GB2312" w:hAnsi="仿宋_GB2312" w:cs="仿宋_GB2312"/>
          <w:color w:val="auto"/>
          <w:szCs w:val="32"/>
          <w:highlight w:val="none"/>
        </w:rPr>
        <w:t>综合交通枢纽布局：加快形成以粤港澳大湾区为中心</w:t>
      </w:r>
      <w:r>
        <w:rPr>
          <w:rFonts w:hint="eastAsia" w:ascii="仿宋_GB2312" w:hAnsi="仿宋_GB2312" w:cs="仿宋_GB2312"/>
          <w:color w:val="auto"/>
          <w:szCs w:val="32"/>
          <w:highlight w:val="none"/>
          <w:lang w:eastAsia="zh-CN"/>
        </w:rPr>
        <w:t>，以</w:t>
      </w:r>
      <w:r>
        <w:rPr>
          <w:rFonts w:hint="eastAsia" w:ascii="仿宋_GB2312" w:hAnsi="仿宋_GB2312" w:cs="仿宋_GB2312"/>
          <w:color w:val="auto"/>
          <w:szCs w:val="32"/>
          <w:highlight w:val="none"/>
        </w:rPr>
        <w:t>汕头、湛江、韶关为极点，轴带支撑、多向联通的综合交通布局。</w:t>
      </w:r>
    </w:p>
    <w:p w14:paraId="21745B2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rPr>
        <w:t>.“1+3+4”产业格局：“1”是指发展大数据产业，“3”是指做大先进装备制造业、有色金属新材料、新能源电力三大产业集群，“4”是指建强韶关浈江产业园、华南装备园（三期）、中金岭南（韶关）功能材料产业园、韶关高新区（浈江片区）四大产业平台。</w:t>
      </w:r>
    </w:p>
    <w:p w14:paraId="3398D798">
      <w:pPr>
        <w:shd w:val="clear"/>
        <w:kinsoku/>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9.深化“数据要素×”赋能行动：《“数据要素×”三年行动计划（2024—2026年）》由</w:t>
      </w:r>
      <w:r>
        <w:rPr>
          <w:rFonts w:hint="eastAsia" w:ascii="仿宋_GB2312" w:hAnsi="仿宋_GB2312" w:cs="仿宋_GB2312"/>
          <w:color w:val="auto"/>
          <w:highlight w:val="none"/>
          <w:lang w:val="en-US" w:eastAsia="zh-CN"/>
        </w:rPr>
        <w:fldChar w:fldCharType="begin"/>
      </w:r>
      <w:r>
        <w:rPr>
          <w:rFonts w:hint="eastAsia" w:ascii="仿宋_GB2312" w:hAnsi="仿宋_GB2312" w:cs="仿宋_GB2312"/>
          <w:color w:val="auto"/>
          <w:highlight w:val="none"/>
          <w:lang w:val="en-US" w:eastAsia="zh-CN"/>
        </w:rPr>
        <w:instrText xml:space="preserve"> HYPERLINK "https://baike.baidu.com/item/%E5%9B%BD%E5%AE%B6%E6%95%B0%E6%8D%AE%E5%B1%80/62745119?fromModule=lemma_inlink" \t "https://baike.baidu.com/item/%E2%80%9C%E6%95%B0%E6%8D%AE%E8%A6%81%E7%B4%A0%C3%97%E2%80%9D%E4%B8%89%E5%B9%B4%E8%A1%8C%E5%8A%A8%E8%AE%A1%E5%88%92%EF%BC%882024%E2%80%942026%E5%B9%B4%EF%BC%89/_blank" </w:instrText>
      </w:r>
      <w:r>
        <w:rPr>
          <w:rFonts w:hint="eastAsia" w:ascii="仿宋_GB2312" w:hAnsi="仿宋_GB2312" w:cs="仿宋_GB2312"/>
          <w:color w:val="auto"/>
          <w:highlight w:val="none"/>
          <w:lang w:val="en-US" w:eastAsia="zh-CN"/>
        </w:rPr>
        <w:fldChar w:fldCharType="separate"/>
      </w:r>
      <w:r>
        <w:rPr>
          <w:rFonts w:hint="eastAsia" w:ascii="仿宋_GB2312" w:hAnsi="仿宋_GB2312" w:cs="仿宋_GB2312"/>
          <w:color w:val="auto"/>
          <w:highlight w:val="none"/>
          <w:lang w:val="en-US" w:eastAsia="zh-CN"/>
        </w:rPr>
        <w:t>国家数据局</w:t>
      </w:r>
      <w:r>
        <w:rPr>
          <w:rFonts w:hint="eastAsia" w:ascii="仿宋_GB2312" w:hAnsi="仿宋_GB2312" w:cs="仿宋_GB2312"/>
          <w:color w:val="auto"/>
          <w:highlight w:val="none"/>
          <w:lang w:val="en-US" w:eastAsia="zh-CN"/>
        </w:rPr>
        <w:fldChar w:fldCharType="end"/>
      </w:r>
      <w:r>
        <w:rPr>
          <w:rFonts w:hint="eastAsia" w:ascii="仿宋_GB2312" w:hAnsi="仿宋_GB2312" w:cs="仿宋_GB2312"/>
          <w:color w:val="auto"/>
          <w:highlight w:val="none"/>
          <w:lang w:val="en-US" w:eastAsia="zh-CN"/>
        </w:rPr>
        <w:t>等17部门于2023年12月31日联合印发，旨在充分发挥数据要素乘数效应，赋能经济社会发展。</w:t>
      </w:r>
    </w:p>
    <w:p w14:paraId="3BE3D270">
      <w:pPr>
        <w:shd w:val="clear"/>
        <w:kinsoku/>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10.“三心、六轴、五片”空间布局：“三心”指新城中心为城市主中心，以及老城、曲江2个城市副中心，“六轴”指依托主要交通廊道形成的六条发展轴，“五片”包括中部综合服务发展片、东部科研创新发展片、南部融湾合作发展片、西部产城融合发展片和北部绿色产业发展片。</w:t>
      </w:r>
    </w:p>
    <w:p w14:paraId="11A98156">
      <w:pPr>
        <w:shd w:val="clear"/>
        <w:kinsoku/>
        <w:bidi w:val="0"/>
        <w:rPr>
          <w:rFonts w:hint="eastAsia" w:ascii="仿宋_GB2312" w:hAnsi="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两</w:t>
      </w:r>
      <w:r>
        <w:rPr>
          <w:rFonts w:hint="eastAsia" w:ascii="仿宋_GB2312" w:hAnsi="仿宋_GB2312" w:eastAsia="仿宋_GB2312" w:cs="仿宋_GB2312"/>
          <w:color w:val="auto"/>
          <w:sz w:val="32"/>
          <w:szCs w:val="32"/>
          <w:highlight w:val="none"/>
        </w:rPr>
        <w:t>纵三横”城市交通格局</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两纵：</w:t>
      </w:r>
      <w:r>
        <w:rPr>
          <w:rFonts w:hint="eastAsia" w:ascii="仿宋_GB2312" w:hAnsi="仿宋_GB2312" w:cs="仿宋_GB2312"/>
          <w:color w:val="auto"/>
          <w:sz w:val="32"/>
          <w:szCs w:val="32"/>
          <w:highlight w:val="none"/>
          <w:lang w:eastAsia="zh-CN"/>
        </w:rPr>
        <w:t>莲花大道、东韶大道，</w:t>
      </w:r>
      <w:r>
        <w:rPr>
          <w:rFonts w:hint="eastAsia" w:ascii="仿宋_GB2312" w:hAnsi="仿宋_GB2312" w:cs="仿宋_GB2312"/>
          <w:color w:val="auto"/>
          <w:sz w:val="32"/>
          <w:szCs w:val="32"/>
          <w:highlight w:val="none"/>
          <w:lang w:val="en-US" w:eastAsia="zh-CN"/>
        </w:rPr>
        <w:t>三横：</w:t>
      </w:r>
      <w:r>
        <w:rPr>
          <w:rFonts w:hint="eastAsia" w:ascii="仿宋_GB2312" w:hAnsi="仿宋_GB2312" w:cs="仿宋_GB2312"/>
          <w:color w:val="auto"/>
          <w:sz w:val="32"/>
          <w:szCs w:val="32"/>
          <w:highlight w:val="none"/>
          <w:lang w:eastAsia="zh-CN"/>
        </w:rPr>
        <w:t>鑫汇路－大德路、大学路、生态路。</w:t>
      </w:r>
    </w:p>
    <w:p w14:paraId="1770F78D">
      <w:pPr>
        <w:shd w:val="clear"/>
        <w:kinsoku/>
        <w:bidi w:val="0"/>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12.</w:t>
      </w:r>
      <w:r>
        <w:rPr>
          <w:rFonts w:hint="default" w:ascii="仿宋_GB2312" w:hAnsi="仿宋_GB2312" w:eastAsia="仿宋_GB2312" w:cs="仿宋_GB2312"/>
          <w:color w:val="auto"/>
          <w:sz w:val="32"/>
          <w:szCs w:val="32"/>
          <w:highlight w:val="none"/>
          <w:lang w:val="en-US" w:eastAsia="zh-CN"/>
        </w:rPr>
        <w:t>未来社区：根据《广东省未来社区（完整社区）建设试点工作方案》，未来社区是以人民幸福美好生活为核心，以生态、宜居、智慧为价值导向，社区空间、功能、治理协同发展的新型城市功能单元。</w:t>
      </w:r>
    </w:p>
    <w:p w14:paraId="36B8ACDF">
      <w:pPr>
        <w:widowControl w:val="0"/>
        <w:numPr>
          <w:ilvl w:val="-1"/>
          <w:numId w:val="0"/>
        </w:numPr>
        <w:shd w:val="clear"/>
        <w:kinsoku/>
        <w:bidi w:val="0"/>
        <w:adjustRightInd/>
        <w:snapToGrid/>
        <w:spacing w:line="570" w:lineRule="exact"/>
        <w:ind w:left="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cs="仿宋_GB2312"/>
          <w:b w:val="0"/>
          <w:bCs w:val="0"/>
          <w:color w:val="auto"/>
          <w:sz w:val="32"/>
          <w:szCs w:val="32"/>
          <w:highlight w:val="none"/>
          <w:lang w:val="en-US" w:eastAsia="zh-CN"/>
        </w:rPr>
        <w:t>13</w:t>
      </w:r>
      <w:r>
        <w:rPr>
          <w:rFonts w:hint="eastAsia" w:ascii="仿宋_GB2312" w:hAnsi="仿宋_GB2312" w:eastAsia="仿宋_GB2312" w:cs="仿宋_GB2312"/>
          <w:b w:val="0"/>
          <w:bCs w:val="0"/>
          <w:color w:val="auto"/>
          <w:sz w:val="32"/>
          <w:szCs w:val="32"/>
          <w:highlight w:val="none"/>
        </w:rPr>
        <w:t>.“四上”企业：我国经济统计中对四类达到规模或资质标准的法人单位的统称，包括规模以上工业企业、有资质的建筑业及房地产开发经营企业、限额以上批发零售住宿餐饮单位（含个体户）、规模以上服务业企业。其认定标准按行业划分：规模以上工业企业需年主营业务收入2000万元及以上，有资质的建筑业企业须具备总承包或专业承包资质，批发零售住宿餐饮单位分别需年收入2000万元、500万元、200万元及以上，规模以上服务业企业按行业门类适用2000万元、1000万元、500万元三档标准。</w:t>
      </w:r>
    </w:p>
    <w:p w14:paraId="40444DF7">
      <w:pPr>
        <w:widowControl w:val="0"/>
        <w:numPr>
          <w:ilvl w:val="-1"/>
          <w:numId w:val="0"/>
        </w:numPr>
        <w:shd w:val="clear"/>
        <w:kinsoku/>
        <w:bidi w:val="0"/>
        <w:adjustRightInd/>
        <w:snapToGrid/>
        <w:spacing w:line="57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14.</w:t>
      </w:r>
      <w:r>
        <w:rPr>
          <w:rFonts w:hint="default" w:ascii="仿宋_GB2312" w:hAnsi="仿宋_GB2312" w:eastAsia="仿宋_GB2312" w:cs="仿宋_GB2312"/>
          <w:color w:val="auto"/>
          <w:sz w:val="32"/>
          <w:szCs w:val="32"/>
          <w:highlight w:val="none"/>
          <w:lang w:val="en-US" w:eastAsia="zh-CN"/>
        </w:rPr>
        <w:t>“两重”“两新”：“两重”指推进国家重大战略实施和重点领域安全能力建设的政策，“两新”指大规模设备更新和消费品以旧换新政策。</w:t>
      </w:r>
    </w:p>
    <w:p w14:paraId="0339AB66">
      <w:pPr>
        <w:widowControl w:val="0"/>
        <w:numPr>
          <w:ilvl w:val="-1"/>
          <w:numId w:val="0"/>
        </w:numPr>
        <w:shd w:val="clear"/>
        <w:kinsoku/>
        <w:bidi w:val="0"/>
        <w:adjustRightInd/>
        <w:snapToGrid/>
        <w:spacing w:line="570" w:lineRule="exact"/>
        <w:ind w:left="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snapToGrid w:val="0"/>
          <w:color w:val="auto"/>
          <w:kern w:val="0"/>
          <w:sz w:val="32"/>
          <w:szCs w:val="32"/>
          <w:highlight w:val="none"/>
          <w:lang w:val="en-US" w:eastAsia="zh-CN" w:bidi="ar-SA"/>
        </w:rPr>
        <w:t>15.</w:t>
      </w:r>
      <w:r>
        <w:rPr>
          <w:rFonts w:hint="default" w:ascii="仿宋_GB2312" w:hAnsi="仿宋_GB2312" w:eastAsia="仿宋_GB2312" w:cs="仿宋_GB2312"/>
          <w:color w:val="auto"/>
          <w:sz w:val="32"/>
          <w:szCs w:val="32"/>
          <w:highlight w:val="none"/>
          <w:lang w:val="en-US" w:eastAsia="zh-CN"/>
        </w:rPr>
        <w:t>财政资金“补改投”：指通过股权投资方式发挥财政资金杠杆作用，实现财政资金良性循环和保值增值。</w:t>
      </w:r>
    </w:p>
    <w:p w14:paraId="6BD623A5">
      <w:pPr>
        <w:shd w:val="clear"/>
        <w:kinsoku/>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16.公民道德建设“四大工程”：社会公德提质、职业道德培优、家庭美德传承、个人品德涵养。</w:t>
      </w:r>
    </w:p>
    <w:p w14:paraId="4A9AFB5B">
      <w:pPr>
        <w:shd w:val="clear"/>
        <w:kinsoku/>
        <w:bidi w:val="0"/>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kern w:val="2"/>
          <w:sz w:val="32"/>
          <w:szCs w:val="32"/>
          <w:highlight w:val="none"/>
          <w:lang w:val="en-US" w:eastAsia="zh-CN" w:bidi="ar-SA"/>
        </w:rPr>
        <w:t>17.</w:t>
      </w:r>
      <w:r>
        <w:rPr>
          <w:rFonts w:hint="eastAsia" w:ascii="仿宋_GB2312" w:hAnsi="仿宋_GB2312" w:eastAsia="仿宋_GB2312" w:cs="仿宋_GB2312"/>
          <w:color w:val="auto"/>
          <w:kern w:val="2"/>
          <w:sz w:val="32"/>
          <w:szCs w:val="32"/>
          <w:highlight w:val="none"/>
          <w:lang w:val="en-US" w:eastAsia="zh-CN" w:bidi="ar-SA"/>
        </w:rPr>
        <w:t>“一心一环三带五片区”旅游格局</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打造小岛片区中心城区文旅综合服务核心，建设省委机关旧址—华南教育历史研学基地</w:t>
      </w:r>
      <w:r>
        <w:rPr>
          <w:rFonts w:hint="eastAsia" w:ascii="仿宋_GB2312" w:hAnsi="仿宋_GB2312" w:eastAsia="仿宋_GB2312" w:cs="仿宋_GB2312"/>
          <w:color w:val="auto"/>
          <w:sz w:val="32"/>
          <w:szCs w:val="32"/>
          <w:highlight w:val="none"/>
          <w:lang w:eastAsia="zh-CN"/>
        </w:rPr>
        <w:t>（大村）—犁市当铺红色研学游、大陂—水口—湾头乡村产业体验游、阅丹公路生态观光游等三大主题文旅带，发展丹山碧水运动休闲区、红色研学生态康养区、茶竹产业三产融合区、城郊度假乡村体验区、城市文旅综合服务区等五大功能联动区。</w:t>
      </w:r>
    </w:p>
    <w:p w14:paraId="25B2A570">
      <w:pPr>
        <w:shd w:val="clear"/>
        <w:kinsoku/>
        <w:bidi w:val="0"/>
        <w:rPr>
          <w:rFonts w:hint="eastAsia" w:ascii="仿宋_GB2312" w:hAnsi="仿宋_GB2312" w:cs="仿宋_GB2312"/>
          <w:color w:val="auto"/>
          <w:highlight w:val="none"/>
          <w:lang w:val="en-US" w:eastAsia="zh-CN"/>
        </w:rPr>
      </w:pPr>
      <w:r>
        <w:rPr>
          <w:rFonts w:hint="eastAsia" w:ascii="仿宋_GB2312" w:hAnsi="仿宋_GB2312" w:cs="仿宋_GB2312"/>
          <w:color w:val="auto"/>
          <w:highlight w:val="none"/>
          <w:lang w:val="en-US" w:eastAsia="zh-CN"/>
        </w:rPr>
        <w:t>18.“三名”教师：名校长、名班主任、名教师。</w:t>
      </w:r>
    </w:p>
    <w:p w14:paraId="35E2243A">
      <w:pPr>
        <w:shd w:val="clear"/>
        <w:kinsoku/>
        <w:bidi w:val="0"/>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19.</w:t>
      </w:r>
      <w:r>
        <w:rPr>
          <w:rFonts w:hint="default" w:ascii="仿宋_GB2312" w:hAnsi="仿宋_GB2312" w:eastAsia="仿宋_GB2312" w:cs="仿宋_GB2312"/>
          <w:color w:val="auto"/>
          <w:sz w:val="32"/>
          <w:szCs w:val="32"/>
          <w:highlight w:val="none"/>
          <w:lang w:val="en-US" w:eastAsia="zh-CN"/>
        </w:rPr>
        <w:t>“无废城市”：以创新、协调、绿色、开放、共享的新发展理念为引领，通过推动形成绿色发展方式和生活方式，持续推进固体废物源头减量和资源化利用，最大限度减少填埋量，将固体废物环境影响降至最低的城市发展模式。</w:t>
      </w:r>
    </w:p>
    <w:p w14:paraId="70B46935">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cs="仿宋_GB2312"/>
          <w:snapToGrid w:val="0"/>
          <w:color w:val="auto"/>
          <w:kern w:val="0"/>
          <w:sz w:val="32"/>
          <w:szCs w:val="32"/>
          <w:highlight w:val="none"/>
          <w:lang w:val="en-US" w:eastAsia="zh-CN" w:bidi="ar-SA"/>
        </w:rPr>
        <w:t>20.</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五清</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专项行动：清污、清漂、清淤、清障、清违</w:t>
      </w:r>
      <w:r>
        <w:rPr>
          <w:rFonts w:hint="eastAsia" w:ascii="仿宋_GB2312" w:hAnsi="仿宋_GB2312" w:cs="仿宋_GB2312"/>
          <w:color w:val="auto"/>
          <w:highlight w:val="none"/>
          <w:lang w:eastAsia="zh-CN"/>
        </w:rPr>
        <w:t>。</w:t>
      </w:r>
    </w:p>
    <w:p w14:paraId="5149484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cs="仿宋_GB2312"/>
          <w:b w:val="0"/>
          <w:bCs w:val="0"/>
          <w:color w:val="auto"/>
          <w:sz w:val="32"/>
          <w:szCs w:val="32"/>
          <w:highlight w:val="none"/>
          <w:lang w:val="en-US" w:eastAsia="zh-CN"/>
        </w:rPr>
        <w:t>21.</w:t>
      </w:r>
      <w:r>
        <w:rPr>
          <w:rFonts w:hint="eastAsia" w:ascii="仿宋_GB2312" w:hAnsi="仿宋_GB2312" w:eastAsia="仿宋_GB2312" w:cs="仿宋_GB2312"/>
          <w:b w:val="0"/>
          <w:bCs w:val="0"/>
          <w:color w:val="auto"/>
          <w:sz w:val="32"/>
          <w:szCs w:val="32"/>
          <w:highlight w:val="none"/>
        </w:rPr>
        <w:t>“1+6+N”社会治安综合治理工作体系：“1”指综治中心，“6”指综合网格及法院、检察院、公安、司法等基层政法力量和“粤平安”社会治理云平台等信息化支撑平台，“N”指其他综治力量。</w:t>
      </w:r>
    </w:p>
    <w:p w14:paraId="7B671B0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cs="仿宋_GB2312"/>
          <w:b w:val="0"/>
          <w:bCs w:val="0"/>
          <w:color w:val="auto"/>
          <w:sz w:val="32"/>
          <w:szCs w:val="32"/>
          <w:highlight w:val="none"/>
          <w:lang w:val="en-US" w:eastAsia="zh-CN"/>
        </w:rPr>
        <w:t>22</w:t>
      </w:r>
      <w:r>
        <w:rPr>
          <w:rFonts w:hint="eastAsia" w:ascii="仿宋_GB2312" w:hAnsi="仿宋_GB2312" w:eastAsia="仿宋_GB2312" w:cs="仿宋_GB2312"/>
          <w:b w:val="0"/>
          <w:bCs w:val="0"/>
          <w:color w:val="auto"/>
          <w:sz w:val="32"/>
          <w:szCs w:val="32"/>
          <w:highlight w:val="none"/>
        </w:rPr>
        <w:t>.“三个区分开来”：把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w:t>
      </w:r>
    </w:p>
    <w:p w14:paraId="49DB2A32">
      <w:pPr>
        <w:shd w:val="clear"/>
        <w:kinsoku/>
        <w:bidi w:val="0"/>
        <w:rPr>
          <w:rFonts w:hint="default" w:ascii="仿宋_GB2312" w:hAnsi="仿宋_GB2312" w:eastAsia="仿宋_GB2312" w:cs="仿宋_GB2312"/>
          <w:color w:val="auto"/>
          <w:sz w:val="32"/>
          <w:szCs w:val="22"/>
          <w:highlight w:val="none"/>
          <w:lang w:val="en-US" w:eastAsia="zh-CN"/>
        </w:rPr>
      </w:pPr>
    </w:p>
    <w:sectPr>
      <w:headerReference r:id="rId15" w:type="default"/>
      <w:footerReference r:id="rId16" w:type="even"/>
      <w:pgSz w:w="11906" w:h="16839"/>
      <w:pgMar w:top="2098" w:right="1474" w:bottom="1984" w:left="1587" w:header="1020" w:footer="1417" w:gutter="0"/>
      <w:pgNumType w:fmt="numberInDash"/>
      <w:cols w:space="720" w:num="1"/>
      <w:rtlGutter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9D37756-BC4A-407D-8EB2-31F5CDEA6E45}"/>
  </w:font>
  <w:font w:name="黑体">
    <w:panose1 w:val="02010609060101010101"/>
    <w:charset w:val="86"/>
    <w:family w:val="auto"/>
    <w:pitch w:val="default"/>
    <w:sig w:usb0="800002BF" w:usb1="38CF7CFA" w:usb2="00000016" w:usb3="00000000" w:csb0="00040001" w:csb1="00000000"/>
    <w:embedRegular r:id="rId2" w:fontKey="{E625FF76-5245-4C5D-BB6E-38E5016CA77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3" w:fontKey="{F66F6E6E-6FE4-4035-9E21-D3F1CD129085}"/>
  </w:font>
  <w:font w:name="楷体_GB2312">
    <w:panose1 w:val="02010609030101010101"/>
    <w:charset w:val="86"/>
    <w:family w:val="auto"/>
    <w:pitch w:val="default"/>
    <w:sig w:usb0="00000001" w:usb1="080E0000" w:usb2="00000000" w:usb3="00000000" w:csb0="00040000" w:csb1="00000000"/>
    <w:embedRegular r:id="rId4" w:fontKey="{D6DAB816-D8E2-4C86-990D-10DEF03A4485}"/>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5" w:fontKey="{12ED4C9B-EE1E-4DCD-8D09-E3F886E6500A}"/>
  </w:font>
  <w:font w:name="华文中宋">
    <w:panose1 w:val="02010600040101010101"/>
    <w:charset w:val="86"/>
    <w:family w:val="auto"/>
    <w:pitch w:val="default"/>
    <w:sig w:usb0="00000287" w:usb1="080F0000" w:usb2="00000000" w:usb3="00000000" w:csb0="0004009F" w:csb1="DFD70000"/>
    <w:embedRegular r:id="rId6" w:fontKey="{00812AE7-C33E-4A08-B244-EF8F694A57E4}"/>
  </w:font>
  <w:font w:name="BatangChe">
    <w:panose1 w:val="02030609000101010101"/>
    <w:charset w:val="81"/>
    <w:family w:val="auto"/>
    <w:pitch w:val="default"/>
    <w:sig w:usb0="B00002AF" w:usb1="69D77CFB" w:usb2="00000030" w:usb3="00000000" w:csb0="4008009F" w:csb1="DFD70000"/>
    <w:embedRegular r:id="rId7" w:fontKey="{3A8B9A0B-AE90-4889-B359-88131C67F8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F1B52">
    <w:pPr>
      <w:pStyle w:val="16"/>
      <w:ind w:firstLine="0" w:firstLineChars="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553A3">
                          <w:pPr>
                            <w:pStyle w:val="16"/>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77553A3">
                    <w:pPr>
                      <w:pStyle w:val="16"/>
                      <w:rPr>
                        <w:rFonts w:ascii="宋体" w:hAnsi="宋体" w:eastAsia="宋体"/>
                        <w:sz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14A25">
    <w:pPr>
      <w:pStyle w:val="16"/>
      <w:tabs>
        <w:tab w:val="left" w:pos="259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B7DAE">
                          <w:pPr>
                            <w:pStyle w:val="16"/>
                            <w:rPr>
                              <w:rFonts w:hint="eastAsia" w:ascii="宋体" w:hAnsi="宋体" w:eastAsia="宋体"/>
                              <w:sz w:val="2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12B7DAE">
                    <w:pPr>
                      <w:pStyle w:val="16"/>
                      <w:rPr>
                        <w:rFonts w:hint="eastAsia" w:ascii="宋体" w:hAnsi="宋体" w:eastAsia="宋体"/>
                        <w:sz w:val="28"/>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FB317">
    <w:pPr>
      <w:pStyle w:val="16"/>
      <w:ind w:firstLine="0" w:firstLineChars="0"/>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E263D4">
                          <w:pPr>
                            <w:pStyle w:val="16"/>
                            <w:ind w:left="0" w:leftChars="0" w:firstLine="0" w:firstLineChars="0"/>
                            <w:rPr>
                              <w:rFonts w:ascii="Times New Roman" w:hAnsi="Times New Roman" w:eastAsia="宋体"/>
                              <w:sz w:val="28"/>
                              <w:szCs w:val="28"/>
                            </w:rPr>
                          </w:pP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- 1 -</w:t>
                          </w:r>
                          <w:r>
                            <w:rPr>
                              <w:rFonts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7456;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OGA044yAgAAY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4YDTjjICAABhBAAADgAAAAAAAAABACAAAAAiAQAAZHJzL2Uyb0RvYy54bWxQ&#10;SwUGAAAAAAYABgBZAQAAxgUAAAAA&#10;">
              <v:fill on="f" focussize="0,0"/>
              <v:stroke on="f" weight="0.5pt"/>
              <v:imagedata o:title=""/>
              <o:lock v:ext="edit" aspectratio="f"/>
              <v:textbox inset="0mm,0mm,0mm,0mm" style="mso-fit-shape-to-text:t;">
                <w:txbxContent>
                  <w:p w14:paraId="1BE263D4">
                    <w:pPr>
                      <w:pStyle w:val="16"/>
                      <w:ind w:left="0" w:leftChars="0" w:firstLine="0" w:firstLineChars="0"/>
                      <w:rPr>
                        <w:rFonts w:ascii="Times New Roman" w:hAnsi="Times New Roman" w:eastAsia="宋体"/>
                        <w:sz w:val="28"/>
                        <w:szCs w:val="28"/>
                      </w:rPr>
                    </w:pP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- 1 -</w:t>
                    </w:r>
                    <w:r>
                      <w:rPr>
                        <w:rFonts w:eastAsia="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05CB0">
                          <w:pPr>
                            <w:pStyle w:val="16"/>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D05CB0">
                    <w:pPr>
                      <w:pStyle w:val="16"/>
                      <w:rPr>
                        <w:rFonts w:ascii="宋体" w:hAnsi="宋体" w:eastAsia="宋体"/>
                        <w:sz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EE344">
    <w:pPr>
      <w:pStyle w:val="16"/>
      <w:tabs>
        <w:tab w:val="left" w:pos="2592"/>
        <w:tab w:val="clear" w:pos="4153"/>
      </w:tabs>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865C7">
                          <w:pPr>
                            <w:pStyle w:val="16"/>
                            <w:ind w:left="0" w:leftChars="0" w:firstLine="0" w:firstLineChars="0"/>
                            <w:rPr>
                              <w:rFonts w:ascii="Times New Roman" w:hAnsi="Times New Roman" w:eastAsia="宋体"/>
                              <w:sz w:val="28"/>
                              <w:szCs w:val="28"/>
                            </w:rPr>
                          </w:pP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- 2 -</w:t>
                          </w:r>
                          <w:r>
                            <w:rPr>
                              <w:rFonts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8480;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H+OrREyAgAAYQQAAA4AAABkcnMvZTJvRG9jLnhtbK1UzY7TMBC+&#10;I/EOlu80aVFX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3k7T9sLVA3CpkSOS6B4brdDsm57Z&#10;3uRnEHOm6wxv+aZC8i3z4YE5tAIejGEJ91gKaZDE9BYlpXFf/3Ue41EheCmp0VoZ1ZgkSuQHjcoB&#10;MAyGG4z9YOijujPo1TGG0PLWxAUX5GAWzqgvmKBVzAEX0xyZMhoG8y507Y0J5GK1aoOO1lWHsruA&#10;vrMsbPXO8pgmCunt6hggZqtxFKhTpdcNnddWqZ+S2Np/7tuopz/D8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f46tETICAABhBAAADgAAAAAAAAABACAAAAAiAQAAZHJzL2Uyb0RvYy54bWxQ&#10;SwUGAAAAAAYABgBZAQAAxgUAAAAA&#10;">
              <v:fill on="f" focussize="0,0"/>
              <v:stroke on="f" weight="0.5pt"/>
              <v:imagedata o:title=""/>
              <o:lock v:ext="edit" aspectratio="f"/>
              <v:textbox inset="0mm,0mm,0mm,0mm" style="mso-fit-shape-to-text:t;">
                <w:txbxContent>
                  <w:p w14:paraId="65B865C7">
                    <w:pPr>
                      <w:pStyle w:val="16"/>
                      <w:ind w:left="0" w:leftChars="0" w:firstLine="0" w:firstLineChars="0"/>
                      <w:rPr>
                        <w:rFonts w:ascii="Times New Roman" w:hAnsi="Times New Roman" w:eastAsia="宋体"/>
                        <w:sz w:val="28"/>
                        <w:szCs w:val="28"/>
                      </w:rPr>
                    </w:pP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- 2 -</w:t>
                    </w:r>
                    <w:r>
                      <w:rPr>
                        <w:rFonts w:eastAsia="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2018">
                          <w:pPr>
                            <w:pStyle w:val="16"/>
                            <w:rPr>
                              <w:rFonts w:hint="eastAsia" w:ascii="宋体" w:hAnsi="宋体" w:eastAsia="宋体"/>
                              <w:sz w:val="2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EC2018">
                    <w:pPr>
                      <w:pStyle w:val="16"/>
                      <w:rPr>
                        <w:rFonts w:hint="eastAsia" w:ascii="宋体" w:hAnsi="宋体" w:eastAsia="宋体"/>
                        <w:sz w:val="28"/>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EBFF">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D6B3A">
                          <w:pPr>
                            <w:pStyle w:val="16"/>
                            <w:rPr>
                              <w:rFonts w:hint="default" w:ascii="Times New Roman" w:hAnsi="Times New Roman" w:eastAsia="宋体" w:cs="Times New Roman"/>
                              <w:sz w:val="28"/>
                              <w:szCs w:val="28"/>
                            </w:rPr>
                          </w:pPr>
                          <w:r>
                            <w:rPr>
                              <w:rFonts w:hint="default" w:eastAsia="宋体" w:cs="Times New Roman"/>
                              <w:sz w:val="28"/>
                              <w:szCs w:val="28"/>
                            </w:rPr>
                            <w:fldChar w:fldCharType="begin"/>
                          </w:r>
                          <w:r>
                            <w:rPr>
                              <w:rFonts w:hint="default" w:eastAsia="宋体" w:cs="Times New Roman"/>
                              <w:sz w:val="28"/>
                              <w:szCs w:val="28"/>
                            </w:rPr>
                            <w:instrText xml:space="preserve"> PAGE  \* MERGEFORMAT </w:instrText>
                          </w:r>
                          <w:r>
                            <w:rPr>
                              <w:rFonts w:hint="default" w:eastAsia="宋体" w:cs="Times New Roman"/>
                              <w:sz w:val="28"/>
                              <w:szCs w:val="28"/>
                            </w:rPr>
                            <w:fldChar w:fldCharType="separate"/>
                          </w:r>
                          <w:r>
                            <w:rPr>
                              <w:rFonts w:hint="default" w:eastAsia="宋体" w:cs="Times New Roman"/>
                              <w:sz w:val="28"/>
                              <w:szCs w:val="28"/>
                            </w:rPr>
                            <w:t>- 25 -</w:t>
                          </w:r>
                          <w:r>
                            <w:rPr>
                              <w:rFonts w:hint="default" w:eastAsia="宋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3360;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wMClfjICAABjBAAADgAAAAAAAAABACAAAAAiAQAAZHJzL2Uyb0RvYy54bWxQ&#10;SwUGAAAAAAYABgBZAQAAxgUAAAAA&#10;">
              <v:fill on="f" focussize="0,0"/>
              <v:stroke on="f" weight="0.5pt"/>
              <v:imagedata o:title=""/>
              <o:lock v:ext="edit" aspectratio="f"/>
              <v:textbox inset="0mm,0mm,0mm,0mm" style="mso-fit-shape-to-text:t;">
                <w:txbxContent>
                  <w:p w14:paraId="163D6B3A">
                    <w:pPr>
                      <w:pStyle w:val="16"/>
                      <w:rPr>
                        <w:rFonts w:hint="default" w:ascii="Times New Roman" w:hAnsi="Times New Roman" w:eastAsia="宋体" w:cs="Times New Roman"/>
                        <w:sz w:val="28"/>
                        <w:szCs w:val="28"/>
                      </w:rPr>
                    </w:pPr>
                    <w:r>
                      <w:rPr>
                        <w:rFonts w:hint="default" w:eastAsia="宋体" w:cs="Times New Roman"/>
                        <w:sz w:val="28"/>
                        <w:szCs w:val="28"/>
                      </w:rPr>
                      <w:fldChar w:fldCharType="begin"/>
                    </w:r>
                    <w:r>
                      <w:rPr>
                        <w:rFonts w:hint="default" w:eastAsia="宋体" w:cs="Times New Roman"/>
                        <w:sz w:val="28"/>
                        <w:szCs w:val="28"/>
                      </w:rPr>
                      <w:instrText xml:space="preserve"> PAGE  \* MERGEFORMAT </w:instrText>
                    </w:r>
                    <w:r>
                      <w:rPr>
                        <w:rFonts w:hint="default" w:eastAsia="宋体" w:cs="Times New Roman"/>
                        <w:sz w:val="28"/>
                        <w:szCs w:val="28"/>
                      </w:rPr>
                      <w:fldChar w:fldCharType="separate"/>
                    </w:r>
                    <w:r>
                      <w:rPr>
                        <w:rFonts w:hint="default" w:eastAsia="宋体" w:cs="Times New Roman"/>
                        <w:sz w:val="28"/>
                        <w:szCs w:val="28"/>
                      </w:rPr>
                      <w:t>- 25 -</w:t>
                    </w:r>
                    <w:r>
                      <w:rPr>
                        <w:rFonts w:hint="default" w:eastAsia="宋体" w:cs="Times New Roman"/>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A8BFE">
    <w:pPr>
      <w:pStyle w:val="16"/>
      <w:tabs>
        <w:tab w:val="left" w:pos="6412"/>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A3D24">
                          <w:pPr>
                            <w:pStyle w:val="16"/>
                            <w:ind w:left="0" w:leftChars="0" w:firstLine="0" w:firstLineChars="0"/>
                            <w:rPr>
                              <w:rFonts w:hint="default" w:ascii="Times New Roman" w:hAnsi="Times New Roman" w:eastAsia="宋体" w:cs="Times New Roman"/>
                              <w:sz w:val="28"/>
                              <w:szCs w:val="28"/>
                            </w:rPr>
                          </w:pPr>
                          <w:r>
                            <w:rPr>
                              <w:rFonts w:hint="default" w:eastAsia="宋体" w:cs="Times New Roman"/>
                              <w:sz w:val="28"/>
                              <w:szCs w:val="28"/>
                            </w:rPr>
                            <w:fldChar w:fldCharType="begin"/>
                          </w:r>
                          <w:r>
                            <w:rPr>
                              <w:rFonts w:hint="default" w:eastAsia="宋体" w:cs="Times New Roman"/>
                              <w:sz w:val="28"/>
                              <w:szCs w:val="28"/>
                            </w:rPr>
                            <w:instrText xml:space="preserve"> PAGE  \* MERGEFORMAT </w:instrText>
                          </w:r>
                          <w:r>
                            <w:rPr>
                              <w:rFonts w:hint="default" w:eastAsia="宋体" w:cs="Times New Roman"/>
                              <w:sz w:val="28"/>
                              <w:szCs w:val="28"/>
                            </w:rPr>
                            <w:fldChar w:fldCharType="separate"/>
                          </w:r>
                          <w:r>
                            <w:rPr>
                              <w:rFonts w:hint="default" w:eastAsia="宋体" w:cs="Times New Roman"/>
                              <w:sz w:val="28"/>
                              <w:szCs w:val="28"/>
                            </w:rPr>
                            <w:t>- 26 -</w:t>
                          </w:r>
                          <w:r>
                            <w:rPr>
                              <w:rFonts w:hint="default" w:eastAsia="宋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438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HoB1tMAAAAGAQAADwAAAAAAAAABACAAAAAiAAAAZHJzL2Rvd25yZXYueG1sUEsB&#10;AhQAFAAAAAgAh07iQIJoMpEzAgAAYwQAAA4AAAAAAAAAAQAgAAAAIgEAAGRycy9lMm9Eb2MueG1s&#10;UEsFBgAAAAAGAAYAWQEAAMcFAAAAAA==&#10;">
              <v:fill on="f" focussize="0,0"/>
              <v:stroke on="f" weight="0.5pt"/>
              <v:imagedata o:title=""/>
              <o:lock v:ext="edit" aspectratio="f"/>
              <v:textbox inset="0mm,0mm,0mm,0mm" style="mso-fit-shape-to-text:t;">
                <w:txbxContent>
                  <w:p w14:paraId="169A3D24">
                    <w:pPr>
                      <w:pStyle w:val="16"/>
                      <w:ind w:left="0" w:leftChars="0" w:firstLine="0" w:firstLineChars="0"/>
                      <w:rPr>
                        <w:rFonts w:hint="default" w:ascii="Times New Roman" w:hAnsi="Times New Roman" w:eastAsia="宋体" w:cs="Times New Roman"/>
                        <w:sz w:val="28"/>
                        <w:szCs w:val="28"/>
                      </w:rPr>
                    </w:pPr>
                    <w:r>
                      <w:rPr>
                        <w:rFonts w:hint="default" w:eastAsia="宋体" w:cs="Times New Roman"/>
                        <w:sz w:val="28"/>
                        <w:szCs w:val="28"/>
                      </w:rPr>
                      <w:fldChar w:fldCharType="begin"/>
                    </w:r>
                    <w:r>
                      <w:rPr>
                        <w:rFonts w:hint="default" w:eastAsia="宋体" w:cs="Times New Roman"/>
                        <w:sz w:val="28"/>
                        <w:szCs w:val="28"/>
                      </w:rPr>
                      <w:instrText xml:space="preserve"> PAGE  \* MERGEFORMAT </w:instrText>
                    </w:r>
                    <w:r>
                      <w:rPr>
                        <w:rFonts w:hint="default" w:eastAsia="宋体" w:cs="Times New Roman"/>
                        <w:sz w:val="28"/>
                        <w:szCs w:val="28"/>
                      </w:rPr>
                      <w:fldChar w:fldCharType="separate"/>
                    </w:r>
                    <w:r>
                      <w:rPr>
                        <w:rFonts w:hint="default" w:eastAsia="宋体" w:cs="Times New Roman"/>
                        <w:sz w:val="28"/>
                        <w:szCs w:val="28"/>
                      </w:rPr>
                      <w:t>- 26 -</w:t>
                    </w:r>
                    <w:r>
                      <w:rPr>
                        <w:rFonts w:hint="default" w:eastAsia="宋体" w:cs="Times New Roman"/>
                        <w:sz w:val="28"/>
                        <w:szCs w:val="28"/>
                      </w:rPr>
                      <w:fldChar w:fldCharType="end"/>
                    </w:r>
                  </w:p>
                </w:txbxContent>
              </v:textbox>
            </v:shape>
          </w:pict>
        </mc:Fallback>
      </mc:AlternateContent>
    </w:r>
    <w:r>
      <w:rPr>
        <w:rFonts w:hint="eastAsia"/>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18504">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84749">
                          <w:pPr>
                            <w:pStyle w:val="16"/>
                            <w:rPr>
                              <w:rFonts w:hint="default" w:ascii="Times New Roman" w:hAnsi="Times New Roman" w:eastAsia="宋体" w:cs="Times New Roman"/>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- 29 -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B6AdbTAAAABgEAAA8AAAAAAAAAAQAgAAAAIgAAAGRycy9kb3ducmV2LnhtbFBLAQIU&#10;ABQAAAAIAIdO4kDHl7XOMQIAAGEEAAAOAAAAAAAAAAEAIAAAACIBAABkcnMvZTJvRG9jLnhtbFBL&#10;BQYAAAAABgAGAFkBAADFBQAAAAA=&#10;">
              <v:fill on="f" focussize="0,0"/>
              <v:stroke on="f" weight="0.5pt"/>
              <v:imagedata o:title=""/>
              <o:lock v:ext="edit" aspectratio="f"/>
              <v:textbox inset="0mm,0mm,0mm,0mm" style="mso-fit-shape-to-text:t;">
                <w:txbxContent>
                  <w:p w14:paraId="75584749">
                    <w:pPr>
                      <w:pStyle w:val="16"/>
                      <w:rPr>
                        <w:rFonts w:hint="default" w:ascii="Times New Roman" w:hAnsi="Times New Roman" w:eastAsia="宋体" w:cs="Times New Roman"/>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- 29 -</w:t>
                    </w:r>
                    <w:r>
                      <w:rPr>
                        <w:rFonts w:hint="eastAsia" w:ascii="仿宋_GB2312" w:hAnsi="仿宋_GB2312" w:eastAsia="仿宋_GB2312" w:cs="仿宋_GB2312"/>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0244">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04FB6B">
                          <w:pPr>
                            <w:pStyle w:val="16"/>
                            <w:ind w:left="0" w:leftChars="0" w:firstLine="0" w:firstLineChars="0"/>
                            <w:rPr>
                              <w:rFonts w:hint="default" w:ascii="Times New Roman" w:hAnsi="Times New Roman" w:eastAsia="宋体" w:cs="Times New Roman"/>
                              <w:sz w:val="28"/>
                              <w:szCs w:val="28"/>
                            </w:rPr>
                          </w:pPr>
                          <w:r>
                            <w:rPr>
                              <w:rFonts w:hint="default" w:eastAsia="宋体" w:cs="Times New Roman"/>
                              <w:sz w:val="28"/>
                              <w:szCs w:val="28"/>
                            </w:rPr>
                            <w:fldChar w:fldCharType="begin"/>
                          </w:r>
                          <w:r>
                            <w:rPr>
                              <w:rFonts w:hint="default" w:eastAsia="宋体" w:cs="Times New Roman"/>
                              <w:sz w:val="28"/>
                              <w:szCs w:val="28"/>
                            </w:rPr>
                            <w:instrText xml:space="preserve"> PAGE  \* MERGEFORMAT </w:instrText>
                          </w:r>
                          <w:r>
                            <w:rPr>
                              <w:rFonts w:hint="default" w:eastAsia="宋体" w:cs="Times New Roman"/>
                              <w:sz w:val="28"/>
                              <w:szCs w:val="28"/>
                            </w:rPr>
                            <w:fldChar w:fldCharType="separate"/>
                          </w:r>
                          <w:r>
                            <w:rPr>
                              <w:rFonts w:hint="default" w:eastAsia="宋体" w:cs="Times New Roman"/>
                              <w:sz w:val="28"/>
                              <w:szCs w:val="28"/>
                            </w:rPr>
                            <w:t>- 96 -</w:t>
                          </w:r>
                          <w:r>
                            <w:rPr>
                              <w:rFonts w:hint="default" w:eastAsia="宋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AegHW0wAAAAYBAAAPAAAAAAAAAAEAIAAAACIAAABkcnMvZG93bnJldi54bWxQSwEC&#10;FAAUAAAACACHTuJAlt8PCTICAABjBAAADgAAAAAAAAABACAAAAAiAQAAZHJzL2Uyb0RvYy54bWxQ&#10;SwUGAAAAAAYABgBZAQAAxgUAAAAA&#10;">
              <v:fill on="f" focussize="0,0"/>
              <v:stroke on="f" weight="0.5pt"/>
              <v:imagedata o:title=""/>
              <o:lock v:ext="edit" aspectratio="f"/>
              <v:textbox inset="0mm,0mm,0mm,0mm" style="mso-fit-shape-to-text:t;">
                <w:txbxContent>
                  <w:p w14:paraId="4204FB6B">
                    <w:pPr>
                      <w:pStyle w:val="16"/>
                      <w:ind w:left="0" w:leftChars="0" w:firstLine="0" w:firstLineChars="0"/>
                      <w:rPr>
                        <w:rFonts w:hint="default" w:ascii="Times New Roman" w:hAnsi="Times New Roman" w:eastAsia="宋体" w:cs="Times New Roman"/>
                        <w:sz w:val="28"/>
                        <w:szCs w:val="28"/>
                      </w:rPr>
                    </w:pPr>
                    <w:r>
                      <w:rPr>
                        <w:rFonts w:hint="default" w:eastAsia="宋体" w:cs="Times New Roman"/>
                        <w:sz w:val="28"/>
                        <w:szCs w:val="28"/>
                      </w:rPr>
                      <w:fldChar w:fldCharType="begin"/>
                    </w:r>
                    <w:r>
                      <w:rPr>
                        <w:rFonts w:hint="default" w:eastAsia="宋体" w:cs="Times New Roman"/>
                        <w:sz w:val="28"/>
                        <w:szCs w:val="28"/>
                      </w:rPr>
                      <w:instrText xml:space="preserve"> PAGE  \* MERGEFORMAT </w:instrText>
                    </w:r>
                    <w:r>
                      <w:rPr>
                        <w:rFonts w:hint="default" w:eastAsia="宋体" w:cs="Times New Roman"/>
                        <w:sz w:val="28"/>
                        <w:szCs w:val="28"/>
                      </w:rPr>
                      <w:fldChar w:fldCharType="separate"/>
                    </w:r>
                    <w:r>
                      <w:rPr>
                        <w:rFonts w:hint="default" w:eastAsia="宋体" w:cs="Times New Roman"/>
                        <w:sz w:val="28"/>
                        <w:szCs w:val="28"/>
                      </w:rPr>
                      <w:t>- 96 -</w:t>
                    </w:r>
                    <w:r>
                      <w:rPr>
                        <w:rFonts w:hint="default" w:eastAsia="宋体"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55E7">
    <w:pPr>
      <w:keepNext w:val="0"/>
      <w:keepLines w:val="0"/>
      <w:pageBreakBefore w:val="0"/>
      <w:widowControl/>
      <w:pBdr>
        <w:bottom w:val="none" w:color="auto" w:sz="0" w:space="0"/>
      </w:pBdr>
      <w:kinsoku w:val="0"/>
      <w:wordWrap/>
      <w:overflowPunct/>
      <w:topLinePunct w:val="0"/>
      <w:bidi w:val="0"/>
      <w:adjustRightInd w:val="0"/>
      <w:snapToGrid w:val="0"/>
      <w:spacing w:line="240" w:lineRule="auto"/>
      <w:ind w:left="0" w:firstLine="0" w:firstLineChars="0"/>
      <w:jc w:val="left"/>
      <w:textAlignment w:val="baseline"/>
      <w:rPr>
        <w:rFonts w:ascii="宋体" w:hAnsi="宋体" w:eastAsia="宋体" w:cs="宋体"/>
        <w:i w:val="0"/>
        <w:iCs w:val="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609F6">
    <w:pPr>
      <w:pStyle w:val="17"/>
      <w:keepNext w:val="0"/>
      <w:keepLines w:val="0"/>
      <w:pageBreakBefore w:val="0"/>
      <w:widowControl/>
      <w:pBdr>
        <w:bottom w:val="none" w:color="auto" w:sz="0" w:space="1"/>
      </w:pBdr>
      <w:kinsoku w:val="0"/>
      <w:wordWrap/>
      <w:overflowPunct/>
      <w:topLinePunct w:val="0"/>
      <w:bidi w:val="0"/>
      <w:adjustRightInd w:val="0"/>
      <w:snapToGrid w:val="0"/>
      <w:spacing w:line="240" w:lineRule="auto"/>
      <w:ind w:firstLine="0" w:firstLineChars="0"/>
      <w:jc w:val="right"/>
      <w:textAlignment w:val="baseline"/>
      <w:rPr>
        <w:i w:val="0"/>
        <w:iCs w:val="0"/>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61E09">
    <w:pPr>
      <w:keepNext w:val="0"/>
      <w:keepLines w:val="0"/>
      <w:pageBreakBefore w:val="0"/>
      <w:widowControl/>
      <w:pBdr>
        <w:bottom w:val="none" w:color="auto" w:sz="0" w:space="0"/>
      </w:pBdr>
      <w:kinsoku w:val="0"/>
      <w:wordWrap/>
      <w:overflowPunct/>
      <w:topLinePunct w:val="0"/>
      <w:bidi w:val="0"/>
      <w:adjustRightInd w:val="0"/>
      <w:snapToGrid w:val="0"/>
      <w:spacing w:line="240" w:lineRule="auto"/>
      <w:ind w:left="0" w:firstLine="0" w:firstLineChars="0"/>
      <w:jc w:val="left"/>
      <w:textAlignment w:val="baseline"/>
      <w:rPr>
        <w:rFonts w:ascii="宋体" w:hAnsi="宋体" w:eastAsia="宋体" w:cs="宋体"/>
        <w:i w:val="0"/>
        <w:iCs w:val="0"/>
        <w:sz w:val="28"/>
        <w:szCs w:val="28"/>
        <w:highlight w:val="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2F140">
    <w:pPr>
      <w:keepNext w:val="0"/>
      <w:keepLines w:val="0"/>
      <w:pageBreakBefore w:val="0"/>
      <w:widowControl/>
      <w:pBdr>
        <w:bottom w:val="none" w:color="auto" w:sz="0" w:space="0"/>
      </w:pBdr>
      <w:kinsoku w:val="0"/>
      <w:wordWrap/>
      <w:overflowPunct/>
      <w:topLinePunct w:val="0"/>
      <w:bidi w:val="0"/>
      <w:adjustRightInd w:val="0"/>
      <w:snapToGrid w:val="0"/>
      <w:spacing w:line="240" w:lineRule="auto"/>
      <w:ind w:left="0" w:firstLine="0" w:firstLineChars="0"/>
      <w:jc w:val="left"/>
      <w:textAlignment w:val="baseline"/>
      <w:rPr>
        <w:rFonts w:ascii="宋体" w:hAnsi="宋体" w:eastAsia="宋体" w:cs="宋体"/>
        <w:i w:val="0"/>
        <w:iCs w:val="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embedTrueTypeFonts/>
  <w:saveSubsetFonts/>
  <w:bordersDoNotSurroundHeader w:val="0"/>
  <w:bordersDoNotSurroundFooter w:val="0"/>
  <w:documentProtection w:enforcement="0"/>
  <w:defaultTabStop w:val="420"/>
  <w:evenAndOddHeaders w:val="1"/>
  <w:drawingGridVerticalSpacing w:val="2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wMzUwN2FjNTM3MzJiMjRkOWY3M2Q1NjczZDcyNTkifQ=="/>
  </w:docVars>
  <w:rsids>
    <w:rsidRoot w:val="0A4C04BA"/>
    <w:rsid w:val="000219C1"/>
    <w:rsid w:val="000577A7"/>
    <w:rsid w:val="00064143"/>
    <w:rsid w:val="0011231F"/>
    <w:rsid w:val="00164C26"/>
    <w:rsid w:val="001655E6"/>
    <w:rsid w:val="001C048E"/>
    <w:rsid w:val="001D4994"/>
    <w:rsid w:val="00210482"/>
    <w:rsid w:val="002B344F"/>
    <w:rsid w:val="002D41DE"/>
    <w:rsid w:val="002E6413"/>
    <w:rsid w:val="00416146"/>
    <w:rsid w:val="0047102F"/>
    <w:rsid w:val="00496DA9"/>
    <w:rsid w:val="00564299"/>
    <w:rsid w:val="005A7208"/>
    <w:rsid w:val="005D3503"/>
    <w:rsid w:val="00610597"/>
    <w:rsid w:val="006140F3"/>
    <w:rsid w:val="00633626"/>
    <w:rsid w:val="006548B4"/>
    <w:rsid w:val="00661D7D"/>
    <w:rsid w:val="006836D3"/>
    <w:rsid w:val="00692B2D"/>
    <w:rsid w:val="006B6D1F"/>
    <w:rsid w:val="006F0F06"/>
    <w:rsid w:val="007152E3"/>
    <w:rsid w:val="00773916"/>
    <w:rsid w:val="007F03E4"/>
    <w:rsid w:val="007F27CB"/>
    <w:rsid w:val="008C4773"/>
    <w:rsid w:val="009B4D8E"/>
    <w:rsid w:val="009C337D"/>
    <w:rsid w:val="00A010BF"/>
    <w:rsid w:val="00A3470B"/>
    <w:rsid w:val="00A60BA0"/>
    <w:rsid w:val="00AE5C95"/>
    <w:rsid w:val="00B20255"/>
    <w:rsid w:val="00B46918"/>
    <w:rsid w:val="00B93F2F"/>
    <w:rsid w:val="00BD113A"/>
    <w:rsid w:val="00BE1545"/>
    <w:rsid w:val="00C11035"/>
    <w:rsid w:val="00C64EDF"/>
    <w:rsid w:val="00CF2A4A"/>
    <w:rsid w:val="00DA5C53"/>
    <w:rsid w:val="00DD5C68"/>
    <w:rsid w:val="00DE3995"/>
    <w:rsid w:val="00E32D5A"/>
    <w:rsid w:val="00E865C2"/>
    <w:rsid w:val="00F05EB3"/>
    <w:rsid w:val="00F83C46"/>
    <w:rsid w:val="00FB466F"/>
    <w:rsid w:val="010351AA"/>
    <w:rsid w:val="010F1DA1"/>
    <w:rsid w:val="010F3B4F"/>
    <w:rsid w:val="011253ED"/>
    <w:rsid w:val="011D2710"/>
    <w:rsid w:val="012104EA"/>
    <w:rsid w:val="0123584C"/>
    <w:rsid w:val="012A6BDB"/>
    <w:rsid w:val="012B4701"/>
    <w:rsid w:val="012C5A78"/>
    <w:rsid w:val="01314F01"/>
    <w:rsid w:val="01321862"/>
    <w:rsid w:val="013D1CD1"/>
    <w:rsid w:val="0143417D"/>
    <w:rsid w:val="014557C2"/>
    <w:rsid w:val="01456567"/>
    <w:rsid w:val="014B08FF"/>
    <w:rsid w:val="01511039"/>
    <w:rsid w:val="015213EE"/>
    <w:rsid w:val="0156352C"/>
    <w:rsid w:val="015A7F2D"/>
    <w:rsid w:val="015C5B09"/>
    <w:rsid w:val="015D4012"/>
    <w:rsid w:val="016C07AD"/>
    <w:rsid w:val="016D6AC7"/>
    <w:rsid w:val="0173115E"/>
    <w:rsid w:val="017716F4"/>
    <w:rsid w:val="017930F7"/>
    <w:rsid w:val="017D31AE"/>
    <w:rsid w:val="01800398"/>
    <w:rsid w:val="01802C9E"/>
    <w:rsid w:val="01806516"/>
    <w:rsid w:val="018407F0"/>
    <w:rsid w:val="018502B5"/>
    <w:rsid w:val="018F2EE2"/>
    <w:rsid w:val="01904705"/>
    <w:rsid w:val="01981D96"/>
    <w:rsid w:val="01A13526"/>
    <w:rsid w:val="01A544B3"/>
    <w:rsid w:val="01AA7D1B"/>
    <w:rsid w:val="01B84CC2"/>
    <w:rsid w:val="01B91D0C"/>
    <w:rsid w:val="01B93EE0"/>
    <w:rsid w:val="01BD35AB"/>
    <w:rsid w:val="01BF4889"/>
    <w:rsid w:val="01C7267B"/>
    <w:rsid w:val="01CD1252"/>
    <w:rsid w:val="01CF1907"/>
    <w:rsid w:val="01D46B46"/>
    <w:rsid w:val="01D70697"/>
    <w:rsid w:val="01D868DB"/>
    <w:rsid w:val="01DA23AF"/>
    <w:rsid w:val="01DF6F78"/>
    <w:rsid w:val="01EC20E2"/>
    <w:rsid w:val="01EE5E5A"/>
    <w:rsid w:val="01FE5971"/>
    <w:rsid w:val="020A4F7C"/>
    <w:rsid w:val="02111B48"/>
    <w:rsid w:val="02126424"/>
    <w:rsid w:val="02181129"/>
    <w:rsid w:val="021D06BE"/>
    <w:rsid w:val="021D2ED1"/>
    <w:rsid w:val="021F723B"/>
    <w:rsid w:val="021F7DC1"/>
    <w:rsid w:val="02281A4B"/>
    <w:rsid w:val="022A49B8"/>
    <w:rsid w:val="022B512E"/>
    <w:rsid w:val="02306473"/>
    <w:rsid w:val="023320ED"/>
    <w:rsid w:val="023A2E4D"/>
    <w:rsid w:val="023A5733"/>
    <w:rsid w:val="023A684C"/>
    <w:rsid w:val="023C4E17"/>
    <w:rsid w:val="0241242E"/>
    <w:rsid w:val="024A0BB7"/>
    <w:rsid w:val="024C492F"/>
    <w:rsid w:val="024E06DB"/>
    <w:rsid w:val="02513BBE"/>
    <w:rsid w:val="02581DA6"/>
    <w:rsid w:val="02595FE8"/>
    <w:rsid w:val="025A704C"/>
    <w:rsid w:val="025E466E"/>
    <w:rsid w:val="02603E22"/>
    <w:rsid w:val="0261487E"/>
    <w:rsid w:val="026378B5"/>
    <w:rsid w:val="026E7876"/>
    <w:rsid w:val="027520D7"/>
    <w:rsid w:val="02790CFC"/>
    <w:rsid w:val="027A149C"/>
    <w:rsid w:val="027A3F9F"/>
    <w:rsid w:val="027C6FB6"/>
    <w:rsid w:val="027D1300"/>
    <w:rsid w:val="027E651E"/>
    <w:rsid w:val="0285377D"/>
    <w:rsid w:val="028832B4"/>
    <w:rsid w:val="028926DF"/>
    <w:rsid w:val="028C773C"/>
    <w:rsid w:val="028E4F47"/>
    <w:rsid w:val="0293255D"/>
    <w:rsid w:val="029638CF"/>
    <w:rsid w:val="0297215F"/>
    <w:rsid w:val="02A209F3"/>
    <w:rsid w:val="02A23E5E"/>
    <w:rsid w:val="02A470E7"/>
    <w:rsid w:val="02A703D8"/>
    <w:rsid w:val="02A93B2F"/>
    <w:rsid w:val="02AD6580"/>
    <w:rsid w:val="02B87D6E"/>
    <w:rsid w:val="02BE6464"/>
    <w:rsid w:val="02C10E79"/>
    <w:rsid w:val="02C47780"/>
    <w:rsid w:val="02C725CC"/>
    <w:rsid w:val="02CC1829"/>
    <w:rsid w:val="02D33337"/>
    <w:rsid w:val="02D768EE"/>
    <w:rsid w:val="02D84414"/>
    <w:rsid w:val="02D9796E"/>
    <w:rsid w:val="02E4100B"/>
    <w:rsid w:val="02E66B31"/>
    <w:rsid w:val="02E80AFB"/>
    <w:rsid w:val="02E9000B"/>
    <w:rsid w:val="02E92054"/>
    <w:rsid w:val="02EB05EB"/>
    <w:rsid w:val="02F2197A"/>
    <w:rsid w:val="02F91852"/>
    <w:rsid w:val="02FA25DD"/>
    <w:rsid w:val="02FC0103"/>
    <w:rsid w:val="0303751B"/>
    <w:rsid w:val="03166EE3"/>
    <w:rsid w:val="0317318F"/>
    <w:rsid w:val="0321400D"/>
    <w:rsid w:val="03265180"/>
    <w:rsid w:val="03275EC2"/>
    <w:rsid w:val="03307BCF"/>
    <w:rsid w:val="033738C7"/>
    <w:rsid w:val="033755DF"/>
    <w:rsid w:val="03391357"/>
    <w:rsid w:val="03435D32"/>
    <w:rsid w:val="034675D0"/>
    <w:rsid w:val="03497C46"/>
    <w:rsid w:val="034A3564"/>
    <w:rsid w:val="034F0B7A"/>
    <w:rsid w:val="03550DA6"/>
    <w:rsid w:val="03561459"/>
    <w:rsid w:val="035937A7"/>
    <w:rsid w:val="03597303"/>
    <w:rsid w:val="035E0DBD"/>
    <w:rsid w:val="035E4554"/>
    <w:rsid w:val="036D5585"/>
    <w:rsid w:val="037057B0"/>
    <w:rsid w:val="03760669"/>
    <w:rsid w:val="03782989"/>
    <w:rsid w:val="03812D5E"/>
    <w:rsid w:val="03870C59"/>
    <w:rsid w:val="0388682E"/>
    <w:rsid w:val="038E05E4"/>
    <w:rsid w:val="038F464C"/>
    <w:rsid w:val="038F71C9"/>
    <w:rsid w:val="039447DF"/>
    <w:rsid w:val="039504BE"/>
    <w:rsid w:val="03964FF6"/>
    <w:rsid w:val="039667A9"/>
    <w:rsid w:val="039D18E6"/>
    <w:rsid w:val="03A762FF"/>
    <w:rsid w:val="03A964DC"/>
    <w:rsid w:val="03B03B10"/>
    <w:rsid w:val="03B31109"/>
    <w:rsid w:val="03B46C2F"/>
    <w:rsid w:val="03B629A7"/>
    <w:rsid w:val="03B64756"/>
    <w:rsid w:val="03B7227C"/>
    <w:rsid w:val="03BD5AE4"/>
    <w:rsid w:val="03BE5C4F"/>
    <w:rsid w:val="03C03826"/>
    <w:rsid w:val="03C230FA"/>
    <w:rsid w:val="03C27EA2"/>
    <w:rsid w:val="03C703C6"/>
    <w:rsid w:val="03C74BB5"/>
    <w:rsid w:val="03C9092D"/>
    <w:rsid w:val="03CA2E57"/>
    <w:rsid w:val="03CB27D1"/>
    <w:rsid w:val="03D90444"/>
    <w:rsid w:val="03DA2C61"/>
    <w:rsid w:val="03DF5130"/>
    <w:rsid w:val="03E017D2"/>
    <w:rsid w:val="03E312C3"/>
    <w:rsid w:val="03E50FF2"/>
    <w:rsid w:val="03E5503B"/>
    <w:rsid w:val="03FB485E"/>
    <w:rsid w:val="0400747C"/>
    <w:rsid w:val="04030E83"/>
    <w:rsid w:val="04041965"/>
    <w:rsid w:val="040A684F"/>
    <w:rsid w:val="040E4592"/>
    <w:rsid w:val="0410030A"/>
    <w:rsid w:val="041651F4"/>
    <w:rsid w:val="041B155C"/>
    <w:rsid w:val="0422003D"/>
    <w:rsid w:val="042767A6"/>
    <w:rsid w:val="042949B5"/>
    <w:rsid w:val="042C71E8"/>
    <w:rsid w:val="042F016D"/>
    <w:rsid w:val="04333FF8"/>
    <w:rsid w:val="04346662"/>
    <w:rsid w:val="043946E2"/>
    <w:rsid w:val="04397B42"/>
    <w:rsid w:val="043B617E"/>
    <w:rsid w:val="043F0BEF"/>
    <w:rsid w:val="043F4216"/>
    <w:rsid w:val="04402271"/>
    <w:rsid w:val="044A30F0"/>
    <w:rsid w:val="044B1342"/>
    <w:rsid w:val="04536448"/>
    <w:rsid w:val="045412A6"/>
    <w:rsid w:val="045521C0"/>
    <w:rsid w:val="045C5F3F"/>
    <w:rsid w:val="046905BC"/>
    <w:rsid w:val="04702B56"/>
    <w:rsid w:val="04717F2B"/>
    <w:rsid w:val="047D0B7A"/>
    <w:rsid w:val="047D5395"/>
    <w:rsid w:val="04865AED"/>
    <w:rsid w:val="049327EB"/>
    <w:rsid w:val="049B394B"/>
    <w:rsid w:val="049F5EA2"/>
    <w:rsid w:val="04AC5B58"/>
    <w:rsid w:val="04AC7907"/>
    <w:rsid w:val="04B05649"/>
    <w:rsid w:val="04B14F1D"/>
    <w:rsid w:val="04BD67DA"/>
    <w:rsid w:val="04C277B0"/>
    <w:rsid w:val="04C94AE8"/>
    <w:rsid w:val="04CB2483"/>
    <w:rsid w:val="04CB787B"/>
    <w:rsid w:val="04CC6F00"/>
    <w:rsid w:val="04D023C0"/>
    <w:rsid w:val="04D07C68"/>
    <w:rsid w:val="04D26EE9"/>
    <w:rsid w:val="04D41DEC"/>
    <w:rsid w:val="04D60397"/>
    <w:rsid w:val="04DC01EC"/>
    <w:rsid w:val="04E964C0"/>
    <w:rsid w:val="04F749ED"/>
    <w:rsid w:val="04FA4B16"/>
    <w:rsid w:val="04FC6AE0"/>
    <w:rsid w:val="04FD5AA2"/>
    <w:rsid w:val="04FF4E28"/>
    <w:rsid w:val="0506170D"/>
    <w:rsid w:val="050D4849"/>
    <w:rsid w:val="05112AD7"/>
    <w:rsid w:val="05123C0E"/>
    <w:rsid w:val="05145BD8"/>
    <w:rsid w:val="051733F7"/>
    <w:rsid w:val="051B4197"/>
    <w:rsid w:val="051E0804"/>
    <w:rsid w:val="052019BE"/>
    <w:rsid w:val="05202138"/>
    <w:rsid w:val="05266D56"/>
    <w:rsid w:val="05300538"/>
    <w:rsid w:val="05301EBD"/>
    <w:rsid w:val="05320D0F"/>
    <w:rsid w:val="05322502"/>
    <w:rsid w:val="05377B18"/>
    <w:rsid w:val="05485881"/>
    <w:rsid w:val="054C75FD"/>
    <w:rsid w:val="054F0FCF"/>
    <w:rsid w:val="055319C5"/>
    <w:rsid w:val="0559241C"/>
    <w:rsid w:val="05634CE7"/>
    <w:rsid w:val="056A0DEE"/>
    <w:rsid w:val="057448C8"/>
    <w:rsid w:val="057552BC"/>
    <w:rsid w:val="05764ABB"/>
    <w:rsid w:val="057B5C57"/>
    <w:rsid w:val="0581313D"/>
    <w:rsid w:val="058D24D1"/>
    <w:rsid w:val="058F1702"/>
    <w:rsid w:val="05904DF0"/>
    <w:rsid w:val="059509DC"/>
    <w:rsid w:val="059E5D7D"/>
    <w:rsid w:val="05A607FA"/>
    <w:rsid w:val="05A9017D"/>
    <w:rsid w:val="05A92A1D"/>
    <w:rsid w:val="05AB7BBE"/>
    <w:rsid w:val="05AC4062"/>
    <w:rsid w:val="05AD1B88"/>
    <w:rsid w:val="05AD3936"/>
    <w:rsid w:val="05AF50AF"/>
    <w:rsid w:val="05B31345"/>
    <w:rsid w:val="05C066A1"/>
    <w:rsid w:val="05C313AC"/>
    <w:rsid w:val="05C32781"/>
    <w:rsid w:val="05C960A8"/>
    <w:rsid w:val="05CD3FD8"/>
    <w:rsid w:val="05D101C9"/>
    <w:rsid w:val="05DA5EEA"/>
    <w:rsid w:val="05DB04A3"/>
    <w:rsid w:val="05DB4D76"/>
    <w:rsid w:val="05E11832"/>
    <w:rsid w:val="05E23D78"/>
    <w:rsid w:val="05EA6938"/>
    <w:rsid w:val="05F31C91"/>
    <w:rsid w:val="05F50EF0"/>
    <w:rsid w:val="05FB13A9"/>
    <w:rsid w:val="05FC77F7"/>
    <w:rsid w:val="0603356B"/>
    <w:rsid w:val="06066C9E"/>
    <w:rsid w:val="060728D6"/>
    <w:rsid w:val="06075A0A"/>
    <w:rsid w:val="0610032A"/>
    <w:rsid w:val="06110369"/>
    <w:rsid w:val="06113EC5"/>
    <w:rsid w:val="0616772D"/>
    <w:rsid w:val="06191E5D"/>
    <w:rsid w:val="061956E2"/>
    <w:rsid w:val="061B6B64"/>
    <w:rsid w:val="062819C7"/>
    <w:rsid w:val="062F259D"/>
    <w:rsid w:val="0636566F"/>
    <w:rsid w:val="06383B4E"/>
    <w:rsid w:val="063E0A32"/>
    <w:rsid w:val="064F0F69"/>
    <w:rsid w:val="06565574"/>
    <w:rsid w:val="065B7836"/>
    <w:rsid w:val="067370A2"/>
    <w:rsid w:val="06742FE1"/>
    <w:rsid w:val="0675449A"/>
    <w:rsid w:val="068070AE"/>
    <w:rsid w:val="068154EF"/>
    <w:rsid w:val="06872B7E"/>
    <w:rsid w:val="068F128E"/>
    <w:rsid w:val="06986394"/>
    <w:rsid w:val="06A02A96"/>
    <w:rsid w:val="06A05249"/>
    <w:rsid w:val="06A26CA3"/>
    <w:rsid w:val="06A965EA"/>
    <w:rsid w:val="06AB60C8"/>
    <w:rsid w:val="06AC59C3"/>
    <w:rsid w:val="06B34F7C"/>
    <w:rsid w:val="06B50CF4"/>
    <w:rsid w:val="06BB2083"/>
    <w:rsid w:val="06C05AE9"/>
    <w:rsid w:val="06C7174C"/>
    <w:rsid w:val="06CB0518"/>
    <w:rsid w:val="06D25D4A"/>
    <w:rsid w:val="06D33870"/>
    <w:rsid w:val="06D4297A"/>
    <w:rsid w:val="06E25FDD"/>
    <w:rsid w:val="06ED47ED"/>
    <w:rsid w:val="06F061D0"/>
    <w:rsid w:val="06F5476D"/>
    <w:rsid w:val="06FA2997"/>
    <w:rsid w:val="06FB3B03"/>
    <w:rsid w:val="0703215A"/>
    <w:rsid w:val="070659F4"/>
    <w:rsid w:val="07071B14"/>
    <w:rsid w:val="070B300A"/>
    <w:rsid w:val="070E6657"/>
    <w:rsid w:val="07100953"/>
    <w:rsid w:val="071023CF"/>
    <w:rsid w:val="07142629"/>
    <w:rsid w:val="07183108"/>
    <w:rsid w:val="071E49B8"/>
    <w:rsid w:val="07254947"/>
    <w:rsid w:val="07261BF2"/>
    <w:rsid w:val="072916E2"/>
    <w:rsid w:val="072F7455"/>
    <w:rsid w:val="07322345"/>
    <w:rsid w:val="07391925"/>
    <w:rsid w:val="073D0CEA"/>
    <w:rsid w:val="07414C7E"/>
    <w:rsid w:val="07431599"/>
    <w:rsid w:val="074327A4"/>
    <w:rsid w:val="0744651C"/>
    <w:rsid w:val="074B78AB"/>
    <w:rsid w:val="074C0C33"/>
    <w:rsid w:val="074E5043"/>
    <w:rsid w:val="07666B24"/>
    <w:rsid w:val="0768220B"/>
    <w:rsid w:val="076E166C"/>
    <w:rsid w:val="07730866"/>
    <w:rsid w:val="07791C71"/>
    <w:rsid w:val="077C5907"/>
    <w:rsid w:val="077F0CC2"/>
    <w:rsid w:val="0781151E"/>
    <w:rsid w:val="07830DF3"/>
    <w:rsid w:val="07837045"/>
    <w:rsid w:val="0784404A"/>
    <w:rsid w:val="079007BE"/>
    <w:rsid w:val="07944DAE"/>
    <w:rsid w:val="0797664C"/>
    <w:rsid w:val="07A56FBB"/>
    <w:rsid w:val="07A57B7A"/>
    <w:rsid w:val="07AD6524"/>
    <w:rsid w:val="07AF3996"/>
    <w:rsid w:val="07BE62CF"/>
    <w:rsid w:val="07C10049"/>
    <w:rsid w:val="07C1191B"/>
    <w:rsid w:val="07C661AD"/>
    <w:rsid w:val="07CA07CF"/>
    <w:rsid w:val="07D610FA"/>
    <w:rsid w:val="07D636FB"/>
    <w:rsid w:val="07DC6674"/>
    <w:rsid w:val="07E775D3"/>
    <w:rsid w:val="07EA0E72"/>
    <w:rsid w:val="07F92E63"/>
    <w:rsid w:val="08006B84"/>
    <w:rsid w:val="080261C5"/>
    <w:rsid w:val="0808579C"/>
    <w:rsid w:val="08093EB2"/>
    <w:rsid w:val="080D690E"/>
    <w:rsid w:val="081303C8"/>
    <w:rsid w:val="08173870"/>
    <w:rsid w:val="08206641"/>
    <w:rsid w:val="08230F87"/>
    <w:rsid w:val="082422EC"/>
    <w:rsid w:val="08253C58"/>
    <w:rsid w:val="082779D0"/>
    <w:rsid w:val="082C6F3C"/>
    <w:rsid w:val="083042AF"/>
    <w:rsid w:val="083A2BDA"/>
    <w:rsid w:val="08400A92"/>
    <w:rsid w:val="08436280"/>
    <w:rsid w:val="084A7B62"/>
    <w:rsid w:val="084B332C"/>
    <w:rsid w:val="084E7652"/>
    <w:rsid w:val="0854453D"/>
    <w:rsid w:val="08606B5E"/>
    <w:rsid w:val="08607386"/>
    <w:rsid w:val="08630E95"/>
    <w:rsid w:val="086546E7"/>
    <w:rsid w:val="08670714"/>
    <w:rsid w:val="086D65A0"/>
    <w:rsid w:val="08776570"/>
    <w:rsid w:val="087A1FE2"/>
    <w:rsid w:val="087E3640"/>
    <w:rsid w:val="087F635C"/>
    <w:rsid w:val="088156A4"/>
    <w:rsid w:val="08832E5A"/>
    <w:rsid w:val="089B41E1"/>
    <w:rsid w:val="089D7C92"/>
    <w:rsid w:val="08AD5A2D"/>
    <w:rsid w:val="08AE1E9F"/>
    <w:rsid w:val="08AF79C5"/>
    <w:rsid w:val="08B11B50"/>
    <w:rsid w:val="08B35707"/>
    <w:rsid w:val="08B4698B"/>
    <w:rsid w:val="08B65C4F"/>
    <w:rsid w:val="08B864ED"/>
    <w:rsid w:val="08BD20E2"/>
    <w:rsid w:val="08CC0577"/>
    <w:rsid w:val="08D03299"/>
    <w:rsid w:val="08D77648"/>
    <w:rsid w:val="08DC4205"/>
    <w:rsid w:val="08DE4E3E"/>
    <w:rsid w:val="08E7715F"/>
    <w:rsid w:val="08EA67AB"/>
    <w:rsid w:val="08EC29C7"/>
    <w:rsid w:val="08F024B8"/>
    <w:rsid w:val="08F14A40"/>
    <w:rsid w:val="08F17FDE"/>
    <w:rsid w:val="08F655F4"/>
    <w:rsid w:val="08F96B7B"/>
    <w:rsid w:val="090B5543"/>
    <w:rsid w:val="09102B5A"/>
    <w:rsid w:val="09136E47"/>
    <w:rsid w:val="0915397B"/>
    <w:rsid w:val="09170E66"/>
    <w:rsid w:val="091B0828"/>
    <w:rsid w:val="091B371D"/>
    <w:rsid w:val="091B3E65"/>
    <w:rsid w:val="091C2116"/>
    <w:rsid w:val="09265E00"/>
    <w:rsid w:val="09265ED9"/>
    <w:rsid w:val="09322867"/>
    <w:rsid w:val="09384F1B"/>
    <w:rsid w:val="093A7BD7"/>
    <w:rsid w:val="093F16AA"/>
    <w:rsid w:val="093F6F9B"/>
    <w:rsid w:val="09434CEA"/>
    <w:rsid w:val="09464C57"/>
    <w:rsid w:val="094840A2"/>
    <w:rsid w:val="09545CCC"/>
    <w:rsid w:val="095A2027"/>
    <w:rsid w:val="095D5673"/>
    <w:rsid w:val="095F763D"/>
    <w:rsid w:val="09645392"/>
    <w:rsid w:val="09667CD5"/>
    <w:rsid w:val="096B5FE2"/>
    <w:rsid w:val="097906FF"/>
    <w:rsid w:val="097B701A"/>
    <w:rsid w:val="097E7F9F"/>
    <w:rsid w:val="098E04CC"/>
    <w:rsid w:val="098F1CD1"/>
    <w:rsid w:val="09972933"/>
    <w:rsid w:val="099B6D19"/>
    <w:rsid w:val="099D7EF0"/>
    <w:rsid w:val="09A03EDE"/>
    <w:rsid w:val="09A26A6E"/>
    <w:rsid w:val="09A27AF1"/>
    <w:rsid w:val="09A3752A"/>
    <w:rsid w:val="09A454D4"/>
    <w:rsid w:val="09A6701A"/>
    <w:rsid w:val="09A84B40"/>
    <w:rsid w:val="09AB3A07"/>
    <w:rsid w:val="09AD65FB"/>
    <w:rsid w:val="09B63701"/>
    <w:rsid w:val="09B712F8"/>
    <w:rsid w:val="09BA4874"/>
    <w:rsid w:val="09C6361A"/>
    <w:rsid w:val="09CB1E39"/>
    <w:rsid w:val="09D771D4"/>
    <w:rsid w:val="09E27CC3"/>
    <w:rsid w:val="09E75808"/>
    <w:rsid w:val="09E75CFA"/>
    <w:rsid w:val="09F14268"/>
    <w:rsid w:val="09F26440"/>
    <w:rsid w:val="09F636DA"/>
    <w:rsid w:val="09FC30DE"/>
    <w:rsid w:val="09FE6E56"/>
    <w:rsid w:val="0A014251"/>
    <w:rsid w:val="0A037FC9"/>
    <w:rsid w:val="0A057901"/>
    <w:rsid w:val="0A081AF4"/>
    <w:rsid w:val="0A1B3EF4"/>
    <w:rsid w:val="0A204D04"/>
    <w:rsid w:val="0A222B45"/>
    <w:rsid w:val="0A256191"/>
    <w:rsid w:val="0A27015B"/>
    <w:rsid w:val="0A287A2F"/>
    <w:rsid w:val="0A2F5774"/>
    <w:rsid w:val="0A301C24"/>
    <w:rsid w:val="0A342878"/>
    <w:rsid w:val="0A344626"/>
    <w:rsid w:val="0A3462F8"/>
    <w:rsid w:val="0A39196E"/>
    <w:rsid w:val="0A396DF2"/>
    <w:rsid w:val="0A3D172D"/>
    <w:rsid w:val="0A41219B"/>
    <w:rsid w:val="0A4528B0"/>
    <w:rsid w:val="0A466107"/>
    <w:rsid w:val="0A492610"/>
    <w:rsid w:val="0A4C04BA"/>
    <w:rsid w:val="0A4C7BC2"/>
    <w:rsid w:val="0A4D0CDE"/>
    <w:rsid w:val="0A5426D3"/>
    <w:rsid w:val="0A5A37BD"/>
    <w:rsid w:val="0A6A44EC"/>
    <w:rsid w:val="0A6C4B12"/>
    <w:rsid w:val="0A79499C"/>
    <w:rsid w:val="0A7F55A7"/>
    <w:rsid w:val="0A7F7F97"/>
    <w:rsid w:val="0A8530D4"/>
    <w:rsid w:val="0A8A06EA"/>
    <w:rsid w:val="0A8A2498"/>
    <w:rsid w:val="0A8D7A1D"/>
    <w:rsid w:val="0A93759F"/>
    <w:rsid w:val="0A943317"/>
    <w:rsid w:val="0A982533"/>
    <w:rsid w:val="0A982E07"/>
    <w:rsid w:val="0A983796"/>
    <w:rsid w:val="0A9C4D1B"/>
    <w:rsid w:val="0AA41D45"/>
    <w:rsid w:val="0AA572D2"/>
    <w:rsid w:val="0AAC2517"/>
    <w:rsid w:val="0AB1211B"/>
    <w:rsid w:val="0AB6328D"/>
    <w:rsid w:val="0ABD092B"/>
    <w:rsid w:val="0ABD1DE7"/>
    <w:rsid w:val="0AC459AA"/>
    <w:rsid w:val="0AD2512D"/>
    <w:rsid w:val="0ADA736B"/>
    <w:rsid w:val="0AE0030A"/>
    <w:rsid w:val="0AEE0C79"/>
    <w:rsid w:val="0AF049F1"/>
    <w:rsid w:val="0B020B1A"/>
    <w:rsid w:val="0B0D3F2D"/>
    <w:rsid w:val="0B1103B5"/>
    <w:rsid w:val="0B156DBB"/>
    <w:rsid w:val="0B163D2C"/>
    <w:rsid w:val="0B185CF6"/>
    <w:rsid w:val="0B1A3A0F"/>
    <w:rsid w:val="0B2577DD"/>
    <w:rsid w:val="0B27035A"/>
    <w:rsid w:val="0B2E376B"/>
    <w:rsid w:val="0B325009"/>
    <w:rsid w:val="0B331BEE"/>
    <w:rsid w:val="0B373C50"/>
    <w:rsid w:val="0B424B21"/>
    <w:rsid w:val="0B462863"/>
    <w:rsid w:val="0B472137"/>
    <w:rsid w:val="0B4A1EE6"/>
    <w:rsid w:val="0B505490"/>
    <w:rsid w:val="0B50723E"/>
    <w:rsid w:val="0B52745A"/>
    <w:rsid w:val="0B534F80"/>
    <w:rsid w:val="0B5807E8"/>
    <w:rsid w:val="0B5C5BE2"/>
    <w:rsid w:val="0B5E5DFE"/>
    <w:rsid w:val="0B643A83"/>
    <w:rsid w:val="0B6674DB"/>
    <w:rsid w:val="0B673342"/>
    <w:rsid w:val="0B6B051B"/>
    <w:rsid w:val="0B765B5B"/>
    <w:rsid w:val="0B776EC0"/>
    <w:rsid w:val="0B7B48B7"/>
    <w:rsid w:val="0B7D02A4"/>
    <w:rsid w:val="0B863BF7"/>
    <w:rsid w:val="0B8A2CB3"/>
    <w:rsid w:val="0B8E420A"/>
    <w:rsid w:val="0B913E8A"/>
    <w:rsid w:val="0B9A495D"/>
    <w:rsid w:val="0B9A5DD0"/>
    <w:rsid w:val="0B9E444D"/>
    <w:rsid w:val="0BA1483B"/>
    <w:rsid w:val="0BA17A99"/>
    <w:rsid w:val="0BB2614A"/>
    <w:rsid w:val="0BB974D9"/>
    <w:rsid w:val="0BBA0B5B"/>
    <w:rsid w:val="0BC11EE9"/>
    <w:rsid w:val="0BC13363"/>
    <w:rsid w:val="0BC471C3"/>
    <w:rsid w:val="0BD25EA5"/>
    <w:rsid w:val="0BDB04F2"/>
    <w:rsid w:val="0BDE0CED"/>
    <w:rsid w:val="0BDF05C2"/>
    <w:rsid w:val="0BDF1960"/>
    <w:rsid w:val="0BE040C7"/>
    <w:rsid w:val="0BE0558A"/>
    <w:rsid w:val="0BE662D4"/>
    <w:rsid w:val="0BE965C3"/>
    <w:rsid w:val="0BED48A0"/>
    <w:rsid w:val="0BF027CF"/>
    <w:rsid w:val="0BF24799"/>
    <w:rsid w:val="0BF26547"/>
    <w:rsid w:val="0BF34EFE"/>
    <w:rsid w:val="0BF57DE5"/>
    <w:rsid w:val="0BFC1173"/>
    <w:rsid w:val="0BFC3982"/>
    <w:rsid w:val="0BFE6C9A"/>
    <w:rsid w:val="0C000C64"/>
    <w:rsid w:val="0C020FC2"/>
    <w:rsid w:val="0C033192"/>
    <w:rsid w:val="0C05627A"/>
    <w:rsid w:val="0C061FF2"/>
    <w:rsid w:val="0C0629C4"/>
    <w:rsid w:val="0C063DA0"/>
    <w:rsid w:val="0C103E4C"/>
    <w:rsid w:val="0C1849DB"/>
    <w:rsid w:val="0C1A6669"/>
    <w:rsid w:val="0C1B19EF"/>
    <w:rsid w:val="0C1B2FEA"/>
    <w:rsid w:val="0C1C1DCA"/>
    <w:rsid w:val="0C1D75DB"/>
    <w:rsid w:val="0C28640C"/>
    <w:rsid w:val="0C290949"/>
    <w:rsid w:val="0C2C3645"/>
    <w:rsid w:val="0C2D70D0"/>
    <w:rsid w:val="0C2F32F7"/>
    <w:rsid w:val="0C303F66"/>
    <w:rsid w:val="0C306CDD"/>
    <w:rsid w:val="0C360E8F"/>
    <w:rsid w:val="0C3923C8"/>
    <w:rsid w:val="0C3B2421"/>
    <w:rsid w:val="0C3B7EEE"/>
    <w:rsid w:val="0C442DF5"/>
    <w:rsid w:val="0C45497E"/>
    <w:rsid w:val="0C480B20"/>
    <w:rsid w:val="0C4A6383"/>
    <w:rsid w:val="0C580AA0"/>
    <w:rsid w:val="0C585049"/>
    <w:rsid w:val="0C6236CC"/>
    <w:rsid w:val="0C637445"/>
    <w:rsid w:val="0C6D20DD"/>
    <w:rsid w:val="0C7068B5"/>
    <w:rsid w:val="0C71390F"/>
    <w:rsid w:val="0C790A16"/>
    <w:rsid w:val="0C7A1F06"/>
    <w:rsid w:val="0C7C5F29"/>
    <w:rsid w:val="0C840F3B"/>
    <w:rsid w:val="0C844FAD"/>
    <w:rsid w:val="0C882441"/>
    <w:rsid w:val="0C882A07"/>
    <w:rsid w:val="0C9304F4"/>
    <w:rsid w:val="0C930D9B"/>
    <w:rsid w:val="0C963756"/>
    <w:rsid w:val="0C965124"/>
    <w:rsid w:val="0C9B1C67"/>
    <w:rsid w:val="0C9B6363"/>
    <w:rsid w:val="0CA53190"/>
    <w:rsid w:val="0CA73CCE"/>
    <w:rsid w:val="0CA912FB"/>
    <w:rsid w:val="0CA93235"/>
    <w:rsid w:val="0CB14DBB"/>
    <w:rsid w:val="0CB35563"/>
    <w:rsid w:val="0CB4526C"/>
    <w:rsid w:val="0CB71D6A"/>
    <w:rsid w:val="0CB90561"/>
    <w:rsid w:val="0CBE28CD"/>
    <w:rsid w:val="0CC100FC"/>
    <w:rsid w:val="0CC46135"/>
    <w:rsid w:val="0CCC2193"/>
    <w:rsid w:val="0CCC48E0"/>
    <w:rsid w:val="0CCF6888"/>
    <w:rsid w:val="0CDA1FB7"/>
    <w:rsid w:val="0CEA53B1"/>
    <w:rsid w:val="0CF87B8D"/>
    <w:rsid w:val="0D005C6E"/>
    <w:rsid w:val="0D044068"/>
    <w:rsid w:val="0D077DD0"/>
    <w:rsid w:val="0D10531B"/>
    <w:rsid w:val="0D1424ED"/>
    <w:rsid w:val="0D201789"/>
    <w:rsid w:val="0D215336"/>
    <w:rsid w:val="0D327D12"/>
    <w:rsid w:val="0D337707"/>
    <w:rsid w:val="0D352B8F"/>
    <w:rsid w:val="0D3D37F2"/>
    <w:rsid w:val="0D424501"/>
    <w:rsid w:val="0D4B0E2B"/>
    <w:rsid w:val="0D556D8D"/>
    <w:rsid w:val="0D587038"/>
    <w:rsid w:val="0D5D20E6"/>
    <w:rsid w:val="0D5F347D"/>
    <w:rsid w:val="0D643474"/>
    <w:rsid w:val="0D676AC1"/>
    <w:rsid w:val="0D692839"/>
    <w:rsid w:val="0D696CDD"/>
    <w:rsid w:val="0D6C21DC"/>
    <w:rsid w:val="0D6C40D7"/>
    <w:rsid w:val="0D6D2C75"/>
    <w:rsid w:val="0D705975"/>
    <w:rsid w:val="0D745F8E"/>
    <w:rsid w:val="0D750129"/>
    <w:rsid w:val="0D7948CC"/>
    <w:rsid w:val="0D8B27AF"/>
    <w:rsid w:val="0D9D1FC6"/>
    <w:rsid w:val="0DA41AC3"/>
    <w:rsid w:val="0DA86D15"/>
    <w:rsid w:val="0DAC149F"/>
    <w:rsid w:val="0DB17280"/>
    <w:rsid w:val="0DB367A1"/>
    <w:rsid w:val="0DB717F6"/>
    <w:rsid w:val="0DBD5C56"/>
    <w:rsid w:val="0DCB52D1"/>
    <w:rsid w:val="0DCB704F"/>
    <w:rsid w:val="0DCC56DE"/>
    <w:rsid w:val="0DCD5205"/>
    <w:rsid w:val="0DCE2B4B"/>
    <w:rsid w:val="0DCE6B40"/>
    <w:rsid w:val="0DD241D8"/>
    <w:rsid w:val="0DD36B0A"/>
    <w:rsid w:val="0DD63C01"/>
    <w:rsid w:val="0DDC74AE"/>
    <w:rsid w:val="0DDF6F9F"/>
    <w:rsid w:val="0DE2583B"/>
    <w:rsid w:val="0DEB76F2"/>
    <w:rsid w:val="0DF522C3"/>
    <w:rsid w:val="0DFF319D"/>
    <w:rsid w:val="0E003ACA"/>
    <w:rsid w:val="0E093C22"/>
    <w:rsid w:val="0E0A3916"/>
    <w:rsid w:val="0E0F33E0"/>
    <w:rsid w:val="0E107158"/>
    <w:rsid w:val="0E121D8E"/>
    <w:rsid w:val="0E131CA0"/>
    <w:rsid w:val="0E1369C5"/>
    <w:rsid w:val="0E1A3DDD"/>
    <w:rsid w:val="0E1B41B2"/>
    <w:rsid w:val="0E286551"/>
    <w:rsid w:val="0E2973EE"/>
    <w:rsid w:val="0E2D7D0A"/>
    <w:rsid w:val="0E320795"/>
    <w:rsid w:val="0E365472"/>
    <w:rsid w:val="0E4312DC"/>
    <w:rsid w:val="0E456E02"/>
    <w:rsid w:val="0E480C8F"/>
    <w:rsid w:val="0E4D7882"/>
    <w:rsid w:val="0E527771"/>
    <w:rsid w:val="0E547045"/>
    <w:rsid w:val="0E576B35"/>
    <w:rsid w:val="0E5928AD"/>
    <w:rsid w:val="0E5E4367"/>
    <w:rsid w:val="0E5E6115"/>
    <w:rsid w:val="0E611DA6"/>
    <w:rsid w:val="0E67321C"/>
    <w:rsid w:val="0E6A3E69"/>
    <w:rsid w:val="0E707BD8"/>
    <w:rsid w:val="0E740BDD"/>
    <w:rsid w:val="0E796AAB"/>
    <w:rsid w:val="0E7F40C2"/>
    <w:rsid w:val="0E8433D4"/>
    <w:rsid w:val="0E8662A9"/>
    <w:rsid w:val="0E8A2A67"/>
    <w:rsid w:val="0E8D07A9"/>
    <w:rsid w:val="0E9B42D5"/>
    <w:rsid w:val="0E9C09EC"/>
    <w:rsid w:val="0E9C1129"/>
    <w:rsid w:val="0EA16002"/>
    <w:rsid w:val="0EA224A6"/>
    <w:rsid w:val="0EA87E5A"/>
    <w:rsid w:val="0EAC0C2F"/>
    <w:rsid w:val="0EAF2A15"/>
    <w:rsid w:val="0EB31F1A"/>
    <w:rsid w:val="0EB83A78"/>
    <w:rsid w:val="0EC904D1"/>
    <w:rsid w:val="0EC91CCF"/>
    <w:rsid w:val="0ECF323A"/>
    <w:rsid w:val="0ED63EFE"/>
    <w:rsid w:val="0ED65CAC"/>
    <w:rsid w:val="0ED703BB"/>
    <w:rsid w:val="0ED77DDA"/>
    <w:rsid w:val="0EE52393"/>
    <w:rsid w:val="0EED7507"/>
    <w:rsid w:val="0EEF3211"/>
    <w:rsid w:val="0EFA2408"/>
    <w:rsid w:val="0EFF545D"/>
    <w:rsid w:val="0F102E43"/>
    <w:rsid w:val="0F113188"/>
    <w:rsid w:val="0F1D38DB"/>
    <w:rsid w:val="0F2065EE"/>
    <w:rsid w:val="0F226A1C"/>
    <w:rsid w:val="0F276507"/>
    <w:rsid w:val="0F2A6BAB"/>
    <w:rsid w:val="0F2F3540"/>
    <w:rsid w:val="0F3B1FB3"/>
    <w:rsid w:val="0F406842"/>
    <w:rsid w:val="0F451E3B"/>
    <w:rsid w:val="0F4F5A5E"/>
    <w:rsid w:val="0F5512C6"/>
    <w:rsid w:val="0F56538B"/>
    <w:rsid w:val="0F582B65"/>
    <w:rsid w:val="0F5B2655"/>
    <w:rsid w:val="0F5F4247"/>
    <w:rsid w:val="0F601A19"/>
    <w:rsid w:val="0F64150A"/>
    <w:rsid w:val="0F6C6939"/>
    <w:rsid w:val="0F6D20D2"/>
    <w:rsid w:val="0F8A2B0D"/>
    <w:rsid w:val="0F8F1193"/>
    <w:rsid w:val="0F9569FD"/>
    <w:rsid w:val="0F9C6EF5"/>
    <w:rsid w:val="0F9F2542"/>
    <w:rsid w:val="0FA316FB"/>
    <w:rsid w:val="0FA62B5E"/>
    <w:rsid w:val="0FB0474F"/>
    <w:rsid w:val="0FB3423F"/>
    <w:rsid w:val="0FB513D3"/>
    <w:rsid w:val="0FB7580F"/>
    <w:rsid w:val="0FB91B9D"/>
    <w:rsid w:val="0FBD5A9B"/>
    <w:rsid w:val="0FBE5EAD"/>
    <w:rsid w:val="0FC05FDF"/>
    <w:rsid w:val="0FC4372A"/>
    <w:rsid w:val="0FD0094D"/>
    <w:rsid w:val="0FD50659"/>
    <w:rsid w:val="0FD61908"/>
    <w:rsid w:val="0FDF5034"/>
    <w:rsid w:val="0FE04AD9"/>
    <w:rsid w:val="0FE26DAE"/>
    <w:rsid w:val="0FF16A19"/>
    <w:rsid w:val="0FF20D66"/>
    <w:rsid w:val="0FF24D67"/>
    <w:rsid w:val="0FF26B15"/>
    <w:rsid w:val="0FF54858"/>
    <w:rsid w:val="0FF756C0"/>
    <w:rsid w:val="0FF94348"/>
    <w:rsid w:val="0FFA3C1C"/>
    <w:rsid w:val="0FFC339B"/>
    <w:rsid w:val="0FFE1530"/>
    <w:rsid w:val="10046849"/>
    <w:rsid w:val="10131BD6"/>
    <w:rsid w:val="10142F30"/>
    <w:rsid w:val="101504F3"/>
    <w:rsid w:val="10195A9F"/>
    <w:rsid w:val="101E3381"/>
    <w:rsid w:val="10240C99"/>
    <w:rsid w:val="102D1F36"/>
    <w:rsid w:val="102E08A7"/>
    <w:rsid w:val="102F3B52"/>
    <w:rsid w:val="10337AA3"/>
    <w:rsid w:val="103510F8"/>
    <w:rsid w:val="10383D9A"/>
    <w:rsid w:val="103F5AD3"/>
    <w:rsid w:val="1047079D"/>
    <w:rsid w:val="104A4BA3"/>
    <w:rsid w:val="104B26C9"/>
    <w:rsid w:val="104C69D0"/>
    <w:rsid w:val="105037D0"/>
    <w:rsid w:val="1052183E"/>
    <w:rsid w:val="10526CD3"/>
    <w:rsid w:val="105477D0"/>
    <w:rsid w:val="1055184B"/>
    <w:rsid w:val="105A46BB"/>
    <w:rsid w:val="105E41AB"/>
    <w:rsid w:val="1062398A"/>
    <w:rsid w:val="106612B1"/>
    <w:rsid w:val="106A2B50"/>
    <w:rsid w:val="106B1EF6"/>
    <w:rsid w:val="10763A0F"/>
    <w:rsid w:val="10797237"/>
    <w:rsid w:val="108249F4"/>
    <w:rsid w:val="10913842"/>
    <w:rsid w:val="1096161A"/>
    <w:rsid w:val="1097521A"/>
    <w:rsid w:val="10996AC9"/>
    <w:rsid w:val="109A0F5B"/>
    <w:rsid w:val="109E39C3"/>
    <w:rsid w:val="10A35A55"/>
    <w:rsid w:val="10A5455F"/>
    <w:rsid w:val="10A54D78"/>
    <w:rsid w:val="10AD36C9"/>
    <w:rsid w:val="10AE3B69"/>
    <w:rsid w:val="10B63FE7"/>
    <w:rsid w:val="10BB15FD"/>
    <w:rsid w:val="10C94673"/>
    <w:rsid w:val="10CC295C"/>
    <w:rsid w:val="10CD30DE"/>
    <w:rsid w:val="10D26947"/>
    <w:rsid w:val="10D5129D"/>
    <w:rsid w:val="10DD23B5"/>
    <w:rsid w:val="10E36DA6"/>
    <w:rsid w:val="10E723F2"/>
    <w:rsid w:val="10EC7A09"/>
    <w:rsid w:val="10F22B45"/>
    <w:rsid w:val="10F36FE9"/>
    <w:rsid w:val="10F51D5F"/>
    <w:rsid w:val="10FA4306"/>
    <w:rsid w:val="11076FDE"/>
    <w:rsid w:val="110B23A1"/>
    <w:rsid w:val="110E3B34"/>
    <w:rsid w:val="111D2249"/>
    <w:rsid w:val="111D76A0"/>
    <w:rsid w:val="1122167C"/>
    <w:rsid w:val="11273833"/>
    <w:rsid w:val="112D6EFE"/>
    <w:rsid w:val="11317B11"/>
    <w:rsid w:val="11365128"/>
    <w:rsid w:val="113925E2"/>
    <w:rsid w:val="113D0264"/>
    <w:rsid w:val="114C08A1"/>
    <w:rsid w:val="114C66F9"/>
    <w:rsid w:val="11551A52"/>
    <w:rsid w:val="115856ED"/>
    <w:rsid w:val="115A7068"/>
    <w:rsid w:val="115B1D80"/>
    <w:rsid w:val="115B6517"/>
    <w:rsid w:val="116855BB"/>
    <w:rsid w:val="116A4DD1"/>
    <w:rsid w:val="116B5CE4"/>
    <w:rsid w:val="116F23E8"/>
    <w:rsid w:val="117619C8"/>
    <w:rsid w:val="11777669"/>
    <w:rsid w:val="117D2D56"/>
    <w:rsid w:val="1183339A"/>
    <w:rsid w:val="11852E6A"/>
    <w:rsid w:val="11867E5D"/>
    <w:rsid w:val="11875983"/>
    <w:rsid w:val="118E6D12"/>
    <w:rsid w:val="11916802"/>
    <w:rsid w:val="119500A0"/>
    <w:rsid w:val="119A7465"/>
    <w:rsid w:val="119D51A7"/>
    <w:rsid w:val="119F2CCD"/>
    <w:rsid w:val="11A26319"/>
    <w:rsid w:val="11A55E09"/>
    <w:rsid w:val="11AB78C4"/>
    <w:rsid w:val="11B20C52"/>
    <w:rsid w:val="11B7030E"/>
    <w:rsid w:val="11B7419F"/>
    <w:rsid w:val="11BA5F58"/>
    <w:rsid w:val="11BB6D34"/>
    <w:rsid w:val="11C314B3"/>
    <w:rsid w:val="11C9307C"/>
    <w:rsid w:val="11CC2F6D"/>
    <w:rsid w:val="11D80BFA"/>
    <w:rsid w:val="11D8716E"/>
    <w:rsid w:val="11DC3D4F"/>
    <w:rsid w:val="11DC4155"/>
    <w:rsid w:val="11DD252D"/>
    <w:rsid w:val="11F1104F"/>
    <w:rsid w:val="11FC011F"/>
    <w:rsid w:val="12052788"/>
    <w:rsid w:val="120A3E26"/>
    <w:rsid w:val="120D2C1C"/>
    <w:rsid w:val="121216F1"/>
    <w:rsid w:val="12137217"/>
    <w:rsid w:val="12137362"/>
    <w:rsid w:val="12180BFC"/>
    <w:rsid w:val="1218482D"/>
    <w:rsid w:val="121865DB"/>
    <w:rsid w:val="121C2E46"/>
    <w:rsid w:val="12216FBB"/>
    <w:rsid w:val="122968D9"/>
    <w:rsid w:val="122E015F"/>
    <w:rsid w:val="12331667"/>
    <w:rsid w:val="12380A2C"/>
    <w:rsid w:val="123B37FA"/>
    <w:rsid w:val="123D337B"/>
    <w:rsid w:val="12435284"/>
    <w:rsid w:val="12443874"/>
    <w:rsid w:val="124620EB"/>
    <w:rsid w:val="124C0DF9"/>
    <w:rsid w:val="124F7385"/>
    <w:rsid w:val="12525F91"/>
    <w:rsid w:val="12543AB7"/>
    <w:rsid w:val="125A71F7"/>
    <w:rsid w:val="125C7FC2"/>
    <w:rsid w:val="125D0444"/>
    <w:rsid w:val="125F29AF"/>
    <w:rsid w:val="12620345"/>
    <w:rsid w:val="126976C2"/>
    <w:rsid w:val="126D6879"/>
    <w:rsid w:val="126F6B43"/>
    <w:rsid w:val="127759F8"/>
    <w:rsid w:val="128027A2"/>
    <w:rsid w:val="12837EF9"/>
    <w:rsid w:val="128722C2"/>
    <w:rsid w:val="1288550F"/>
    <w:rsid w:val="128A74D9"/>
    <w:rsid w:val="128F4AEF"/>
    <w:rsid w:val="129E4D32"/>
    <w:rsid w:val="12A54313"/>
    <w:rsid w:val="12B34203"/>
    <w:rsid w:val="12B45B4E"/>
    <w:rsid w:val="12B74046"/>
    <w:rsid w:val="12B819AE"/>
    <w:rsid w:val="12B91D33"/>
    <w:rsid w:val="12BC78AF"/>
    <w:rsid w:val="12BE7C8A"/>
    <w:rsid w:val="12C0739F"/>
    <w:rsid w:val="12CF5612"/>
    <w:rsid w:val="12D469A6"/>
    <w:rsid w:val="12DE5103"/>
    <w:rsid w:val="12E27315"/>
    <w:rsid w:val="12E56E05"/>
    <w:rsid w:val="12E9448A"/>
    <w:rsid w:val="12ED20AD"/>
    <w:rsid w:val="12EF594B"/>
    <w:rsid w:val="12F96A27"/>
    <w:rsid w:val="12FE7BB6"/>
    <w:rsid w:val="13001549"/>
    <w:rsid w:val="13021765"/>
    <w:rsid w:val="130B2EC0"/>
    <w:rsid w:val="130B70C3"/>
    <w:rsid w:val="13103CB9"/>
    <w:rsid w:val="13113756"/>
    <w:rsid w:val="13152E98"/>
    <w:rsid w:val="13175B55"/>
    <w:rsid w:val="132809FA"/>
    <w:rsid w:val="133A44C3"/>
    <w:rsid w:val="134B7033"/>
    <w:rsid w:val="134E20A5"/>
    <w:rsid w:val="134F0221"/>
    <w:rsid w:val="13545D39"/>
    <w:rsid w:val="13547AE7"/>
    <w:rsid w:val="13573133"/>
    <w:rsid w:val="13581385"/>
    <w:rsid w:val="135875D7"/>
    <w:rsid w:val="135A334F"/>
    <w:rsid w:val="135A36CB"/>
    <w:rsid w:val="135E44C2"/>
    <w:rsid w:val="13602AC4"/>
    <w:rsid w:val="13632714"/>
    <w:rsid w:val="13641FB2"/>
    <w:rsid w:val="136C3083"/>
    <w:rsid w:val="13734411"/>
    <w:rsid w:val="13765CAF"/>
    <w:rsid w:val="137F1409"/>
    <w:rsid w:val="138C2F74"/>
    <w:rsid w:val="138C7213"/>
    <w:rsid w:val="138F74A5"/>
    <w:rsid w:val="139F49B9"/>
    <w:rsid w:val="13A303FD"/>
    <w:rsid w:val="13A55C3B"/>
    <w:rsid w:val="13AA1353"/>
    <w:rsid w:val="13AB4A27"/>
    <w:rsid w:val="13AE369B"/>
    <w:rsid w:val="13AE5449"/>
    <w:rsid w:val="13AF4D1D"/>
    <w:rsid w:val="13B10A95"/>
    <w:rsid w:val="13B15820"/>
    <w:rsid w:val="13C17673"/>
    <w:rsid w:val="13CD7229"/>
    <w:rsid w:val="13D32467"/>
    <w:rsid w:val="13D43221"/>
    <w:rsid w:val="13D80080"/>
    <w:rsid w:val="13D91CFB"/>
    <w:rsid w:val="13DC2911"/>
    <w:rsid w:val="13E02727"/>
    <w:rsid w:val="13E04038"/>
    <w:rsid w:val="13E76168"/>
    <w:rsid w:val="13E96D12"/>
    <w:rsid w:val="13ED7B92"/>
    <w:rsid w:val="13F6294C"/>
    <w:rsid w:val="13FA68E0"/>
    <w:rsid w:val="14000A5D"/>
    <w:rsid w:val="14005579"/>
    <w:rsid w:val="1402701A"/>
    <w:rsid w:val="14092C14"/>
    <w:rsid w:val="140E5827"/>
    <w:rsid w:val="14114A5F"/>
    <w:rsid w:val="14123C2A"/>
    <w:rsid w:val="14150A03"/>
    <w:rsid w:val="141577AA"/>
    <w:rsid w:val="141C0605"/>
    <w:rsid w:val="141C3B09"/>
    <w:rsid w:val="142C14EC"/>
    <w:rsid w:val="14327E28"/>
    <w:rsid w:val="143636EB"/>
    <w:rsid w:val="143F0797"/>
    <w:rsid w:val="14416FC6"/>
    <w:rsid w:val="14423DE3"/>
    <w:rsid w:val="14432035"/>
    <w:rsid w:val="144705DE"/>
    <w:rsid w:val="144A7BD8"/>
    <w:rsid w:val="144B45D6"/>
    <w:rsid w:val="144D1B4E"/>
    <w:rsid w:val="144E2788"/>
    <w:rsid w:val="145311F0"/>
    <w:rsid w:val="1454642A"/>
    <w:rsid w:val="1457163D"/>
    <w:rsid w:val="1458674A"/>
    <w:rsid w:val="145A2EDB"/>
    <w:rsid w:val="145A737F"/>
    <w:rsid w:val="145E328F"/>
    <w:rsid w:val="1461426A"/>
    <w:rsid w:val="14667AD2"/>
    <w:rsid w:val="1467242C"/>
    <w:rsid w:val="146B158C"/>
    <w:rsid w:val="14725642"/>
    <w:rsid w:val="14757D15"/>
    <w:rsid w:val="14791AA9"/>
    <w:rsid w:val="147B3AEE"/>
    <w:rsid w:val="147C10A3"/>
    <w:rsid w:val="147D5405"/>
    <w:rsid w:val="147E306D"/>
    <w:rsid w:val="147F0B94"/>
    <w:rsid w:val="147F6DE6"/>
    <w:rsid w:val="14847F58"/>
    <w:rsid w:val="14867011"/>
    <w:rsid w:val="148A210D"/>
    <w:rsid w:val="14900FF3"/>
    <w:rsid w:val="14A30D26"/>
    <w:rsid w:val="14A423A8"/>
    <w:rsid w:val="14A43135"/>
    <w:rsid w:val="14AB3737"/>
    <w:rsid w:val="14B05CAD"/>
    <w:rsid w:val="14B2264B"/>
    <w:rsid w:val="14C447F8"/>
    <w:rsid w:val="14C52A4A"/>
    <w:rsid w:val="14D507B4"/>
    <w:rsid w:val="14D514F5"/>
    <w:rsid w:val="14D55D7F"/>
    <w:rsid w:val="14DA34FB"/>
    <w:rsid w:val="14DA3C44"/>
    <w:rsid w:val="14DE3B0C"/>
    <w:rsid w:val="14E4476A"/>
    <w:rsid w:val="14EA425F"/>
    <w:rsid w:val="14EF5871"/>
    <w:rsid w:val="1504200A"/>
    <w:rsid w:val="15044A88"/>
    <w:rsid w:val="15080B89"/>
    <w:rsid w:val="150A51D0"/>
    <w:rsid w:val="150A5EA4"/>
    <w:rsid w:val="150C5325"/>
    <w:rsid w:val="150C68CB"/>
    <w:rsid w:val="151D59B2"/>
    <w:rsid w:val="151E215B"/>
    <w:rsid w:val="152261E3"/>
    <w:rsid w:val="152754B3"/>
    <w:rsid w:val="1528122B"/>
    <w:rsid w:val="15282FD9"/>
    <w:rsid w:val="152A4CC8"/>
    <w:rsid w:val="1534372C"/>
    <w:rsid w:val="1541581A"/>
    <w:rsid w:val="154222ED"/>
    <w:rsid w:val="15431BC1"/>
    <w:rsid w:val="154F0CA1"/>
    <w:rsid w:val="15512530"/>
    <w:rsid w:val="15574892"/>
    <w:rsid w:val="155D0ED5"/>
    <w:rsid w:val="155D7127"/>
    <w:rsid w:val="1565422D"/>
    <w:rsid w:val="156947AC"/>
    <w:rsid w:val="156C18E0"/>
    <w:rsid w:val="156C5731"/>
    <w:rsid w:val="156E3D61"/>
    <w:rsid w:val="156F5159"/>
    <w:rsid w:val="15737AE9"/>
    <w:rsid w:val="15751A27"/>
    <w:rsid w:val="15763D45"/>
    <w:rsid w:val="15791A87"/>
    <w:rsid w:val="157E2DEF"/>
    <w:rsid w:val="157E7260"/>
    <w:rsid w:val="15802E15"/>
    <w:rsid w:val="1581260D"/>
    <w:rsid w:val="158305A9"/>
    <w:rsid w:val="15842905"/>
    <w:rsid w:val="15851AA8"/>
    <w:rsid w:val="15853F88"/>
    <w:rsid w:val="15877D00"/>
    <w:rsid w:val="158A65B6"/>
    <w:rsid w:val="158E72E0"/>
    <w:rsid w:val="15972CED"/>
    <w:rsid w:val="15A57722"/>
    <w:rsid w:val="15AB60E4"/>
    <w:rsid w:val="15AF7257"/>
    <w:rsid w:val="15B5350B"/>
    <w:rsid w:val="15B900D5"/>
    <w:rsid w:val="15BD7BC5"/>
    <w:rsid w:val="15BE749A"/>
    <w:rsid w:val="15BF25E4"/>
    <w:rsid w:val="15C319EE"/>
    <w:rsid w:val="15C42D02"/>
    <w:rsid w:val="15CC5514"/>
    <w:rsid w:val="15CF16A7"/>
    <w:rsid w:val="15D571DD"/>
    <w:rsid w:val="15DB54D2"/>
    <w:rsid w:val="15DC3942"/>
    <w:rsid w:val="15DD3DC4"/>
    <w:rsid w:val="15EE0320"/>
    <w:rsid w:val="15EE7D7F"/>
    <w:rsid w:val="15EF188E"/>
    <w:rsid w:val="15FE070B"/>
    <w:rsid w:val="160107D9"/>
    <w:rsid w:val="16036DA4"/>
    <w:rsid w:val="16037936"/>
    <w:rsid w:val="161E60CE"/>
    <w:rsid w:val="162503E3"/>
    <w:rsid w:val="1629525B"/>
    <w:rsid w:val="16296DE9"/>
    <w:rsid w:val="162B22EC"/>
    <w:rsid w:val="162E461F"/>
    <w:rsid w:val="16321C77"/>
    <w:rsid w:val="1635775C"/>
    <w:rsid w:val="163858B5"/>
    <w:rsid w:val="16394279"/>
    <w:rsid w:val="163A2FC4"/>
    <w:rsid w:val="164163B1"/>
    <w:rsid w:val="1646046F"/>
    <w:rsid w:val="164D28A4"/>
    <w:rsid w:val="16501ADB"/>
    <w:rsid w:val="1651030E"/>
    <w:rsid w:val="165347D4"/>
    <w:rsid w:val="16555868"/>
    <w:rsid w:val="1656474A"/>
    <w:rsid w:val="16574435"/>
    <w:rsid w:val="165754AD"/>
    <w:rsid w:val="165A5414"/>
    <w:rsid w:val="16603A18"/>
    <w:rsid w:val="166149F5"/>
    <w:rsid w:val="166369D1"/>
    <w:rsid w:val="1664417C"/>
    <w:rsid w:val="1666200B"/>
    <w:rsid w:val="166C5148"/>
    <w:rsid w:val="16774218"/>
    <w:rsid w:val="167823EB"/>
    <w:rsid w:val="16795C6E"/>
    <w:rsid w:val="16892685"/>
    <w:rsid w:val="168B7804"/>
    <w:rsid w:val="16917473"/>
    <w:rsid w:val="16922FCB"/>
    <w:rsid w:val="1697741D"/>
    <w:rsid w:val="16995D67"/>
    <w:rsid w:val="169F376F"/>
    <w:rsid w:val="16A12996"/>
    <w:rsid w:val="16A6065A"/>
    <w:rsid w:val="16A82624"/>
    <w:rsid w:val="16AE6146"/>
    <w:rsid w:val="16B40BDD"/>
    <w:rsid w:val="16B72867"/>
    <w:rsid w:val="16B822C4"/>
    <w:rsid w:val="16C943B4"/>
    <w:rsid w:val="16D57191"/>
    <w:rsid w:val="16DA08AF"/>
    <w:rsid w:val="16DE6045"/>
    <w:rsid w:val="16DE7DF3"/>
    <w:rsid w:val="16E86EC4"/>
    <w:rsid w:val="16ED0036"/>
    <w:rsid w:val="16F42A62"/>
    <w:rsid w:val="16F615E1"/>
    <w:rsid w:val="16FE2244"/>
    <w:rsid w:val="16FF34D6"/>
    <w:rsid w:val="17017F86"/>
    <w:rsid w:val="1702579F"/>
    <w:rsid w:val="17045380"/>
    <w:rsid w:val="17066305"/>
    <w:rsid w:val="170759C5"/>
    <w:rsid w:val="170A508C"/>
    <w:rsid w:val="170D2487"/>
    <w:rsid w:val="170E3260"/>
    <w:rsid w:val="170E55D8"/>
    <w:rsid w:val="17130624"/>
    <w:rsid w:val="17174E4F"/>
    <w:rsid w:val="171952CF"/>
    <w:rsid w:val="1727433E"/>
    <w:rsid w:val="172B329F"/>
    <w:rsid w:val="172F475C"/>
    <w:rsid w:val="17306175"/>
    <w:rsid w:val="17311AD5"/>
    <w:rsid w:val="173C59AC"/>
    <w:rsid w:val="174165D4"/>
    <w:rsid w:val="17430BBA"/>
    <w:rsid w:val="17435337"/>
    <w:rsid w:val="17465999"/>
    <w:rsid w:val="17471A7C"/>
    <w:rsid w:val="174A38E2"/>
    <w:rsid w:val="174A7237"/>
    <w:rsid w:val="17514A69"/>
    <w:rsid w:val="175956CC"/>
    <w:rsid w:val="175B4F71"/>
    <w:rsid w:val="17626C76"/>
    <w:rsid w:val="17630AAF"/>
    <w:rsid w:val="17697B06"/>
    <w:rsid w:val="176D7A5A"/>
    <w:rsid w:val="17710C68"/>
    <w:rsid w:val="177B1AE6"/>
    <w:rsid w:val="178070FD"/>
    <w:rsid w:val="17957219"/>
    <w:rsid w:val="17994A47"/>
    <w:rsid w:val="179B7A92"/>
    <w:rsid w:val="17A0779F"/>
    <w:rsid w:val="17B60D70"/>
    <w:rsid w:val="17B80644"/>
    <w:rsid w:val="17B8364B"/>
    <w:rsid w:val="17C074F9"/>
    <w:rsid w:val="17CA0C74"/>
    <w:rsid w:val="17CA4726"/>
    <w:rsid w:val="17CD5B13"/>
    <w:rsid w:val="17DC7AB4"/>
    <w:rsid w:val="17E07591"/>
    <w:rsid w:val="17E53404"/>
    <w:rsid w:val="17E92EF4"/>
    <w:rsid w:val="17F65611"/>
    <w:rsid w:val="180C0990"/>
    <w:rsid w:val="18137F71"/>
    <w:rsid w:val="181B5077"/>
    <w:rsid w:val="182061EA"/>
    <w:rsid w:val="18272F00"/>
    <w:rsid w:val="182A7F13"/>
    <w:rsid w:val="18320BA3"/>
    <w:rsid w:val="183A204C"/>
    <w:rsid w:val="183F0D66"/>
    <w:rsid w:val="18422CDC"/>
    <w:rsid w:val="18493992"/>
    <w:rsid w:val="184976E4"/>
    <w:rsid w:val="185041F0"/>
    <w:rsid w:val="185D4100"/>
    <w:rsid w:val="18613FC5"/>
    <w:rsid w:val="186500A0"/>
    <w:rsid w:val="18656713"/>
    <w:rsid w:val="1868350E"/>
    <w:rsid w:val="186A061D"/>
    <w:rsid w:val="186C73C8"/>
    <w:rsid w:val="186F2C57"/>
    <w:rsid w:val="187334AB"/>
    <w:rsid w:val="18784278"/>
    <w:rsid w:val="18786026"/>
    <w:rsid w:val="187A3B4C"/>
    <w:rsid w:val="187D188E"/>
    <w:rsid w:val="187E5E88"/>
    <w:rsid w:val="18820C52"/>
    <w:rsid w:val="18887FE7"/>
    <w:rsid w:val="18890233"/>
    <w:rsid w:val="188C616C"/>
    <w:rsid w:val="1890511D"/>
    <w:rsid w:val="18956BD8"/>
    <w:rsid w:val="18982224"/>
    <w:rsid w:val="189A65BC"/>
    <w:rsid w:val="189B6375"/>
    <w:rsid w:val="189C045C"/>
    <w:rsid w:val="189D76F5"/>
    <w:rsid w:val="18A17A53"/>
    <w:rsid w:val="18A27A8D"/>
    <w:rsid w:val="18A838CA"/>
    <w:rsid w:val="18AB4AC8"/>
    <w:rsid w:val="18AE7C99"/>
    <w:rsid w:val="18B054C4"/>
    <w:rsid w:val="18B54B84"/>
    <w:rsid w:val="18BE3D66"/>
    <w:rsid w:val="18C179CD"/>
    <w:rsid w:val="18D95B8F"/>
    <w:rsid w:val="18E15979"/>
    <w:rsid w:val="18FE0FAC"/>
    <w:rsid w:val="18FF22A3"/>
    <w:rsid w:val="19027896"/>
    <w:rsid w:val="19067AD5"/>
    <w:rsid w:val="19091420"/>
    <w:rsid w:val="190B50EC"/>
    <w:rsid w:val="190E24E6"/>
    <w:rsid w:val="19185113"/>
    <w:rsid w:val="191C10A7"/>
    <w:rsid w:val="19297756"/>
    <w:rsid w:val="192D0BBE"/>
    <w:rsid w:val="19355CC5"/>
    <w:rsid w:val="19397563"/>
    <w:rsid w:val="193B7CA2"/>
    <w:rsid w:val="193F18FA"/>
    <w:rsid w:val="19403A18"/>
    <w:rsid w:val="194303E2"/>
    <w:rsid w:val="19436634"/>
    <w:rsid w:val="19467ED2"/>
    <w:rsid w:val="194A6959"/>
    <w:rsid w:val="194E1F0E"/>
    <w:rsid w:val="194E1F14"/>
    <w:rsid w:val="19534BA8"/>
    <w:rsid w:val="1953639C"/>
    <w:rsid w:val="195829C2"/>
    <w:rsid w:val="19597C05"/>
    <w:rsid w:val="195C3E1E"/>
    <w:rsid w:val="19614D0C"/>
    <w:rsid w:val="19666ACC"/>
    <w:rsid w:val="196B7938"/>
    <w:rsid w:val="19717795"/>
    <w:rsid w:val="197262BA"/>
    <w:rsid w:val="19744A3F"/>
    <w:rsid w:val="197B53D3"/>
    <w:rsid w:val="197D7D98"/>
    <w:rsid w:val="197E58BE"/>
    <w:rsid w:val="19832ED4"/>
    <w:rsid w:val="19856C4C"/>
    <w:rsid w:val="1988776F"/>
    <w:rsid w:val="198911D7"/>
    <w:rsid w:val="198C4E5F"/>
    <w:rsid w:val="19901CE2"/>
    <w:rsid w:val="1998697F"/>
    <w:rsid w:val="199A0D0F"/>
    <w:rsid w:val="199D21E8"/>
    <w:rsid w:val="19A30E80"/>
    <w:rsid w:val="19A7504A"/>
    <w:rsid w:val="19A90B8D"/>
    <w:rsid w:val="19BA5C2A"/>
    <w:rsid w:val="19BB1243"/>
    <w:rsid w:val="19BB266E"/>
    <w:rsid w:val="19C15671"/>
    <w:rsid w:val="19C808E7"/>
    <w:rsid w:val="19D839A6"/>
    <w:rsid w:val="19DA2E4F"/>
    <w:rsid w:val="19DC085F"/>
    <w:rsid w:val="19E55027"/>
    <w:rsid w:val="19EA3A4E"/>
    <w:rsid w:val="19ED59B9"/>
    <w:rsid w:val="19F00251"/>
    <w:rsid w:val="19F416DC"/>
    <w:rsid w:val="1A02204B"/>
    <w:rsid w:val="1A041DA9"/>
    <w:rsid w:val="1A044015"/>
    <w:rsid w:val="1A0B240E"/>
    <w:rsid w:val="1A134258"/>
    <w:rsid w:val="1A141D7E"/>
    <w:rsid w:val="1A18186E"/>
    <w:rsid w:val="1A1B4EBB"/>
    <w:rsid w:val="1A1E49AB"/>
    <w:rsid w:val="1A217CEE"/>
    <w:rsid w:val="1A25347A"/>
    <w:rsid w:val="1A2E4BEE"/>
    <w:rsid w:val="1A3C637F"/>
    <w:rsid w:val="1A44251C"/>
    <w:rsid w:val="1A5D54D3"/>
    <w:rsid w:val="1A5E5320"/>
    <w:rsid w:val="1A5F3D37"/>
    <w:rsid w:val="1A613215"/>
    <w:rsid w:val="1A6C3968"/>
    <w:rsid w:val="1A7361FC"/>
    <w:rsid w:val="1A743744"/>
    <w:rsid w:val="1A750A6F"/>
    <w:rsid w:val="1A805353"/>
    <w:rsid w:val="1A851D9C"/>
    <w:rsid w:val="1A8A3113"/>
    <w:rsid w:val="1A8B788C"/>
    <w:rsid w:val="1A8E38DF"/>
    <w:rsid w:val="1A8F0322"/>
    <w:rsid w:val="1A9133CF"/>
    <w:rsid w:val="1A9667B3"/>
    <w:rsid w:val="1A9853AE"/>
    <w:rsid w:val="1A9A04D5"/>
    <w:rsid w:val="1A9B1409"/>
    <w:rsid w:val="1A9B5FFB"/>
    <w:rsid w:val="1AA11864"/>
    <w:rsid w:val="1AA6799E"/>
    <w:rsid w:val="1AA8173C"/>
    <w:rsid w:val="1AAD38BA"/>
    <w:rsid w:val="1AB02A55"/>
    <w:rsid w:val="1AB05F4B"/>
    <w:rsid w:val="1AB175CD"/>
    <w:rsid w:val="1ABB084A"/>
    <w:rsid w:val="1ABB736F"/>
    <w:rsid w:val="1ABF3B65"/>
    <w:rsid w:val="1AC33A11"/>
    <w:rsid w:val="1AC92E9E"/>
    <w:rsid w:val="1AD82DAC"/>
    <w:rsid w:val="1AE32D14"/>
    <w:rsid w:val="1AE80F51"/>
    <w:rsid w:val="1AE8488A"/>
    <w:rsid w:val="1AE87493"/>
    <w:rsid w:val="1AEA05DF"/>
    <w:rsid w:val="1AEB73B7"/>
    <w:rsid w:val="1B034A5E"/>
    <w:rsid w:val="1B067D3C"/>
    <w:rsid w:val="1B116226"/>
    <w:rsid w:val="1B117F46"/>
    <w:rsid w:val="1B140288"/>
    <w:rsid w:val="1B1464DA"/>
    <w:rsid w:val="1B1501FB"/>
    <w:rsid w:val="1B180DCD"/>
    <w:rsid w:val="1B1C6F45"/>
    <w:rsid w:val="1B1D1344"/>
    <w:rsid w:val="1B1E113A"/>
    <w:rsid w:val="1B214753"/>
    <w:rsid w:val="1B2249EB"/>
    <w:rsid w:val="1B23671D"/>
    <w:rsid w:val="1B24188D"/>
    <w:rsid w:val="1B261D69"/>
    <w:rsid w:val="1B293607"/>
    <w:rsid w:val="1B3255AD"/>
    <w:rsid w:val="1B366FE6"/>
    <w:rsid w:val="1B3A5814"/>
    <w:rsid w:val="1B3E5305"/>
    <w:rsid w:val="1B401452"/>
    <w:rsid w:val="1B43291B"/>
    <w:rsid w:val="1B4C5BD5"/>
    <w:rsid w:val="1B4D00C8"/>
    <w:rsid w:val="1B4F159B"/>
    <w:rsid w:val="1B520CC5"/>
    <w:rsid w:val="1B5577D7"/>
    <w:rsid w:val="1B5A6FA7"/>
    <w:rsid w:val="1B5D57F5"/>
    <w:rsid w:val="1B5F6315"/>
    <w:rsid w:val="1B612DA1"/>
    <w:rsid w:val="1B636B19"/>
    <w:rsid w:val="1B6C140C"/>
    <w:rsid w:val="1B6F3710"/>
    <w:rsid w:val="1B6F38C2"/>
    <w:rsid w:val="1B733BE5"/>
    <w:rsid w:val="1B73527D"/>
    <w:rsid w:val="1B7655ED"/>
    <w:rsid w:val="1B825C53"/>
    <w:rsid w:val="1B8D003A"/>
    <w:rsid w:val="1B8F3A84"/>
    <w:rsid w:val="1B8F5923"/>
    <w:rsid w:val="1B977E26"/>
    <w:rsid w:val="1BA70D6D"/>
    <w:rsid w:val="1BAA4748"/>
    <w:rsid w:val="1BAF7FB0"/>
    <w:rsid w:val="1BB235FD"/>
    <w:rsid w:val="1BB2471A"/>
    <w:rsid w:val="1BB660F3"/>
    <w:rsid w:val="1BB96B0B"/>
    <w:rsid w:val="1BBB6955"/>
    <w:rsid w:val="1BBD7B09"/>
    <w:rsid w:val="1BBE01F3"/>
    <w:rsid w:val="1BC1244F"/>
    <w:rsid w:val="1BC72271"/>
    <w:rsid w:val="1BC752FA"/>
    <w:rsid w:val="1BCA4827"/>
    <w:rsid w:val="1BCB46BE"/>
    <w:rsid w:val="1BD01CD5"/>
    <w:rsid w:val="1BD17F27"/>
    <w:rsid w:val="1BD6553D"/>
    <w:rsid w:val="1BD73B3C"/>
    <w:rsid w:val="1BD9519A"/>
    <w:rsid w:val="1BE67576"/>
    <w:rsid w:val="1BE834C2"/>
    <w:rsid w:val="1BE91714"/>
    <w:rsid w:val="1BEC2FB3"/>
    <w:rsid w:val="1BEC6B0F"/>
    <w:rsid w:val="1BF14125"/>
    <w:rsid w:val="1BF41E67"/>
    <w:rsid w:val="1BF6798D"/>
    <w:rsid w:val="1BFA7CC2"/>
    <w:rsid w:val="1BFB2DBE"/>
    <w:rsid w:val="1BFD2148"/>
    <w:rsid w:val="1C0302FC"/>
    <w:rsid w:val="1C062B73"/>
    <w:rsid w:val="1C0A6D3A"/>
    <w:rsid w:val="1C0D4CD7"/>
    <w:rsid w:val="1C0D51A1"/>
    <w:rsid w:val="1C204BE1"/>
    <w:rsid w:val="1C24274C"/>
    <w:rsid w:val="1C256EBB"/>
    <w:rsid w:val="1C2A7637"/>
    <w:rsid w:val="1C3109C5"/>
    <w:rsid w:val="1C33473D"/>
    <w:rsid w:val="1C3B1CB8"/>
    <w:rsid w:val="1C3E504A"/>
    <w:rsid w:val="1C412B9A"/>
    <w:rsid w:val="1C452138"/>
    <w:rsid w:val="1C504198"/>
    <w:rsid w:val="1C530F07"/>
    <w:rsid w:val="1C533032"/>
    <w:rsid w:val="1C632B49"/>
    <w:rsid w:val="1C69015F"/>
    <w:rsid w:val="1C6E1C1A"/>
    <w:rsid w:val="1C744CBF"/>
    <w:rsid w:val="1C767373"/>
    <w:rsid w:val="1C7865F4"/>
    <w:rsid w:val="1C7F3E27"/>
    <w:rsid w:val="1C7F7983"/>
    <w:rsid w:val="1C8431EB"/>
    <w:rsid w:val="1C8925AF"/>
    <w:rsid w:val="1C8B196B"/>
    <w:rsid w:val="1C8B27CB"/>
    <w:rsid w:val="1C913B5A"/>
    <w:rsid w:val="1C916599"/>
    <w:rsid w:val="1C916F78"/>
    <w:rsid w:val="1C93375D"/>
    <w:rsid w:val="1C9841EB"/>
    <w:rsid w:val="1C9A5DF9"/>
    <w:rsid w:val="1C9B3478"/>
    <w:rsid w:val="1C9F1DD3"/>
    <w:rsid w:val="1CA4265D"/>
    <w:rsid w:val="1CAF488E"/>
    <w:rsid w:val="1CB33AD0"/>
    <w:rsid w:val="1CB3716C"/>
    <w:rsid w:val="1CB82E2A"/>
    <w:rsid w:val="1CB84C65"/>
    <w:rsid w:val="1CB91733"/>
    <w:rsid w:val="1CBA6D72"/>
    <w:rsid w:val="1CBC50B4"/>
    <w:rsid w:val="1CBE05B7"/>
    <w:rsid w:val="1CBE24A5"/>
    <w:rsid w:val="1CC12CEF"/>
    <w:rsid w:val="1CCA6B11"/>
    <w:rsid w:val="1CD31A7D"/>
    <w:rsid w:val="1CD33EB4"/>
    <w:rsid w:val="1CDF25CE"/>
    <w:rsid w:val="1CDF4F45"/>
    <w:rsid w:val="1CDF6673"/>
    <w:rsid w:val="1CE66BC6"/>
    <w:rsid w:val="1CE67A02"/>
    <w:rsid w:val="1CE912A0"/>
    <w:rsid w:val="1CEC2B3E"/>
    <w:rsid w:val="1CEE2D5A"/>
    <w:rsid w:val="1CF332BF"/>
    <w:rsid w:val="1CF819DC"/>
    <w:rsid w:val="1CFC5477"/>
    <w:rsid w:val="1CFD4D4B"/>
    <w:rsid w:val="1D04257E"/>
    <w:rsid w:val="1D064A15"/>
    <w:rsid w:val="1D081CB0"/>
    <w:rsid w:val="1D097B94"/>
    <w:rsid w:val="1D0B56BA"/>
    <w:rsid w:val="1D0F670C"/>
    <w:rsid w:val="1D102CD1"/>
    <w:rsid w:val="1D11417D"/>
    <w:rsid w:val="1D181B85"/>
    <w:rsid w:val="1D1A3B4F"/>
    <w:rsid w:val="1D1C5D2B"/>
    <w:rsid w:val="1D2437DE"/>
    <w:rsid w:val="1D2616DA"/>
    <w:rsid w:val="1D2C1713"/>
    <w:rsid w:val="1D385D84"/>
    <w:rsid w:val="1D3C1D18"/>
    <w:rsid w:val="1D3C4A05"/>
    <w:rsid w:val="1D3F35B6"/>
    <w:rsid w:val="1D44297A"/>
    <w:rsid w:val="1D495F9C"/>
    <w:rsid w:val="1D4B3D09"/>
    <w:rsid w:val="1D5367D1"/>
    <w:rsid w:val="1D5852ED"/>
    <w:rsid w:val="1D5976E8"/>
    <w:rsid w:val="1D63746D"/>
    <w:rsid w:val="1D697D1A"/>
    <w:rsid w:val="1D74500E"/>
    <w:rsid w:val="1D7B3CA3"/>
    <w:rsid w:val="1D7E7C3A"/>
    <w:rsid w:val="1D7F1C04"/>
    <w:rsid w:val="1D81772B"/>
    <w:rsid w:val="1D8A4831"/>
    <w:rsid w:val="1D8B2357"/>
    <w:rsid w:val="1D924FB3"/>
    <w:rsid w:val="1D9531D6"/>
    <w:rsid w:val="1D9C39EF"/>
    <w:rsid w:val="1DA67191"/>
    <w:rsid w:val="1DAA7846"/>
    <w:rsid w:val="1DAB2865"/>
    <w:rsid w:val="1DB261DF"/>
    <w:rsid w:val="1DB27DD6"/>
    <w:rsid w:val="1DBC0763"/>
    <w:rsid w:val="1DCB52E1"/>
    <w:rsid w:val="1DCD58DC"/>
    <w:rsid w:val="1DD2442A"/>
    <w:rsid w:val="1DD41F50"/>
    <w:rsid w:val="1DD65CC8"/>
    <w:rsid w:val="1DDD4282"/>
    <w:rsid w:val="1DE0117D"/>
    <w:rsid w:val="1DED4DC0"/>
    <w:rsid w:val="1DED54B8"/>
    <w:rsid w:val="1DED6B6E"/>
    <w:rsid w:val="1DEF59C5"/>
    <w:rsid w:val="1DF148B0"/>
    <w:rsid w:val="1DF1740B"/>
    <w:rsid w:val="1DF64D74"/>
    <w:rsid w:val="1DF95513"/>
    <w:rsid w:val="1DFB451D"/>
    <w:rsid w:val="1DFE6FCD"/>
    <w:rsid w:val="1E023D32"/>
    <w:rsid w:val="1E133467"/>
    <w:rsid w:val="1E1660C5"/>
    <w:rsid w:val="1E1A0873"/>
    <w:rsid w:val="1E1C04F3"/>
    <w:rsid w:val="1E286F71"/>
    <w:rsid w:val="1E29229C"/>
    <w:rsid w:val="1E2D620F"/>
    <w:rsid w:val="1E2F1712"/>
    <w:rsid w:val="1E311151"/>
    <w:rsid w:val="1E314C15"/>
    <w:rsid w:val="1E37603B"/>
    <w:rsid w:val="1E3845A0"/>
    <w:rsid w:val="1E3958A5"/>
    <w:rsid w:val="1E396257"/>
    <w:rsid w:val="1E432231"/>
    <w:rsid w:val="1E4701AB"/>
    <w:rsid w:val="1E48169D"/>
    <w:rsid w:val="1E4F15D7"/>
    <w:rsid w:val="1E5037DD"/>
    <w:rsid w:val="1E5109CC"/>
    <w:rsid w:val="1E566E09"/>
    <w:rsid w:val="1E5C4616"/>
    <w:rsid w:val="1E6E4925"/>
    <w:rsid w:val="1E761259"/>
    <w:rsid w:val="1E805C34"/>
    <w:rsid w:val="1E831EA1"/>
    <w:rsid w:val="1E841BE3"/>
    <w:rsid w:val="1E8474D2"/>
    <w:rsid w:val="1E895406"/>
    <w:rsid w:val="1E8A0861"/>
    <w:rsid w:val="1E9811D0"/>
    <w:rsid w:val="1E982F7E"/>
    <w:rsid w:val="1E9A6CF6"/>
    <w:rsid w:val="1E9D39EC"/>
    <w:rsid w:val="1EAC6A8F"/>
    <w:rsid w:val="1EB27513"/>
    <w:rsid w:val="1EC137FC"/>
    <w:rsid w:val="1EC503D9"/>
    <w:rsid w:val="1EC7098C"/>
    <w:rsid w:val="1ECB3353"/>
    <w:rsid w:val="1ECC5FBF"/>
    <w:rsid w:val="1ECE3351"/>
    <w:rsid w:val="1ED70C26"/>
    <w:rsid w:val="1ED92067"/>
    <w:rsid w:val="1EDC7F5E"/>
    <w:rsid w:val="1EDF0BAD"/>
    <w:rsid w:val="1EE07222"/>
    <w:rsid w:val="1EE90C05"/>
    <w:rsid w:val="1EF33837"/>
    <w:rsid w:val="1EF602D5"/>
    <w:rsid w:val="1EF76329"/>
    <w:rsid w:val="1EF81C6E"/>
    <w:rsid w:val="1EFB7B61"/>
    <w:rsid w:val="1EFC175F"/>
    <w:rsid w:val="1F010B23"/>
    <w:rsid w:val="1F040613"/>
    <w:rsid w:val="1F04358A"/>
    <w:rsid w:val="1F053CF4"/>
    <w:rsid w:val="1F066139"/>
    <w:rsid w:val="1F115330"/>
    <w:rsid w:val="1F173C0E"/>
    <w:rsid w:val="1F184F13"/>
    <w:rsid w:val="1F206259"/>
    <w:rsid w:val="1F212F73"/>
    <w:rsid w:val="1F287A49"/>
    <w:rsid w:val="1F2962CC"/>
    <w:rsid w:val="1F2D7B6A"/>
    <w:rsid w:val="1F3B77D8"/>
    <w:rsid w:val="1F3C1B5B"/>
    <w:rsid w:val="1F4E188E"/>
    <w:rsid w:val="1F4F51F5"/>
    <w:rsid w:val="1F513E14"/>
    <w:rsid w:val="1F5A0233"/>
    <w:rsid w:val="1F6132DC"/>
    <w:rsid w:val="1F617814"/>
    <w:rsid w:val="1F647304"/>
    <w:rsid w:val="1F6D7F66"/>
    <w:rsid w:val="1F6E53CE"/>
    <w:rsid w:val="1F7102DC"/>
    <w:rsid w:val="1F7A08D5"/>
    <w:rsid w:val="1F7E2174"/>
    <w:rsid w:val="1F841754"/>
    <w:rsid w:val="1F947BE9"/>
    <w:rsid w:val="1F97187F"/>
    <w:rsid w:val="1F996766"/>
    <w:rsid w:val="1FA75500"/>
    <w:rsid w:val="1FB060A5"/>
    <w:rsid w:val="1FB262C1"/>
    <w:rsid w:val="1FB65DB1"/>
    <w:rsid w:val="1FB931AC"/>
    <w:rsid w:val="1FBA2693"/>
    <w:rsid w:val="1FBA4D26"/>
    <w:rsid w:val="1FBE4C66"/>
    <w:rsid w:val="1FBF278C"/>
    <w:rsid w:val="1FC009DE"/>
    <w:rsid w:val="1FC3402A"/>
    <w:rsid w:val="1FC35DD8"/>
    <w:rsid w:val="1FC41B50"/>
    <w:rsid w:val="1FC662E5"/>
    <w:rsid w:val="1FCA360B"/>
    <w:rsid w:val="1FCB7383"/>
    <w:rsid w:val="1FCD4EA9"/>
    <w:rsid w:val="1FD04999"/>
    <w:rsid w:val="1FD90153"/>
    <w:rsid w:val="1FDD2B0F"/>
    <w:rsid w:val="1FDF7ED1"/>
    <w:rsid w:val="1FE27D80"/>
    <w:rsid w:val="1FE741BD"/>
    <w:rsid w:val="1FE87F35"/>
    <w:rsid w:val="1FE97E6A"/>
    <w:rsid w:val="1FF04B88"/>
    <w:rsid w:val="1FF1156E"/>
    <w:rsid w:val="1FF42436"/>
    <w:rsid w:val="1FF951AC"/>
    <w:rsid w:val="1FF97A4C"/>
    <w:rsid w:val="1FF97C68"/>
    <w:rsid w:val="20031B05"/>
    <w:rsid w:val="2005006E"/>
    <w:rsid w:val="20076707"/>
    <w:rsid w:val="200A7EAB"/>
    <w:rsid w:val="20124FB2"/>
    <w:rsid w:val="201605FE"/>
    <w:rsid w:val="2020322B"/>
    <w:rsid w:val="20216FA3"/>
    <w:rsid w:val="20397E8F"/>
    <w:rsid w:val="203D228F"/>
    <w:rsid w:val="203D39F0"/>
    <w:rsid w:val="204001F8"/>
    <w:rsid w:val="20474C5B"/>
    <w:rsid w:val="204D5FEA"/>
    <w:rsid w:val="205360FA"/>
    <w:rsid w:val="205A4AEA"/>
    <w:rsid w:val="206375BB"/>
    <w:rsid w:val="206550E2"/>
    <w:rsid w:val="2065653D"/>
    <w:rsid w:val="20662D6B"/>
    <w:rsid w:val="206C2914"/>
    <w:rsid w:val="207812B9"/>
    <w:rsid w:val="20784E15"/>
    <w:rsid w:val="207A2CAB"/>
    <w:rsid w:val="207D242B"/>
    <w:rsid w:val="207E2384"/>
    <w:rsid w:val="208A6CE1"/>
    <w:rsid w:val="208C23F8"/>
    <w:rsid w:val="208F6602"/>
    <w:rsid w:val="209059E5"/>
    <w:rsid w:val="2096173F"/>
    <w:rsid w:val="20971013"/>
    <w:rsid w:val="20983709"/>
    <w:rsid w:val="209861AD"/>
    <w:rsid w:val="209B4AD0"/>
    <w:rsid w:val="20A03A95"/>
    <w:rsid w:val="20A53BDB"/>
    <w:rsid w:val="20A84BD0"/>
    <w:rsid w:val="20A868A5"/>
    <w:rsid w:val="20AC0F62"/>
    <w:rsid w:val="20AD2A3D"/>
    <w:rsid w:val="20AF2A2B"/>
    <w:rsid w:val="20B55833"/>
    <w:rsid w:val="20B6593D"/>
    <w:rsid w:val="20B8113C"/>
    <w:rsid w:val="20C535E8"/>
    <w:rsid w:val="20CE712B"/>
    <w:rsid w:val="20DA5ACF"/>
    <w:rsid w:val="20E06E5E"/>
    <w:rsid w:val="20E406FC"/>
    <w:rsid w:val="20E56222"/>
    <w:rsid w:val="20F54E6E"/>
    <w:rsid w:val="20F56A22"/>
    <w:rsid w:val="20FD17BE"/>
    <w:rsid w:val="20FE67FB"/>
    <w:rsid w:val="21006F74"/>
    <w:rsid w:val="21012835"/>
    <w:rsid w:val="21050673"/>
    <w:rsid w:val="210B3EDB"/>
    <w:rsid w:val="210B5BD9"/>
    <w:rsid w:val="210C6647"/>
    <w:rsid w:val="210E6C71"/>
    <w:rsid w:val="210F2C8F"/>
    <w:rsid w:val="21156B08"/>
    <w:rsid w:val="211E0F0D"/>
    <w:rsid w:val="21222FD3"/>
    <w:rsid w:val="21271BF9"/>
    <w:rsid w:val="212E45FE"/>
    <w:rsid w:val="213010F8"/>
    <w:rsid w:val="213276BA"/>
    <w:rsid w:val="21490F06"/>
    <w:rsid w:val="214E201A"/>
    <w:rsid w:val="215018EE"/>
    <w:rsid w:val="215238B8"/>
    <w:rsid w:val="215504B3"/>
    <w:rsid w:val="21570ECE"/>
    <w:rsid w:val="21627873"/>
    <w:rsid w:val="21657006"/>
    <w:rsid w:val="216620DE"/>
    <w:rsid w:val="21663BCC"/>
    <w:rsid w:val="216830DB"/>
    <w:rsid w:val="216A32A5"/>
    <w:rsid w:val="217472F0"/>
    <w:rsid w:val="21771817"/>
    <w:rsid w:val="21786371"/>
    <w:rsid w:val="217D46AD"/>
    <w:rsid w:val="2182778B"/>
    <w:rsid w:val="2188017C"/>
    <w:rsid w:val="218E2416"/>
    <w:rsid w:val="218F7A90"/>
    <w:rsid w:val="21902632"/>
    <w:rsid w:val="21997739"/>
    <w:rsid w:val="219C4B33"/>
    <w:rsid w:val="219D3E3B"/>
    <w:rsid w:val="219F63D1"/>
    <w:rsid w:val="21AB205E"/>
    <w:rsid w:val="21B17E1E"/>
    <w:rsid w:val="21B300CF"/>
    <w:rsid w:val="21BE4911"/>
    <w:rsid w:val="21BF6A73"/>
    <w:rsid w:val="21C27223"/>
    <w:rsid w:val="21C422DC"/>
    <w:rsid w:val="21C42F0E"/>
    <w:rsid w:val="21CB5418"/>
    <w:rsid w:val="21D06ED2"/>
    <w:rsid w:val="21D40771"/>
    <w:rsid w:val="21DB0C2D"/>
    <w:rsid w:val="21DC7625"/>
    <w:rsid w:val="21EF63FF"/>
    <w:rsid w:val="21F001EB"/>
    <w:rsid w:val="21FD38F6"/>
    <w:rsid w:val="21FE2759"/>
    <w:rsid w:val="21FE5C62"/>
    <w:rsid w:val="22046BDF"/>
    <w:rsid w:val="220646A2"/>
    <w:rsid w:val="2208041A"/>
    <w:rsid w:val="220977E4"/>
    <w:rsid w:val="220A23E4"/>
    <w:rsid w:val="221072CF"/>
    <w:rsid w:val="221118F0"/>
    <w:rsid w:val="22140B6D"/>
    <w:rsid w:val="22160D89"/>
    <w:rsid w:val="221C2AAE"/>
    <w:rsid w:val="2223038E"/>
    <w:rsid w:val="22250295"/>
    <w:rsid w:val="22260F03"/>
    <w:rsid w:val="222740AB"/>
    <w:rsid w:val="222D16E9"/>
    <w:rsid w:val="222F1E4B"/>
    <w:rsid w:val="22317971"/>
    <w:rsid w:val="22342C03"/>
    <w:rsid w:val="22372FC7"/>
    <w:rsid w:val="223A1828"/>
    <w:rsid w:val="22412C1E"/>
    <w:rsid w:val="22490D52"/>
    <w:rsid w:val="224C47AB"/>
    <w:rsid w:val="224F7DF7"/>
    <w:rsid w:val="225418B2"/>
    <w:rsid w:val="226D2F8D"/>
    <w:rsid w:val="2273304C"/>
    <w:rsid w:val="2275341A"/>
    <w:rsid w:val="2277734E"/>
    <w:rsid w:val="22890A27"/>
    <w:rsid w:val="228B55CD"/>
    <w:rsid w:val="228D71DB"/>
    <w:rsid w:val="228E65E4"/>
    <w:rsid w:val="229012BA"/>
    <w:rsid w:val="22902F40"/>
    <w:rsid w:val="22923B89"/>
    <w:rsid w:val="22957DAA"/>
    <w:rsid w:val="2298179E"/>
    <w:rsid w:val="229D37A3"/>
    <w:rsid w:val="229E48DB"/>
    <w:rsid w:val="229F0FDC"/>
    <w:rsid w:val="22A2261D"/>
    <w:rsid w:val="22AA7723"/>
    <w:rsid w:val="22B44793"/>
    <w:rsid w:val="22B91B86"/>
    <w:rsid w:val="22C205C9"/>
    <w:rsid w:val="22C75BE0"/>
    <w:rsid w:val="22CF62AA"/>
    <w:rsid w:val="22D1227B"/>
    <w:rsid w:val="22D778AF"/>
    <w:rsid w:val="22D84291"/>
    <w:rsid w:val="22E7628E"/>
    <w:rsid w:val="22EA7B20"/>
    <w:rsid w:val="22EC0458"/>
    <w:rsid w:val="22F90DF1"/>
    <w:rsid w:val="22FD42C4"/>
    <w:rsid w:val="22FF181D"/>
    <w:rsid w:val="230C3F3A"/>
    <w:rsid w:val="23102595"/>
    <w:rsid w:val="23106DC2"/>
    <w:rsid w:val="231161CA"/>
    <w:rsid w:val="231B417D"/>
    <w:rsid w:val="231D6147"/>
    <w:rsid w:val="231D7EF5"/>
    <w:rsid w:val="232059B9"/>
    <w:rsid w:val="23283B3B"/>
    <w:rsid w:val="232E06D3"/>
    <w:rsid w:val="232E5C5F"/>
    <w:rsid w:val="23355512"/>
    <w:rsid w:val="234838B9"/>
    <w:rsid w:val="234C4337"/>
    <w:rsid w:val="23531B69"/>
    <w:rsid w:val="2366364A"/>
    <w:rsid w:val="236C4EAD"/>
    <w:rsid w:val="236C6787"/>
    <w:rsid w:val="236D2C2B"/>
    <w:rsid w:val="2375131B"/>
    <w:rsid w:val="23755DBC"/>
    <w:rsid w:val="23767606"/>
    <w:rsid w:val="23777C67"/>
    <w:rsid w:val="237F6C84"/>
    <w:rsid w:val="238B3863"/>
    <w:rsid w:val="239571BE"/>
    <w:rsid w:val="23971A56"/>
    <w:rsid w:val="239F5D07"/>
    <w:rsid w:val="23A777BF"/>
    <w:rsid w:val="23AC4F6D"/>
    <w:rsid w:val="23AD6776"/>
    <w:rsid w:val="23AF5E8D"/>
    <w:rsid w:val="23B24AE2"/>
    <w:rsid w:val="23B32608"/>
    <w:rsid w:val="23B46A5F"/>
    <w:rsid w:val="23B51EDC"/>
    <w:rsid w:val="23C16AD3"/>
    <w:rsid w:val="23C91E2B"/>
    <w:rsid w:val="23CF684B"/>
    <w:rsid w:val="23DA318B"/>
    <w:rsid w:val="23DC2660"/>
    <w:rsid w:val="23DE3EE7"/>
    <w:rsid w:val="23E32EED"/>
    <w:rsid w:val="23E430B2"/>
    <w:rsid w:val="23E83D9B"/>
    <w:rsid w:val="23EB7FF4"/>
    <w:rsid w:val="23EC469C"/>
    <w:rsid w:val="23F724F4"/>
    <w:rsid w:val="23F76998"/>
    <w:rsid w:val="23FA0B3C"/>
    <w:rsid w:val="23FF5210"/>
    <w:rsid w:val="24025F07"/>
    <w:rsid w:val="2403533D"/>
    <w:rsid w:val="240F3CE2"/>
    <w:rsid w:val="24117BB9"/>
    <w:rsid w:val="24172B97"/>
    <w:rsid w:val="2419690F"/>
    <w:rsid w:val="24217571"/>
    <w:rsid w:val="24217E53"/>
    <w:rsid w:val="2424734A"/>
    <w:rsid w:val="24280100"/>
    <w:rsid w:val="2432177F"/>
    <w:rsid w:val="243510D4"/>
    <w:rsid w:val="243674C1"/>
    <w:rsid w:val="24430D34"/>
    <w:rsid w:val="244A2F6C"/>
    <w:rsid w:val="244B2840"/>
    <w:rsid w:val="244D0366"/>
    <w:rsid w:val="245168ED"/>
    <w:rsid w:val="245D707B"/>
    <w:rsid w:val="245E7E93"/>
    <w:rsid w:val="2466767A"/>
    <w:rsid w:val="246918CD"/>
    <w:rsid w:val="246B4024"/>
    <w:rsid w:val="246C2EE2"/>
    <w:rsid w:val="247266E0"/>
    <w:rsid w:val="24741D97"/>
    <w:rsid w:val="247B506A"/>
    <w:rsid w:val="247D6D82"/>
    <w:rsid w:val="247E4746"/>
    <w:rsid w:val="248634B7"/>
    <w:rsid w:val="249935AC"/>
    <w:rsid w:val="24A03FA5"/>
    <w:rsid w:val="24A131C4"/>
    <w:rsid w:val="24A60DDF"/>
    <w:rsid w:val="24AB4496"/>
    <w:rsid w:val="24AF2DCF"/>
    <w:rsid w:val="24BB1774"/>
    <w:rsid w:val="24C820E3"/>
    <w:rsid w:val="24C96308"/>
    <w:rsid w:val="24C9636D"/>
    <w:rsid w:val="24CA19B7"/>
    <w:rsid w:val="24D12CFA"/>
    <w:rsid w:val="24DE4A5A"/>
    <w:rsid w:val="24E9569E"/>
    <w:rsid w:val="24F829C8"/>
    <w:rsid w:val="24F85D0A"/>
    <w:rsid w:val="24F90B85"/>
    <w:rsid w:val="24FE78B3"/>
    <w:rsid w:val="25004B0F"/>
    <w:rsid w:val="25021151"/>
    <w:rsid w:val="25070E5D"/>
    <w:rsid w:val="25076767"/>
    <w:rsid w:val="25076E4C"/>
    <w:rsid w:val="251406E0"/>
    <w:rsid w:val="251B38EF"/>
    <w:rsid w:val="251D242F"/>
    <w:rsid w:val="251F50EA"/>
    <w:rsid w:val="25234734"/>
    <w:rsid w:val="252437BD"/>
    <w:rsid w:val="252E1F46"/>
    <w:rsid w:val="252F0BAA"/>
    <w:rsid w:val="253439FF"/>
    <w:rsid w:val="254215B0"/>
    <w:rsid w:val="25445C0D"/>
    <w:rsid w:val="25453733"/>
    <w:rsid w:val="254621B4"/>
    <w:rsid w:val="25473008"/>
    <w:rsid w:val="254E25E8"/>
    <w:rsid w:val="25531A57"/>
    <w:rsid w:val="25535E50"/>
    <w:rsid w:val="25544755"/>
    <w:rsid w:val="25587955"/>
    <w:rsid w:val="2560231B"/>
    <w:rsid w:val="256718FC"/>
    <w:rsid w:val="257302A1"/>
    <w:rsid w:val="25783C88"/>
    <w:rsid w:val="257B0F03"/>
    <w:rsid w:val="25875AFA"/>
    <w:rsid w:val="25910727"/>
    <w:rsid w:val="25981AB5"/>
    <w:rsid w:val="25996051"/>
    <w:rsid w:val="259E026F"/>
    <w:rsid w:val="259F79B8"/>
    <w:rsid w:val="25A01B67"/>
    <w:rsid w:val="25A55F80"/>
    <w:rsid w:val="25A95B68"/>
    <w:rsid w:val="25AD0453"/>
    <w:rsid w:val="25BC1751"/>
    <w:rsid w:val="25BC7BF5"/>
    <w:rsid w:val="25C17900"/>
    <w:rsid w:val="25C61BC9"/>
    <w:rsid w:val="25C64874"/>
    <w:rsid w:val="25CE3CA8"/>
    <w:rsid w:val="25E642BC"/>
    <w:rsid w:val="25F0369F"/>
    <w:rsid w:val="25F200CF"/>
    <w:rsid w:val="25F24130"/>
    <w:rsid w:val="25F53E45"/>
    <w:rsid w:val="25FC2044"/>
    <w:rsid w:val="2608197C"/>
    <w:rsid w:val="26082272"/>
    <w:rsid w:val="260D44A0"/>
    <w:rsid w:val="26122144"/>
    <w:rsid w:val="26126405"/>
    <w:rsid w:val="261419BC"/>
    <w:rsid w:val="26190E48"/>
    <w:rsid w:val="261D1FBA"/>
    <w:rsid w:val="261F65C3"/>
    <w:rsid w:val="262064BE"/>
    <w:rsid w:val="2624744C"/>
    <w:rsid w:val="26270A38"/>
    <w:rsid w:val="26296BB1"/>
    <w:rsid w:val="262E5F76"/>
    <w:rsid w:val="2631510F"/>
    <w:rsid w:val="26327F08"/>
    <w:rsid w:val="26361B7D"/>
    <w:rsid w:val="26416F3C"/>
    <w:rsid w:val="264525AF"/>
    <w:rsid w:val="264629AB"/>
    <w:rsid w:val="26463E0D"/>
    <w:rsid w:val="264B2FCC"/>
    <w:rsid w:val="2650413E"/>
    <w:rsid w:val="26510172"/>
    <w:rsid w:val="26660F08"/>
    <w:rsid w:val="26661BB3"/>
    <w:rsid w:val="266876DA"/>
    <w:rsid w:val="266D4CF0"/>
    <w:rsid w:val="2674607E"/>
    <w:rsid w:val="2677791D"/>
    <w:rsid w:val="267B565F"/>
    <w:rsid w:val="26813090"/>
    <w:rsid w:val="26853786"/>
    <w:rsid w:val="268564DD"/>
    <w:rsid w:val="26867B60"/>
    <w:rsid w:val="268C54AA"/>
    <w:rsid w:val="268D3C1F"/>
    <w:rsid w:val="269975E3"/>
    <w:rsid w:val="269A5064"/>
    <w:rsid w:val="26A420F1"/>
    <w:rsid w:val="26A761E0"/>
    <w:rsid w:val="26AF70B6"/>
    <w:rsid w:val="26B022C4"/>
    <w:rsid w:val="26B05D19"/>
    <w:rsid w:val="26BD4963"/>
    <w:rsid w:val="26C12FA3"/>
    <w:rsid w:val="26C353D6"/>
    <w:rsid w:val="26C56794"/>
    <w:rsid w:val="26CD1C32"/>
    <w:rsid w:val="26D00413"/>
    <w:rsid w:val="26D07ABD"/>
    <w:rsid w:val="26D32C40"/>
    <w:rsid w:val="26E50D2A"/>
    <w:rsid w:val="26E5365D"/>
    <w:rsid w:val="26E825C8"/>
    <w:rsid w:val="26EA6341"/>
    <w:rsid w:val="26EC4133"/>
    <w:rsid w:val="26F21B21"/>
    <w:rsid w:val="26F92A28"/>
    <w:rsid w:val="26FE1DEC"/>
    <w:rsid w:val="26FE7F48"/>
    <w:rsid w:val="27003DB6"/>
    <w:rsid w:val="27075F11"/>
    <w:rsid w:val="270C081B"/>
    <w:rsid w:val="271413C9"/>
    <w:rsid w:val="271E5FEA"/>
    <w:rsid w:val="271F21EC"/>
    <w:rsid w:val="271F2EF8"/>
    <w:rsid w:val="27223D2C"/>
    <w:rsid w:val="27234074"/>
    <w:rsid w:val="27271343"/>
    <w:rsid w:val="272E2055"/>
    <w:rsid w:val="274448A3"/>
    <w:rsid w:val="27483067"/>
    <w:rsid w:val="2749750B"/>
    <w:rsid w:val="27535EAD"/>
    <w:rsid w:val="275A34C6"/>
    <w:rsid w:val="275B28C6"/>
    <w:rsid w:val="275B2D9A"/>
    <w:rsid w:val="27675BE3"/>
    <w:rsid w:val="27684DD3"/>
    <w:rsid w:val="276C08DD"/>
    <w:rsid w:val="276C31F9"/>
    <w:rsid w:val="276F4A98"/>
    <w:rsid w:val="27716A62"/>
    <w:rsid w:val="2778394C"/>
    <w:rsid w:val="277938A4"/>
    <w:rsid w:val="277B168E"/>
    <w:rsid w:val="277D71B5"/>
    <w:rsid w:val="27837A8D"/>
    <w:rsid w:val="2786250D"/>
    <w:rsid w:val="278B1E78"/>
    <w:rsid w:val="278B7B24"/>
    <w:rsid w:val="278C389C"/>
    <w:rsid w:val="278C73F8"/>
    <w:rsid w:val="278E0DAD"/>
    <w:rsid w:val="278E13C2"/>
    <w:rsid w:val="278E4F1E"/>
    <w:rsid w:val="278E5178"/>
    <w:rsid w:val="27901611"/>
    <w:rsid w:val="27962024"/>
    <w:rsid w:val="27986BF5"/>
    <w:rsid w:val="2799071E"/>
    <w:rsid w:val="27AC1848"/>
    <w:rsid w:val="27AC6CA1"/>
    <w:rsid w:val="27B626C7"/>
    <w:rsid w:val="27B949A9"/>
    <w:rsid w:val="27BC5B3E"/>
    <w:rsid w:val="27CC2E58"/>
    <w:rsid w:val="27CE7A10"/>
    <w:rsid w:val="27D019DA"/>
    <w:rsid w:val="27DD7C53"/>
    <w:rsid w:val="27E72880"/>
    <w:rsid w:val="27EB2370"/>
    <w:rsid w:val="27F16BE4"/>
    <w:rsid w:val="27F751B9"/>
    <w:rsid w:val="27F91B60"/>
    <w:rsid w:val="28017DE6"/>
    <w:rsid w:val="280653FC"/>
    <w:rsid w:val="28081174"/>
    <w:rsid w:val="280D3C24"/>
    <w:rsid w:val="28100029"/>
    <w:rsid w:val="28136355"/>
    <w:rsid w:val="281A0EA7"/>
    <w:rsid w:val="281A4A03"/>
    <w:rsid w:val="281C66D7"/>
    <w:rsid w:val="281E2746"/>
    <w:rsid w:val="28231246"/>
    <w:rsid w:val="28292E99"/>
    <w:rsid w:val="282A314C"/>
    <w:rsid w:val="282B09BF"/>
    <w:rsid w:val="282B6C11"/>
    <w:rsid w:val="282D2989"/>
    <w:rsid w:val="28310B13"/>
    <w:rsid w:val="28373807"/>
    <w:rsid w:val="28377363"/>
    <w:rsid w:val="283F7323"/>
    <w:rsid w:val="28416434"/>
    <w:rsid w:val="28433F5A"/>
    <w:rsid w:val="28461C9C"/>
    <w:rsid w:val="28476437"/>
    <w:rsid w:val="284F6DA3"/>
    <w:rsid w:val="285443B9"/>
    <w:rsid w:val="285B70B9"/>
    <w:rsid w:val="285C326E"/>
    <w:rsid w:val="285C54F8"/>
    <w:rsid w:val="285F34CC"/>
    <w:rsid w:val="28643ED1"/>
    <w:rsid w:val="286B34B1"/>
    <w:rsid w:val="2874680A"/>
    <w:rsid w:val="287B1E80"/>
    <w:rsid w:val="28870F4E"/>
    <w:rsid w:val="28912B9F"/>
    <w:rsid w:val="28921CE1"/>
    <w:rsid w:val="289320B5"/>
    <w:rsid w:val="289724F8"/>
    <w:rsid w:val="28975B03"/>
    <w:rsid w:val="28995207"/>
    <w:rsid w:val="28A56F5D"/>
    <w:rsid w:val="28B22AA9"/>
    <w:rsid w:val="28B83071"/>
    <w:rsid w:val="28C64B8B"/>
    <w:rsid w:val="28CC3ADF"/>
    <w:rsid w:val="28D97B12"/>
    <w:rsid w:val="28DB6D48"/>
    <w:rsid w:val="28E05C4D"/>
    <w:rsid w:val="28E33487"/>
    <w:rsid w:val="28EA2628"/>
    <w:rsid w:val="28EE331D"/>
    <w:rsid w:val="28EF2FC6"/>
    <w:rsid w:val="28EF40E2"/>
    <w:rsid w:val="28F45255"/>
    <w:rsid w:val="28F72F97"/>
    <w:rsid w:val="28F925C5"/>
    <w:rsid w:val="28FB46EF"/>
    <w:rsid w:val="28FC05AD"/>
    <w:rsid w:val="29031DD5"/>
    <w:rsid w:val="290B2CB6"/>
    <w:rsid w:val="29125D2C"/>
    <w:rsid w:val="291750BF"/>
    <w:rsid w:val="291A1556"/>
    <w:rsid w:val="292546BC"/>
    <w:rsid w:val="292F0982"/>
    <w:rsid w:val="293E1C33"/>
    <w:rsid w:val="293F1222"/>
    <w:rsid w:val="293F655C"/>
    <w:rsid w:val="29405A4D"/>
    <w:rsid w:val="29407B63"/>
    <w:rsid w:val="294361DC"/>
    <w:rsid w:val="294657E2"/>
    <w:rsid w:val="29465C5C"/>
    <w:rsid w:val="29495C7A"/>
    <w:rsid w:val="294E069F"/>
    <w:rsid w:val="295C2B80"/>
    <w:rsid w:val="296917E1"/>
    <w:rsid w:val="296A3769"/>
    <w:rsid w:val="296C11FD"/>
    <w:rsid w:val="297315B1"/>
    <w:rsid w:val="29761823"/>
    <w:rsid w:val="297B5976"/>
    <w:rsid w:val="297B7724"/>
    <w:rsid w:val="29830787"/>
    <w:rsid w:val="299B6018"/>
    <w:rsid w:val="29A76608"/>
    <w:rsid w:val="29A924E3"/>
    <w:rsid w:val="29BA46F0"/>
    <w:rsid w:val="29BC0105"/>
    <w:rsid w:val="29C53F61"/>
    <w:rsid w:val="29C83AB9"/>
    <w:rsid w:val="29D05CC2"/>
    <w:rsid w:val="29D11A3A"/>
    <w:rsid w:val="29E76B67"/>
    <w:rsid w:val="29E903E8"/>
    <w:rsid w:val="29E96D83"/>
    <w:rsid w:val="29EB48A9"/>
    <w:rsid w:val="29ED0979"/>
    <w:rsid w:val="29F55728"/>
    <w:rsid w:val="2A025DDB"/>
    <w:rsid w:val="2A027B5A"/>
    <w:rsid w:val="2A027E45"/>
    <w:rsid w:val="2A0E0598"/>
    <w:rsid w:val="2A0E67EA"/>
    <w:rsid w:val="2A133E00"/>
    <w:rsid w:val="2A151926"/>
    <w:rsid w:val="2A182A1D"/>
    <w:rsid w:val="2A1A0CEB"/>
    <w:rsid w:val="2A1D07DB"/>
    <w:rsid w:val="2A1D2C3D"/>
    <w:rsid w:val="2A2416C0"/>
    <w:rsid w:val="2A282CB7"/>
    <w:rsid w:val="2A2B739C"/>
    <w:rsid w:val="2A2E2B78"/>
    <w:rsid w:val="2A331DAD"/>
    <w:rsid w:val="2A36189D"/>
    <w:rsid w:val="2A3D4C0D"/>
    <w:rsid w:val="2A4B17EC"/>
    <w:rsid w:val="2A4C2A69"/>
    <w:rsid w:val="2A5012A5"/>
    <w:rsid w:val="2A543348"/>
    <w:rsid w:val="2A614116"/>
    <w:rsid w:val="2A64465C"/>
    <w:rsid w:val="2A666952"/>
    <w:rsid w:val="2A6A6FA4"/>
    <w:rsid w:val="2A6D1762"/>
    <w:rsid w:val="2A707CDB"/>
    <w:rsid w:val="2A727105"/>
    <w:rsid w:val="2A7356B5"/>
    <w:rsid w:val="2A740757"/>
    <w:rsid w:val="2A782A5D"/>
    <w:rsid w:val="2A7B7ED1"/>
    <w:rsid w:val="2A7E3D4E"/>
    <w:rsid w:val="2A7F3BCC"/>
    <w:rsid w:val="2A82293A"/>
    <w:rsid w:val="2A911389"/>
    <w:rsid w:val="2A9C0A77"/>
    <w:rsid w:val="2A9F19FC"/>
    <w:rsid w:val="2AA3400B"/>
    <w:rsid w:val="2AA44A58"/>
    <w:rsid w:val="2AA53905"/>
    <w:rsid w:val="2AA607D0"/>
    <w:rsid w:val="2AA85AEA"/>
    <w:rsid w:val="2AB4113F"/>
    <w:rsid w:val="2ABE3D6C"/>
    <w:rsid w:val="2AC03A35"/>
    <w:rsid w:val="2ACA0963"/>
    <w:rsid w:val="2ACF41CB"/>
    <w:rsid w:val="2AD00E86"/>
    <w:rsid w:val="2AD01CF1"/>
    <w:rsid w:val="2ADA1568"/>
    <w:rsid w:val="2AE337D3"/>
    <w:rsid w:val="2AE505CF"/>
    <w:rsid w:val="2AF94DA4"/>
    <w:rsid w:val="2AFA28CA"/>
    <w:rsid w:val="2AFB6893"/>
    <w:rsid w:val="2B01791D"/>
    <w:rsid w:val="2B0379D1"/>
    <w:rsid w:val="2B06787C"/>
    <w:rsid w:val="2B073965"/>
    <w:rsid w:val="2B104E04"/>
    <w:rsid w:val="2B1C4F36"/>
    <w:rsid w:val="2B1E0CAF"/>
    <w:rsid w:val="2B3808F6"/>
    <w:rsid w:val="2B41674C"/>
    <w:rsid w:val="2B4324C3"/>
    <w:rsid w:val="2B45623B"/>
    <w:rsid w:val="2B4B1A84"/>
    <w:rsid w:val="2B4D50F0"/>
    <w:rsid w:val="2B4D6E9E"/>
    <w:rsid w:val="2B4E297B"/>
    <w:rsid w:val="2B597F39"/>
    <w:rsid w:val="2B5B15BB"/>
    <w:rsid w:val="2B5B5A5F"/>
    <w:rsid w:val="2B5D3585"/>
    <w:rsid w:val="2B5F33CA"/>
    <w:rsid w:val="2B6761B2"/>
    <w:rsid w:val="2B680293"/>
    <w:rsid w:val="2B6A7A50"/>
    <w:rsid w:val="2B6C1A1A"/>
    <w:rsid w:val="2B7303DE"/>
    <w:rsid w:val="2B7E5B03"/>
    <w:rsid w:val="2B824D9A"/>
    <w:rsid w:val="2B886128"/>
    <w:rsid w:val="2B8E1990"/>
    <w:rsid w:val="2B8F395A"/>
    <w:rsid w:val="2B9056CA"/>
    <w:rsid w:val="2B99095A"/>
    <w:rsid w:val="2B993DC9"/>
    <w:rsid w:val="2B9B40AD"/>
    <w:rsid w:val="2BA2191C"/>
    <w:rsid w:val="2BA557A7"/>
    <w:rsid w:val="2BB67139"/>
    <w:rsid w:val="2BBE65D0"/>
    <w:rsid w:val="2BBE7D9C"/>
    <w:rsid w:val="2BC058C2"/>
    <w:rsid w:val="2BC33129"/>
    <w:rsid w:val="2BC95E02"/>
    <w:rsid w:val="2BCF3D57"/>
    <w:rsid w:val="2BCF70EF"/>
    <w:rsid w:val="2BD347D5"/>
    <w:rsid w:val="2BD63C77"/>
    <w:rsid w:val="2BE06711"/>
    <w:rsid w:val="2BE07D12"/>
    <w:rsid w:val="2BE5357A"/>
    <w:rsid w:val="2BE629AE"/>
    <w:rsid w:val="2BEC169E"/>
    <w:rsid w:val="2BED77E9"/>
    <w:rsid w:val="2BEE242F"/>
    <w:rsid w:val="2BF35C97"/>
    <w:rsid w:val="2BF370CB"/>
    <w:rsid w:val="2BFF598D"/>
    <w:rsid w:val="2C041C52"/>
    <w:rsid w:val="2C06179B"/>
    <w:rsid w:val="2C0F23A5"/>
    <w:rsid w:val="2C194662"/>
    <w:rsid w:val="2C1F083A"/>
    <w:rsid w:val="2C277A68"/>
    <w:rsid w:val="2C295724"/>
    <w:rsid w:val="2C2A3C17"/>
    <w:rsid w:val="2C2B3683"/>
    <w:rsid w:val="2C30560B"/>
    <w:rsid w:val="2C3E306D"/>
    <w:rsid w:val="2C4429B4"/>
    <w:rsid w:val="2C4538DA"/>
    <w:rsid w:val="2C4604BD"/>
    <w:rsid w:val="2C46226B"/>
    <w:rsid w:val="2C4C53A8"/>
    <w:rsid w:val="2C5B55EB"/>
    <w:rsid w:val="2C6227C6"/>
    <w:rsid w:val="2C666469"/>
    <w:rsid w:val="2C673F8F"/>
    <w:rsid w:val="2C68059A"/>
    <w:rsid w:val="2C6E3570"/>
    <w:rsid w:val="2C6E6CED"/>
    <w:rsid w:val="2C70553A"/>
    <w:rsid w:val="2C7072E8"/>
    <w:rsid w:val="2C7337DF"/>
    <w:rsid w:val="2C74428A"/>
    <w:rsid w:val="2C753B81"/>
    <w:rsid w:val="2C7843EE"/>
    <w:rsid w:val="2C7E4E4E"/>
    <w:rsid w:val="2C815051"/>
    <w:rsid w:val="2C8310C4"/>
    <w:rsid w:val="2C845E50"/>
    <w:rsid w:val="2C867F83"/>
    <w:rsid w:val="2C882884"/>
    <w:rsid w:val="2C8836E4"/>
    <w:rsid w:val="2C892158"/>
    <w:rsid w:val="2C8C13C3"/>
    <w:rsid w:val="2C934D84"/>
    <w:rsid w:val="2C9F5E1F"/>
    <w:rsid w:val="2CA23219"/>
    <w:rsid w:val="2CAF6062"/>
    <w:rsid w:val="2CB2193A"/>
    <w:rsid w:val="2CB5119F"/>
    <w:rsid w:val="2CB66154"/>
    <w:rsid w:val="2CB9243A"/>
    <w:rsid w:val="2CB9311D"/>
    <w:rsid w:val="2CBA67B5"/>
    <w:rsid w:val="2CD47877"/>
    <w:rsid w:val="2CD535EF"/>
    <w:rsid w:val="2CDD22AB"/>
    <w:rsid w:val="2CE51A84"/>
    <w:rsid w:val="2CE72BBB"/>
    <w:rsid w:val="2CE81574"/>
    <w:rsid w:val="2CEC0F16"/>
    <w:rsid w:val="2CEE11A9"/>
    <w:rsid w:val="2CF35ACD"/>
    <w:rsid w:val="2CF73998"/>
    <w:rsid w:val="2D09659C"/>
    <w:rsid w:val="2D0B0DBF"/>
    <w:rsid w:val="2D0B5263"/>
    <w:rsid w:val="2D12214D"/>
    <w:rsid w:val="2D142369"/>
    <w:rsid w:val="2D200796"/>
    <w:rsid w:val="2D241E80"/>
    <w:rsid w:val="2D2D611B"/>
    <w:rsid w:val="2D312C4A"/>
    <w:rsid w:val="2D3711E3"/>
    <w:rsid w:val="2D3D42C7"/>
    <w:rsid w:val="2D46629B"/>
    <w:rsid w:val="2D4A1141"/>
    <w:rsid w:val="2D4A5D8B"/>
    <w:rsid w:val="2D4B16D2"/>
    <w:rsid w:val="2D5409B8"/>
    <w:rsid w:val="2D542766"/>
    <w:rsid w:val="2D5719FD"/>
    <w:rsid w:val="2D5B3AF4"/>
    <w:rsid w:val="2D612801"/>
    <w:rsid w:val="2D7746A6"/>
    <w:rsid w:val="2D782C20"/>
    <w:rsid w:val="2D7D7F0E"/>
    <w:rsid w:val="2D8017AD"/>
    <w:rsid w:val="2D870D8D"/>
    <w:rsid w:val="2D8774C4"/>
    <w:rsid w:val="2D8A6187"/>
    <w:rsid w:val="2D937732"/>
    <w:rsid w:val="2D940DB4"/>
    <w:rsid w:val="2D957987"/>
    <w:rsid w:val="2D965161"/>
    <w:rsid w:val="2D9E7E85"/>
    <w:rsid w:val="2DA059AB"/>
    <w:rsid w:val="2DA57465"/>
    <w:rsid w:val="2DA66808"/>
    <w:rsid w:val="2DAD1E76"/>
    <w:rsid w:val="2DB33930"/>
    <w:rsid w:val="2DB6777A"/>
    <w:rsid w:val="2DBC36D1"/>
    <w:rsid w:val="2DC35B5E"/>
    <w:rsid w:val="2DC53B7F"/>
    <w:rsid w:val="2DD33ABD"/>
    <w:rsid w:val="2DDC4BB8"/>
    <w:rsid w:val="2DDF3792"/>
    <w:rsid w:val="2DE0049D"/>
    <w:rsid w:val="2DE51610"/>
    <w:rsid w:val="2DF638C1"/>
    <w:rsid w:val="2E00469C"/>
    <w:rsid w:val="2E027131"/>
    <w:rsid w:val="2E0371C1"/>
    <w:rsid w:val="2E082F60"/>
    <w:rsid w:val="2E141EF5"/>
    <w:rsid w:val="2E166C07"/>
    <w:rsid w:val="2E1E3186"/>
    <w:rsid w:val="2E36630F"/>
    <w:rsid w:val="2E3F46FC"/>
    <w:rsid w:val="2E47051C"/>
    <w:rsid w:val="2E475236"/>
    <w:rsid w:val="2E56075F"/>
    <w:rsid w:val="2E5900E2"/>
    <w:rsid w:val="2E591798"/>
    <w:rsid w:val="2E5B47B8"/>
    <w:rsid w:val="2E5B6930"/>
    <w:rsid w:val="2E5F17A4"/>
    <w:rsid w:val="2E6764C9"/>
    <w:rsid w:val="2E697834"/>
    <w:rsid w:val="2E6E5AA9"/>
    <w:rsid w:val="2E786928"/>
    <w:rsid w:val="2E7B1FCE"/>
    <w:rsid w:val="2E7B51CF"/>
    <w:rsid w:val="2E823302"/>
    <w:rsid w:val="2E870919"/>
    <w:rsid w:val="2E882521"/>
    <w:rsid w:val="2E8B5BBF"/>
    <w:rsid w:val="2E8B79E8"/>
    <w:rsid w:val="2E8C4181"/>
    <w:rsid w:val="2E8C5427"/>
    <w:rsid w:val="2E8D7A39"/>
    <w:rsid w:val="2E9608FF"/>
    <w:rsid w:val="2EA17C2D"/>
    <w:rsid w:val="2EA31D08"/>
    <w:rsid w:val="2EA50D07"/>
    <w:rsid w:val="2EA94D33"/>
    <w:rsid w:val="2EB94DB3"/>
    <w:rsid w:val="2EBD433B"/>
    <w:rsid w:val="2EC456C9"/>
    <w:rsid w:val="2EC61441"/>
    <w:rsid w:val="2ECB7469"/>
    <w:rsid w:val="2ECC1DD7"/>
    <w:rsid w:val="2ECE5675"/>
    <w:rsid w:val="2ED77B09"/>
    <w:rsid w:val="2EE61AE3"/>
    <w:rsid w:val="2EE87609"/>
    <w:rsid w:val="2EEE5A17"/>
    <w:rsid w:val="2EF35FAE"/>
    <w:rsid w:val="2EF62F11"/>
    <w:rsid w:val="2F023A5C"/>
    <w:rsid w:val="2F08298B"/>
    <w:rsid w:val="2F0A6522"/>
    <w:rsid w:val="2F0B37BA"/>
    <w:rsid w:val="2F114C3E"/>
    <w:rsid w:val="2F120CBF"/>
    <w:rsid w:val="2F124686"/>
    <w:rsid w:val="2F132A17"/>
    <w:rsid w:val="2F146650"/>
    <w:rsid w:val="2F162DC0"/>
    <w:rsid w:val="2F1A3F8E"/>
    <w:rsid w:val="2F3108C4"/>
    <w:rsid w:val="2F312BBB"/>
    <w:rsid w:val="2F341463"/>
    <w:rsid w:val="2F454A5C"/>
    <w:rsid w:val="2F464330"/>
    <w:rsid w:val="2F594063"/>
    <w:rsid w:val="2F5F153D"/>
    <w:rsid w:val="2F61560E"/>
    <w:rsid w:val="2F652D29"/>
    <w:rsid w:val="2F744D4E"/>
    <w:rsid w:val="2F77416E"/>
    <w:rsid w:val="2F782E8B"/>
    <w:rsid w:val="2F822586"/>
    <w:rsid w:val="2F89487F"/>
    <w:rsid w:val="2F927575"/>
    <w:rsid w:val="2FA430DC"/>
    <w:rsid w:val="2FA4492F"/>
    <w:rsid w:val="2FA601A9"/>
    <w:rsid w:val="2FAE492B"/>
    <w:rsid w:val="2FB15C4D"/>
    <w:rsid w:val="2FB3473C"/>
    <w:rsid w:val="2FB543D8"/>
    <w:rsid w:val="2FB67708"/>
    <w:rsid w:val="2FB74DF7"/>
    <w:rsid w:val="2FB83480"/>
    <w:rsid w:val="2FBD0A96"/>
    <w:rsid w:val="2FBD6C46"/>
    <w:rsid w:val="2FBF4562"/>
    <w:rsid w:val="2FC242FE"/>
    <w:rsid w:val="2FD25781"/>
    <w:rsid w:val="2FD7548C"/>
    <w:rsid w:val="2FD933F6"/>
    <w:rsid w:val="2FE42584"/>
    <w:rsid w:val="2FE64A30"/>
    <w:rsid w:val="2FEF2C1A"/>
    <w:rsid w:val="2FF6098B"/>
    <w:rsid w:val="2FFA1837"/>
    <w:rsid w:val="2FFD56CC"/>
    <w:rsid w:val="300D4E4E"/>
    <w:rsid w:val="300F073D"/>
    <w:rsid w:val="302138ED"/>
    <w:rsid w:val="30231AB4"/>
    <w:rsid w:val="3025488D"/>
    <w:rsid w:val="302944CE"/>
    <w:rsid w:val="302F14C5"/>
    <w:rsid w:val="30332B06"/>
    <w:rsid w:val="30354AD0"/>
    <w:rsid w:val="303F3D2B"/>
    <w:rsid w:val="30422D49"/>
    <w:rsid w:val="304325BD"/>
    <w:rsid w:val="30454BCD"/>
    <w:rsid w:val="30594D79"/>
    <w:rsid w:val="305A1289"/>
    <w:rsid w:val="305A21E2"/>
    <w:rsid w:val="305B02AF"/>
    <w:rsid w:val="305C053D"/>
    <w:rsid w:val="305D24C6"/>
    <w:rsid w:val="3062163D"/>
    <w:rsid w:val="306308F3"/>
    <w:rsid w:val="30637B31"/>
    <w:rsid w:val="306A7A51"/>
    <w:rsid w:val="30703D5A"/>
    <w:rsid w:val="307153DD"/>
    <w:rsid w:val="30744ECD"/>
    <w:rsid w:val="3075311F"/>
    <w:rsid w:val="30764BDA"/>
    <w:rsid w:val="30773D10"/>
    <w:rsid w:val="30777594"/>
    <w:rsid w:val="30822D09"/>
    <w:rsid w:val="30825925"/>
    <w:rsid w:val="308800EC"/>
    <w:rsid w:val="30881BCD"/>
    <w:rsid w:val="308F1443"/>
    <w:rsid w:val="30901D07"/>
    <w:rsid w:val="309026BC"/>
    <w:rsid w:val="309D61D2"/>
    <w:rsid w:val="309E5E20"/>
    <w:rsid w:val="30A12166"/>
    <w:rsid w:val="30A9726C"/>
    <w:rsid w:val="30B02CD6"/>
    <w:rsid w:val="30B17ECF"/>
    <w:rsid w:val="30B359F5"/>
    <w:rsid w:val="30B74AFA"/>
    <w:rsid w:val="30BF439A"/>
    <w:rsid w:val="30C0477B"/>
    <w:rsid w:val="30C85944"/>
    <w:rsid w:val="30DE2E91"/>
    <w:rsid w:val="30E05DC5"/>
    <w:rsid w:val="30E3452C"/>
    <w:rsid w:val="30E87D95"/>
    <w:rsid w:val="30F63FF6"/>
    <w:rsid w:val="30F731D6"/>
    <w:rsid w:val="30F93D50"/>
    <w:rsid w:val="30FA096F"/>
    <w:rsid w:val="30FE1366"/>
    <w:rsid w:val="30FE591E"/>
    <w:rsid w:val="31012C04"/>
    <w:rsid w:val="31014620"/>
    <w:rsid w:val="310426F5"/>
    <w:rsid w:val="310917CD"/>
    <w:rsid w:val="31091AB9"/>
    <w:rsid w:val="31097D0B"/>
    <w:rsid w:val="31104BF6"/>
    <w:rsid w:val="31232B7B"/>
    <w:rsid w:val="31244B45"/>
    <w:rsid w:val="31271F3F"/>
    <w:rsid w:val="31283B34"/>
    <w:rsid w:val="31293F09"/>
    <w:rsid w:val="312F7772"/>
    <w:rsid w:val="315070E6"/>
    <w:rsid w:val="315B7806"/>
    <w:rsid w:val="315C7E3B"/>
    <w:rsid w:val="315E5B94"/>
    <w:rsid w:val="3163566D"/>
    <w:rsid w:val="31642694"/>
    <w:rsid w:val="31650116"/>
    <w:rsid w:val="316600FF"/>
    <w:rsid w:val="31665C75"/>
    <w:rsid w:val="3172471B"/>
    <w:rsid w:val="31740730"/>
    <w:rsid w:val="31767E16"/>
    <w:rsid w:val="317C04DD"/>
    <w:rsid w:val="317C672F"/>
    <w:rsid w:val="317E6003"/>
    <w:rsid w:val="31815AF3"/>
    <w:rsid w:val="318F411A"/>
    <w:rsid w:val="319A63F2"/>
    <w:rsid w:val="319E48F7"/>
    <w:rsid w:val="31A27F7B"/>
    <w:rsid w:val="31A97B0F"/>
    <w:rsid w:val="31B41A25"/>
    <w:rsid w:val="31B82659"/>
    <w:rsid w:val="31BB2194"/>
    <w:rsid w:val="31BC4AE7"/>
    <w:rsid w:val="31C641E9"/>
    <w:rsid w:val="31D61624"/>
    <w:rsid w:val="31D65E3F"/>
    <w:rsid w:val="31DC0F7C"/>
    <w:rsid w:val="31DF7DE0"/>
    <w:rsid w:val="31E367AE"/>
    <w:rsid w:val="31E47772"/>
    <w:rsid w:val="31EA5447"/>
    <w:rsid w:val="31EC7411"/>
    <w:rsid w:val="31EE2296"/>
    <w:rsid w:val="31F45551"/>
    <w:rsid w:val="31F938DC"/>
    <w:rsid w:val="31FB7654"/>
    <w:rsid w:val="32002EBC"/>
    <w:rsid w:val="32010698"/>
    <w:rsid w:val="32096215"/>
    <w:rsid w:val="320F30FF"/>
    <w:rsid w:val="320F5B69"/>
    <w:rsid w:val="321E3342"/>
    <w:rsid w:val="3220680C"/>
    <w:rsid w:val="32222E32"/>
    <w:rsid w:val="322D274B"/>
    <w:rsid w:val="322F2868"/>
    <w:rsid w:val="32317519"/>
    <w:rsid w:val="323C66B9"/>
    <w:rsid w:val="32427978"/>
    <w:rsid w:val="324A4F10"/>
    <w:rsid w:val="324A7621"/>
    <w:rsid w:val="324E646A"/>
    <w:rsid w:val="324F42DC"/>
    <w:rsid w:val="325138C8"/>
    <w:rsid w:val="32560D23"/>
    <w:rsid w:val="325B4596"/>
    <w:rsid w:val="325F3BB1"/>
    <w:rsid w:val="3264344B"/>
    <w:rsid w:val="326E51D2"/>
    <w:rsid w:val="326F08EC"/>
    <w:rsid w:val="32803FFD"/>
    <w:rsid w:val="32805DAB"/>
    <w:rsid w:val="32843AED"/>
    <w:rsid w:val="32855FEF"/>
    <w:rsid w:val="328F7B92"/>
    <w:rsid w:val="32931A70"/>
    <w:rsid w:val="32977498"/>
    <w:rsid w:val="32A777DC"/>
    <w:rsid w:val="32AE2918"/>
    <w:rsid w:val="32B432B8"/>
    <w:rsid w:val="32B51EF8"/>
    <w:rsid w:val="32B630F4"/>
    <w:rsid w:val="32B75C71"/>
    <w:rsid w:val="32BB5035"/>
    <w:rsid w:val="32BC1927"/>
    <w:rsid w:val="32CE4D68"/>
    <w:rsid w:val="32CE6B16"/>
    <w:rsid w:val="32D06D32"/>
    <w:rsid w:val="32D54D2A"/>
    <w:rsid w:val="32D63C1D"/>
    <w:rsid w:val="32DF0D23"/>
    <w:rsid w:val="32EA55F8"/>
    <w:rsid w:val="32EB1476"/>
    <w:rsid w:val="32EC48E4"/>
    <w:rsid w:val="32F04CDF"/>
    <w:rsid w:val="32F06F36"/>
    <w:rsid w:val="32F924E4"/>
    <w:rsid w:val="32FA790B"/>
    <w:rsid w:val="32FC18D5"/>
    <w:rsid w:val="32FF13C6"/>
    <w:rsid w:val="330469DC"/>
    <w:rsid w:val="330865C8"/>
    <w:rsid w:val="33097011"/>
    <w:rsid w:val="330E4C4E"/>
    <w:rsid w:val="331035D3"/>
    <w:rsid w:val="332413B8"/>
    <w:rsid w:val="3328681D"/>
    <w:rsid w:val="332E5807"/>
    <w:rsid w:val="3333106F"/>
    <w:rsid w:val="33331DAB"/>
    <w:rsid w:val="333D5A4A"/>
    <w:rsid w:val="33547B5C"/>
    <w:rsid w:val="335E1684"/>
    <w:rsid w:val="335E5CD2"/>
    <w:rsid w:val="33712774"/>
    <w:rsid w:val="337C7EC3"/>
    <w:rsid w:val="33812BDB"/>
    <w:rsid w:val="33825C39"/>
    <w:rsid w:val="33845A2F"/>
    <w:rsid w:val="3385640A"/>
    <w:rsid w:val="33865643"/>
    <w:rsid w:val="33896EE1"/>
    <w:rsid w:val="338B7842"/>
    <w:rsid w:val="3392223A"/>
    <w:rsid w:val="33955301"/>
    <w:rsid w:val="33995376"/>
    <w:rsid w:val="339A2E9C"/>
    <w:rsid w:val="33AB2BDC"/>
    <w:rsid w:val="33AB78F3"/>
    <w:rsid w:val="33AC6138"/>
    <w:rsid w:val="33AD2BD0"/>
    <w:rsid w:val="33B201E6"/>
    <w:rsid w:val="33B91574"/>
    <w:rsid w:val="33BC2A6A"/>
    <w:rsid w:val="33C06DA7"/>
    <w:rsid w:val="33C1667B"/>
    <w:rsid w:val="33C218A6"/>
    <w:rsid w:val="33C817B8"/>
    <w:rsid w:val="33CF49C8"/>
    <w:rsid w:val="33DD0058"/>
    <w:rsid w:val="33E85C36"/>
    <w:rsid w:val="33F001AC"/>
    <w:rsid w:val="33F5312D"/>
    <w:rsid w:val="33F56325"/>
    <w:rsid w:val="33F702EF"/>
    <w:rsid w:val="34010D5F"/>
    <w:rsid w:val="340824FC"/>
    <w:rsid w:val="340B0788"/>
    <w:rsid w:val="340F5638"/>
    <w:rsid w:val="34120C85"/>
    <w:rsid w:val="34272982"/>
    <w:rsid w:val="342C61EA"/>
    <w:rsid w:val="343230D5"/>
    <w:rsid w:val="34380EB8"/>
    <w:rsid w:val="34384B8F"/>
    <w:rsid w:val="343A251A"/>
    <w:rsid w:val="343B1E3D"/>
    <w:rsid w:val="343B4BA6"/>
    <w:rsid w:val="343D21A6"/>
    <w:rsid w:val="344F2850"/>
    <w:rsid w:val="34525525"/>
    <w:rsid w:val="345D2848"/>
    <w:rsid w:val="34627AFE"/>
    <w:rsid w:val="34664574"/>
    <w:rsid w:val="34697489"/>
    <w:rsid w:val="346A0AC1"/>
    <w:rsid w:val="346A6D13"/>
    <w:rsid w:val="346B1830"/>
    <w:rsid w:val="346D4178"/>
    <w:rsid w:val="346D6185"/>
    <w:rsid w:val="34733E19"/>
    <w:rsid w:val="348203CC"/>
    <w:rsid w:val="348230C8"/>
    <w:rsid w:val="34847DD4"/>
    <w:rsid w:val="34873C48"/>
    <w:rsid w:val="348A1163"/>
    <w:rsid w:val="348B094A"/>
    <w:rsid w:val="34970E05"/>
    <w:rsid w:val="34A3421F"/>
    <w:rsid w:val="34AC70C4"/>
    <w:rsid w:val="34B220E9"/>
    <w:rsid w:val="34B34216"/>
    <w:rsid w:val="34BE0E27"/>
    <w:rsid w:val="34C20E1D"/>
    <w:rsid w:val="34C226C2"/>
    <w:rsid w:val="34C2295A"/>
    <w:rsid w:val="34C346A0"/>
    <w:rsid w:val="34C44C99"/>
    <w:rsid w:val="34CA3B97"/>
    <w:rsid w:val="34D7553F"/>
    <w:rsid w:val="34E16FD5"/>
    <w:rsid w:val="34E757BD"/>
    <w:rsid w:val="34F20B90"/>
    <w:rsid w:val="34F211E2"/>
    <w:rsid w:val="34F6592E"/>
    <w:rsid w:val="34FB5395"/>
    <w:rsid w:val="34FE5971"/>
    <w:rsid w:val="350502A9"/>
    <w:rsid w:val="35064C8D"/>
    <w:rsid w:val="350741B2"/>
    <w:rsid w:val="350B576D"/>
    <w:rsid w:val="350C7DCA"/>
    <w:rsid w:val="35151C0C"/>
    <w:rsid w:val="351F18AB"/>
    <w:rsid w:val="352011B6"/>
    <w:rsid w:val="352073D1"/>
    <w:rsid w:val="352202A2"/>
    <w:rsid w:val="352275ED"/>
    <w:rsid w:val="35245113"/>
    <w:rsid w:val="35270760"/>
    <w:rsid w:val="352769B2"/>
    <w:rsid w:val="352B64A2"/>
    <w:rsid w:val="3533453F"/>
    <w:rsid w:val="35360EDC"/>
    <w:rsid w:val="35373099"/>
    <w:rsid w:val="35380BBF"/>
    <w:rsid w:val="353C0959"/>
    <w:rsid w:val="354203C5"/>
    <w:rsid w:val="35507787"/>
    <w:rsid w:val="35527407"/>
    <w:rsid w:val="355552CD"/>
    <w:rsid w:val="35585E43"/>
    <w:rsid w:val="355A2295"/>
    <w:rsid w:val="355F375B"/>
    <w:rsid w:val="3564627D"/>
    <w:rsid w:val="35683252"/>
    <w:rsid w:val="35696FCA"/>
    <w:rsid w:val="356B3A25"/>
    <w:rsid w:val="356E2833"/>
    <w:rsid w:val="357145D6"/>
    <w:rsid w:val="35731BF7"/>
    <w:rsid w:val="357353BD"/>
    <w:rsid w:val="35780FBB"/>
    <w:rsid w:val="357B08F4"/>
    <w:rsid w:val="35814314"/>
    <w:rsid w:val="358C62E7"/>
    <w:rsid w:val="35901668"/>
    <w:rsid w:val="3593128D"/>
    <w:rsid w:val="359701A4"/>
    <w:rsid w:val="359A04B4"/>
    <w:rsid w:val="35A46254"/>
    <w:rsid w:val="35A70AC2"/>
    <w:rsid w:val="35AB313F"/>
    <w:rsid w:val="35BA7826"/>
    <w:rsid w:val="35BE4039"/>
    <w:rsid w:val="35C8112D"/>
    <w:rsid w:val="35CD57AB"/>
    <w:rsid w:val="35D22DC1"/>
    <w:rsid w:val="35DA1838"/>
    <w:rsid w:val="35DC3E9D"/>
    <w:rsid w:val="35DC59EE"/>
    <w:rsid w:val="35DE3680"/>
    <w:rsid w:val="35DF1DC3"/>
    <w:rsid w:val="35E51E49"/>
    <w:rsid w:val="35ED0449"/>
    <w:rsid w:val="35F25212"/>
    <w:rsid w:val="35FA2522"/>
    <w:rsid w:val="35FC62A9"/>
    <w:rsid w:val="35FD3123"/>
    <w:rsid w:val="360175AB"/>
    <w:rsid w:val="36251143"/>
    <w:rsid w:val="362819E9"/>
    <w:rsid w:val="362B7B9E"/>
    <w:rsid w:val="362E6D01"/>
    <w:rsid w:val="36362A37"/>
    <w:rsid w:val="36486651"/>
    <w:rsid w:val="36545584"/>
    <w:rsid w:val="365D4E17"/>
    <w:rsid w:val="365F76A0"/>
    <w:rsid w:val="3660246F"/>
    <w:rsid w:val="36624145"/>
    <w:rsid w:val="36694216"/>
    <w:rsid w:val="366C6D72"/>
    <w:rsid w:val="366F7BDE"/>
    <w:rsid w:val="36732D61"/>
    <w:rsid w:val="36745C27"/>
    <w:rsid w:val="367B6FB5"/>
    <w:rsid w:val="367C4731"/>
    <w:rsid w:val="367F4CF7"/>
    <w:rsid w:val="36883480"/>
    <w:rsid w:val="369462C9"/>
    <w:rsid w:val="369E615C"/>
    <w:rsid w:val="36A33186"/>
    <w:rsid w:val="36A55DE0"/>
    <w:rsid w:val="36A57F70"/>
    <w:rsid w:val="36AA33F6"/>
    <w:rsid w:val="36B424C7"/>
    <w:rsid w:val="36BB0808"/>
    <w:rsid w:val="36BE0758"/>
    <w:rsid w:val="36CC46F5"/>
    <w:rsid w:val="36CC5A63"/>
    <w:rsid w:val="36CF7301"/>
    <w:rsid w:val="36D23A8F"/>
    <w:rsid w:val="36D546CB"/>
    <w:rsid w:val="36D842BB"/>
    <w:rsid w:val="36D932ED"/>
    <w:rsid w:val="36E27034"/>
    <w:rsid w:val="36E807A2"/>
    <w:rsid w:val="36E96615"/>
    <w:rsid w:val="36EF52AD"/>
    <w:rsid w:val="36F3056E"/>
    <w:rsid w:val="36F6663C"/>
    <w:rsid w:val="36F95F79"/>
    <w:rsid w:val="36FF3742"/>
    <w:rsid w:val="37076A9B"/>
    <w:rsid w:val="370E7B58"/>
    <w:rsid w:val="37134D04"/>
    <w:rsid w:val="37195766"/>
    <w:rsid w:val="371E7D05"/>
    <w:rsid w:val="37215AD5"/>
    <w:rsid w:val="37217B5C"/>
    <w:rsid w:val="37227431"/>
    <w:rsid w:val="37281A14"/>
    <w:rsid w:val="37301105"/>
    <w:rsid w:val="373D426B"/>
    <w:rsid w:val="37415715"/>
    <w:rsid w:val="3744712F"/>
    <w:rsid w:val="374A4272"/>
    <w:rsid w:val="374E6478"/>
    <w:rsid w:val="375241BA"/>
    <w:rsid w:val="37553354"/>
    <w:rsid w:val="37557806"/>
    <w:rsid w:val="375B0AC3"/>
    <w:rsid w:val="375B239D"/>
    <w:rsid w:val="375F041E"/>
    <w:rsid w:val="376143FD"/>
    <w:rsid w:val="3763390A"/>
    <w:rsid w:val="37697B59"/>
    <w:rsid w:val="376A62BC"/>
    <w:rsid w:val="376B527C"/>
    <w:rsid w:val="376C77E7"/>
    <w:rsid w:val="37712C84"/>
    <w:rsid w:val="37735EDE"/>
    <w:rsid w:val="37816776"/>
    <w:rsid w:val="37843CA2"/>
    <w:rsid w:val="37865BA7"/>
    <w:rsid w:val="378B76CC"/>
    <w:rsid w:val="379344BE"/>
    <w:rsid w:val="37955E55"/>
    <w:rsid w:val="37985945"/>
    <w:rsid w:val="379F0A81"/>
    <w:rsid w:val="37A80BE0"/>
    <w:rsid w:val="37AA696B"/>
    <w:rsid w:val="37AB1B1C"/>
    <w:rsid w:val="37AB5678"/>
    <w:rsid w:val="37B704C1"/>
    <w:rsid w:val="37BA58BB"/>
    <w:rsid w:val="37C678CF"/>
    <w:rsid w:val="37C87ED9"/>
    <w:rsid w:val="37C87FD8"/>
    <w:rsid w:val="37CD55EE"/>
    <w:rsid w:val="37D746BF"/>
    <w:rsid w:val="37D81FAD"/>
    <w:rsid w:val="37D90437"/>
    <w:rsid w:val="37DA7D0B"/>
    <w:rsid w:val="37E40B8A"/>
    <w:rsid w:val="37E868CC"/>
    <w:rsid w:val="37EC7318"/>
    <w:rsid w:val="37ED7ABA"/>
    <w:rsid w:val="37EE37B7"/>
    <w:rsid w:val="37F30DCD"/>
    <w:rsid w:val="37F52D97"/>
    <w:rsid w:val="37F94635"/>
    <w:rsid w:val="3805540A"/>
    <w:rsid w:val="38082ACA"/>
    <w:rsid w:val="38084878"/>
    <w:rsid w:val="38084E35"/>
    <w:rsid w:val="380A4A95"/>
    <w:rsid w:val="380B6117"/>
    <w:rsid w:val="380D1E8F"/>
    <w:rsid w:val="380F3E59"/>
    <w:rsid w:val="381551E7"/>
    <w:rsid w:val="381725CA"/>
    <w:rsid w:val="382623DE"/>
    <w:rsid w:val="38267406"/>
    <w:rsid w:val="382876FA"/>
    <w:rsid w:val="382A2A41"/>
    <w:rsid w:val="382C5C4E"/>
    <w:rsid w:val="382D27CD"/>
    <w:rsid w:val="382D6B8A"/>
    <w:rsid w:val="382F62A9"/>
    <w:rsid w:val="3837515E"/>
    <w:rsid w:val="383C2774"/>
    <w:rsid w:val="383C4522"/>
    <w:rsid w:val="384A4E91"/>
    <w:rsid w:val="38505EE0"/>
    <w:rsid w:val="386B4E07"/>
    <w:rsid w:val="386D6DD1"/>
    <w:rsid w:val="387939C8"/>
    <w:rsid w:val="38797524"/>
    <w:rsid w:val="387C7014"/>
    <w:rsid w:val="387D62F6"/>
    <w:rsid w:val="387E4B3B"/>
    <w:rsid w:val="388008B3"/>
    <w:rsid w:val="38887767"/>
    <w:rsid w:val="388D1E72"/>
    <w:rsid w:val="388D68D4"/>
    <w:rsid w:val="388F39E7"/>
    <w:rsid w:val="38910D12"/>
    <w:rsid w:val="38972A67"/>
    <w:rsid w:val="38972D75"/>
    <w:rsid w:val="389B0AF4"/>
    <w:rsid w:val="389E342F"/>
    <w:rsid w:val="38A464F9"/>
    <w:rsid w:val="38A96204"/>
    <w:rsid w:val="38AD1B45"/>
    <w:rsid w:val="38B05B8F"/>
    <w:rsid w:val="38B56C48"/>
    <w:rsid w:val="38B67A98"/>
    <w:rsid w:val="38B82F9B"/>
    <w:rsid w:val="38B9253B"/>
    <w:rsid w:val="38C22C79"/>
    <w:rsid w:val="38CA3B3A"/>
    <w:rsid w:val="38CB2696"/>
    <w:rsid w:val="38CD07F6"/>
    <w:rsid w:val="38D46E50"/>
    <w:rsid w:val="38D50FF4"/>
    <w:rsid w:val="38DE55D9"/>
    <w:rsid w:val="38DF0CD9"/>
    <w:rsid w:val="38E26782"/>
    <w:rsid w:val="38E452E6"/>
    <w:rsid w:val="38E671BE"/>
    <w:rsid w:val="38E726E0"/>
    <w:rsid w:val="38F954F8"/>
    <w:rsid w:val="38FA68B7"/>
    <w:rsid w:val="39070FD4"/>
    <w:rsid w:val="39096AFA"/>
    <w:rsid w:val="391C3E52"/>
    <w:rsid w:val="391D25A6"/>
    <w:rsid w:val="391F00CC"/>
    <w:rsid w:val="391F335E"/>
    <w:rsid w:val="39216B01"/>
    <w:rsid w:val="39227BBC"/>
    <w:rsid w:val="39240A54"/>
    <w:rsid w:val="3924233B"/>
    <w:rsid w:val="39263CCA"/>
    <w:rsid w:val="392A081F"/>
    <w:rsid w:val="392F3EDF"/>
    <w:rsid w:val="393A388C"/>
    <w:rsid w:val="393A54C8"/>
    <w:rsid w:val="39414182"/>
    <w:rsid w:val="394418E0"/>
    <w:rsid w:val="39471586"/>
    <w:rsid w:val="39475874"/>
    <w:rsid w:val="39477622"/>
    <w:rsid w:val="394858D0"/>
    <w:rsid w:val="394B7113"/>
    <w:rsid w:val="394D6D12"/>
    <w:rsid w:val="39501A9A"/>
    <w:rsid w:val="39517A10"/>
    <w:rsid w:val="39571693"/>
    <w:rsid w:val="39580388"/>
    <w:rsid w:val="395A4DFE"/>
    <w:rsid w:val="39674039"/>
    <w:rsid w:val="396A50BF"/>
    <w:rsid w:val="396E1053"/>
    <w:rsid w:val="396F1445"/>
    <w:rsid w:val="39755107"/>
    <w:rsid w:val="39755F3E"/>
    <w:rsid w:val="3976787C"/>
    <w:rsid w:val="397C551E"/>
    <w:rsid w:val="397C593D"/>
    <w:rsid w:val="397D1296"/>
    <w:rsid w:val="397E36C5"/>
    <w:rsid w:val="398029E4"/>
    <w:rsid w:val="398E01CB"/>
    <w:rsid w:val="398E124A"/>
    <w:rsid w:val="399838FD"/>
    <w:rsid w:val="399A3BF6"/>
    <w:rsid w:val="399B34CA"/>
    <w:rsid w:val="39A133AA"/>
    <w:rsid w:val="39A93E39"/>
    <w:rsid w:val="39AD08EF"/>
    <w:rsid w:val="39AE222F"/>
    <w:rsid w:val="39B952CE"/>
    <w:rsid w:val="39BF365D"/>
    <w:rsid w:val="39C000D4"/>
    <w:rsid w:val="39C26CA9"/>
    <w:rsid w:val="39C66E1F"/>
    <w:rsid w:val="39CB3DB0"/>
    <w:rsid w:val="39CC2FA3"/>
    <w:rsid w:val="39D2513E"/>
    <w:rsid w:val="39D349ED"/>
    <w:rsid w:val="39D76BF8"/>
    <w:rsid w:val="39DC5FBD"/>
    <w:rsid w:val="39E16DE7"/>
    <w:rsid w:val="39E92488"/>
    <w:rsid w:val="39EE7A9E"/>
    <w:rsid w:val="39F76A8D"/>
    <w:rsid w:val="39F82C4C"/>
    <w:rsid w:val="39FC21BB"/>
    <w:rsid w:val="39FC665F"/>
    <w:rsid w:val="3A0040B4"/>
    <w:rsid w:val="3A0224A2"/>
    <w:rsid w:val="3A06128C"/>
    <w:rsid w:val="3A134E7C"/>
    <w:rsid w:val="3A157721"/>
    <w:rsid w:val="3A217E73"/>
    <w:rsid w:val="3A231E3E"/>
    <w:rsid w:val="3A2410F1"/>
    <w:rsid w:val="3A275858"/>
    <w:rsid w:val="3A2F2590"/>
    <w:rsid w:val="3A347F09"/>
    <w:rsid w:val="3A35120E"/>
    <w:rsid w:val="3A364044"/>
    <w:rsid w:val="3A3C2EFF"/>
    <w:rsid w:val="3A3D7024"/>
    <w:rsid w:val="3A4B3142"/>
    <w:rsid w:val="3A4E0689"/>
    <w:rsid w:val="3A4E09E5"/>
    <w:rsid w:val="3A4F01E6"/>
    <w:rsid w:val="3A557B1D"/>
    <w:rsid w:val="3A5A6FCD"/>
    <w:rsid w:val="3A614714"/>
    <w:rsid w:val="3A63223A"/>
    <w:rsid w:val="3A655CB7"/>
    <w:rsid w:val="3A661D2A"/>
    <w:rsid w:val="3A6A0CCC"/>
    <w:rsid w:val="3A6F026F"/>
    <w:rsid w:val="3A72247D"/>
    <w:rsid w:val="3A7E69E6"/>
    <w:rsid w:val="3A804B9A"/>
    <w:rsid w:val="3A830B2E"/>
    <w:rsid w:val="3A8B7AAA"/>
    <w:rsid w:val="3A916468"/>
    <w:rsid w:val="3A923B26"/>
    <w:rsid w:val="3A9248CD"/>
    <w:rsid w:val="3A9409EB"/>
    <w:rsid w:val="3A996A49"/>
    <w:rsid w:val="3A9D5FE1"/>
    <w:rsid w:val="3AAB0C3B"/>
    <w:rsid w:val="3AAD5BAB"/>
    <w:rsid w:val="3AB900AC"/>
    <w:rsid w:val="3ABC194A"/>
    <w:rsid w:val="3AC57639"/>
    <w:rsid w:val="3AC86541"/>
    <w:rsid w:val="3ACD6C2A"/>
    <w:rsid w:val="3AD9074E"/>
    <w:rsid w:val="3ADB28BD"/>
    <w:rsid w:val="3ADC3D9A"/>
    <w:rsid w:val="3ADD3F8A"/>
    <w:rsid w:val="3AE90426"/>
    <w:rsid w:val="3AEA6DB4"/>
    <w:rsid w:val="3AEC0481"/>
    <w:rsid w:val="3AEF3ACE"/>
    <w:rsid w:val="3AF174BA"/>
    <w:rsid w:val="3AF17846"/>
    <w:rsid w:val="3AF539A8"/>
    <w:rsid w:val="3AF80E99"/>
    <w:rsid w:val="3AFD443D"/>
    <w:rsid w:val="3AFD61EB"/>
    <w:rsid w:val="3B0537A9"/>
    <w:rsid w:val="3B0C290C"/>
    <w:rsid w:val="3B142DFB"/>
    <w:rsid w:val="3B1A3241"/>
    <w:rsid w:val="3B1B7B02"/>
    <w:rsid w:val="3B1C3679"/>
    <w:rsid w:val="3B2319C9"/>
    <w:rsid w:val="3B2D17A6"/>
    <w:rsid w:val="3B2E5E6E"/>
    <w:rsid w:val="3B345984"/>
    <w:rsid w:val="3B3724FD"/>
    <w:rsid w:val="3B381919"/>
    <w:rsid w:val="3B3911ED"/>
    <w:rsid w:val="3B526CA5"/>
    <w:rsid w:val="3B533B91"/>
    <w:rsid w:val="3B5612E6"/>
    <w:rsid w:val="3B581673"/>
    <w:rsid w:val="3B5F0C53"/>
    <w:rsid w:val="3B602C1D"/>
    <w:rsid w:val="3B6C3370"/>
    <w:rsid w:val="3B7266C3"/>
    <w:rsid w:val="3B762441"/>
    <w:rsid w:val="3B7A5A1C"/>
    <w:rsid w:val="3B7D732B"/>
    <w:rsid w:val="3B804B22"/>
    <w:rsid w:val="3B822F59"/>
    <w:rsid w:val="3B887511"/>
    <w:rsid w:val="3B8B7C9A"/>
    <w:rsid w:val="3B8C01FB"/>
    <w:rsid w:val="3B8D034F"/>
    <w:rsid w:val="3B8F5FC8"/>
    <w:rsid w:val="3B9129D1"/>
    <w:rsid w:val="3B9D1417"/>
    <w:rsid w:val="3BA40D5C"/>
    <w:rsid w:val="3BA526EA"/>
    <w:rsid w:val="3BAB3E99"/>
    <w:rsid w:val="3BB84807"/>
    <w:rsid w:val="3BC07044"/>
    <w:rsid w:val="3BC120E4"/>
    <w:rsid w:val="3BC14218"/>
    <w:rsid w:val="3BC35686"/>
    <w:rsid w:val="3BC96A15"/>
    <w:rsid w:val="3BCB7A9A"/>
    <w:rsid w:val="3BDB4052"/>
    <w:rsid w:val="3BE253E0"/>
    <w:rsid w:val="3BE41159"/>
    <w:rsid w:val="3BE41776"/>
    <w:rsid w:val="3BEE647B"/>
    <w:rsid w:val="3BFA4ABB"/>
    <w:rsid w:val="3C010D46"/>
    <w:rsid w:val="3C011D0B"/>
    <w:rsid w:val="3C063688"/>
    <w:rsid w:val="3C0A6701"/>
    <w:rsid w:val="3C0B5674"/>
    <w:rsid w:val="3C0D3013"/>
    <w:rsid w:val="3C0E4427"/>
    <w:rsid w:val="3C104741"/>
    <w:rsid w:val="3C156C47"/>
    <w:rsid w:val="3C241E9D"/>
    <w:rsid w:val="3C2854E9"/>
    <w:rsid w:val="3C2F0FC9"/>
    <w:rsid w:val="3C314375"/>
    <w:rsid w:val="3C3245BA"/>
    <w:rsid w:val="3C340332"/>
    <w:rsid w:val="3C342DA5"/>
    <w:rsid w:val="3C357C06"/>
    <w:rsid w:val="3C3F0A85"/>
    <w:rsid w:val="3C454CB2"/>
    <w:rsid w:val="3C5753BF"/>
    <w:rsid w:val="3C5A766D"/>
    <w:rsid w:val="3C5C1637"/>
    <w:rsid w:val="3C614F57"/>
    <w:rsid w:val="3C61687C"/>
    <w:rsid w:val="3C65601F"/>
    <w:rsid w:val="3C6E0D64"/>
    <w:rsid w:val="3C6F7834"/>
    <w:rsid w:val="3C7249B6"/>
    <w:rsid w:val="3C7324DC"/>
    <w:rsid w:val="3C771FCD"/>
    <w:rsid w:val="3C7E5A7E"/>
    <w:rsid w:val="3C7F0E81"/>
    <w:rsid w:val="3C8A1488"/>
    <w:rsid w:val="3C8C1F1C"/>
    <w:rsid w:val="3C8D1EB3"/>
    <w:rsid w:val="3C8F25F6"/>
    <w:rsid w:val="3C8F37BA"/>
    <w:rsid w:val="3C924E8D"/>
    <w:rsid w:val="3C961C72"/>
    <w:rsid w:val="3C9F5D1A"/>
    <w:rsid w:val="3CA134EE"/>
    <w:rsid w:val="3CB03348"/>
    <w:rsid w:val="3CB43221"/>
    <w:rsid w:val="3CCD7E3F"/>
    <w:rsid w:val="3CD218F9"/>
    <w:rsid w:val="3CD817E2"/>
    <w:rsid w:val="3CDD113C"/>
    <w:rsid w:val="3CE60F00"/>
    <w:rsid w:val="3CEC2D22"/>
    <w:rsid w:val="3CEF24AB"/>
    <w:rsid w:val="3CEF4259"/>
    <w:rsid w:val="3CF60ACF"/>
    <w:rsid w:val="3D031AB2"/>
    <w:rsid w:val="3D071835"/>
    <w:rsid w:val="3D087E91"/>
    <w:rsid w:val="3D0C4B48"/>
    <w:rsid w:val="3D12591E"/>
    <w:rsid w:val="3D16393C"/>
    <w:rsid w:val="3D25761C"/>
    <w:rsid w:val="3D2F6EFC"/>
    <w:rsid w:val="3D341631"/>
    <w:rsid w:val="3D3879AE"/>
    <w:rsid w:val="3D3B749E"/>
    <w:rsid w:val="3D3D1827"/>
    <w:rsid w:val="3D424389"/>
    <w:rsid w:val="3D436353"/>
    <w:rsid w:val="3D4566BD"/>
    <w:rsid w:val="3D536116"/>
    <w:rsid w:val="3D5A265A"/>
    <w:rsid w:val="3D5A2CB5"/>
    <w:rsid w:val="3D5C3FB9"/>
    <w:rsid w:val="3D651046"/>
    <w:rsid w:val="3D657227"/>
    <w:rsid w:val="3D6D517E"/>
    <w:rsid w:val="3D6F0C74"/>
    <w:rsid w:val="3D6F0EF6"/>
    <w:rsid w:val="3D8175A7"/>
    <w:rsid w:val="3D891FB8"/>
    <w:rsid w:val="3D965098"/>
    <w:rsid w:val="3DA07301"/>
    <w:rsid w:val="3DAA0180"/>
    <w:rsid w:val="3DAA18BD"/>
    <w:rsid w:val="3DAC214A"/>
    <w:rsid w:val="3DB2028A"/>
    <w:rsid w:val="3DB50FFF"/>
    <w:rsid w:val="3DB57251"/>
    <w:rsid w:val="3DB902F9"/>
    <w:rsid w:val="3DBC05DF"/>
    <w:rsid w:val="3DCB19FA"/>
    <w:rsid w:val="3DCE4475"/>
    <w:rsid w:val="3DD764CD"/>
    <w:rsid w:val="3DD96E06"/>
    <w:rsid w:val="3DE235C1"/>
    <w:rsid w:val="3DE61E54"/>
    <w:rsid w:val="3DEE7764"/>
    <w:rsid w:val="3DF24001"/>
    <w:rsid w:val="3DF338D5"/>
    <w:rsid w:val="3DF40FE5"/>
    <w:rsid w:val="3DF5764D"/>
    <w:rsid w:val="3DF67F6A"/>
    <w:rsid w:val="3DFB1917"/>
    <w:rsid w:val="3DFE4F02"/>
    <w:rsid w:val="3E0157FD"/>
    <w:rsid w:val="3E0B6E71"/>
    <w:rsid w:val="3E173A67"/>
    <w:rsid w:val="3E1D3EFC"/>
    <w:rsid w:val="3E210442"/>
    <w:rsid w:val="3E2148E6"/>
    <w:rsid w:val="3E295549"/>
    <w:rsid w:val="3E296CD3"/>
    <w:rsid w:val="3E49205B"/>
    <w:rsid w:val="3E5527E2"/>
    <w:rsid w:val="3E5A3954"/>
    <w:rsid w:val="3E5E1696"/>
    <w:rsid w:val="3E664D61"/>
    <w:rsid w:val="3E6F38A3"/>
    <w:rsid w:val="3E6F6F6D"/>
    <w:rsid w:val="3E752508"/>
    <w:rsid w:val="3E787C09"/>
    <w:rsid w:val="3E7A2248"/>
    <w:rsid w:val="3E8135D7"/>
    <w:rsid w:val="3E815385"/>
    <w:rsid w:val="3E8310FD"/>
    <w:rsid w:val="3E834C59"/>
    <w:rsid w:val="3E855855"/>
    <w:rsid w:val="3E89708E"/>
    <w:rsid w:val="3E8B6203"/>
    <w:rsid w:val="3E8B7FB1"/>
    <w:rsid w:val="3E8E7B3B"/>
    <w:rsid w:val="3E90381A"/>
    <w:rsid w:val="3E907559"/>
    <w:rsid w:val="3E930021"/>
    <w:rsid w:val="3E9465F8"/>
    <w:rsid w:val="3E95498C"/>
    <w:rsid w:val="3E991E91"/>
    <w:rsid w:val="3E9E2E8B"/>
    <w:rsid w:val="3E9E667F"/>
    <w:rsid w:val="3EA55D9E"/>
    <w:rsid w:val="3EAD7F28"/>
    <w:rsid w:val="3EB80E95"/>
    <w:rsid w:val="3EBE3EE3"/>
    <w:rsid w:val="3EC314F9"/>
    <w:rsid w:val="3ECC5999"/>
    <w:rsid w:val="3EDC25BB"/>
    <w:rsid w:val="3EDF49D6"/>
    <w:rsid w:val="3EE6168C"/>
    <w:rsid w:val="3EE871B2"/>
    <w:rsid w:val="3EEA117C"/>
    <w:rsid w:val="3EEC2178"/>
    <w:rsid w:val="3EF469B2"/>
    <w:rsid w:val="3EFC12C5"/>
    <w:rsid w:val="3F0538C0"/>
    <w:rsid w:val="3F0E1401"/>
    <w:rsid w:val="3F103E47"/>
    <w:rsid w:val="3F1A5BA7"/>
    <w:rsid w:val="3F21361D"/>
    <w:rsid w:val="3F2F4DE1"/>
    <w:rsid w:val="3F3073B8"/>
    <w:rsid w:val="3F373C95"/>
    <w:rsid w:val="3F374B51"/>
    <w:rsid w:val="3F3D5750"/>
    <w:rsid w:val="3F3F170D"/>
    <w:rsid w:val="3F413AD3"/>
    <w:rsid w:val="3F4940F4"/>
    <w:rsid w:val="3F4A7E6C"/>
    <w:rsid w:val="3F4D655A"/>
    <w:rsid w:val="3F5605BF"/>
    <w:rsid w:val="3F575C1E"/>
    <w:rsid w:val="3F5D7BA0"/>
    <w:rsid w:val="3F6525B0"/>
    <w:rsid w:val="3F6D76B7"/>
    <w:rsid w:val="3F705C23"/>
    <w:rsid w:val="3F730A99"/>
    <w:rsid w:val="3F740A45"/>
    <w:rsid w:val="3F7D74B7"/>
    <w:rsid w:val="3F7E3672"/>
    <w:rsid w:val="3F825F0A"/>
    <w:rsid w:val="3F852C53"/>
    <w:rsid w:val="3F87704C"/>
    <w:rsid w:val="3F8D57BD"/>
    <w:rsid w:val="3F9609BC"/>
    <w:rsid w:val="3F9F3D14"/>
    <w:rsid w:val="3FA07A8C"/>
    <w:rsid w:val="3FA532F5"/>
    <w:rsid w:val="3FAA090B"/>
    <w:rsid w:val="3FAA26B9"/>
    <w:rsid w:val="3FBA180C"/>
    <w:rsid w:val="3FBB6F9C"/>
    <w:rsid w:val="3FBD5032"/>
    <w:rsid w:val="3FBE7366"/>
    <w:rsid w:val="3FC17BDF"/>
    <w:rsid w:val="3FC372B1"/>
    <w:rsid w:val="3FC96FE3"/>
    <w:rsid w:val="3FD63366"/>
    <w:rsid w:val="3FD80FD4"/>
    <w:rsid w:val="3FDD063A"/>
    <w:rsid w:val="3FE12F9D"/>
    <w:rsid w:val="3FE200A5"/>
    <w:rsid w:val="3FE94F8F"/>
    <w:rsid w:val="3FF34FBC"/>
    <w:rsid w:val="3FF75270"/>
    <w:rsid w:val="3FFC108A"/>
    <w:rsid w:val="3FFE02A1"/>
    <w:rsid w:val="400C38A3"/>
    <w:rsid w:val="400E49F6"/>
    <w:rsid w:val="400E5F4D"/>
    <w:rsid w:val="401068A6"/>
    <w:rsid w:val="401364B0"/>
    <w:rsid w:val="40155D85"/>
    <w:rsid w:val="401D732F"/>
    <w:rsid w:val="402204A1"/>
    <w:rsid w:val="402661E4"/>
    <w:rsid w:val="402C0554"/>
    <w:rsid w:val="40307062"/>
    <w:rsid w:val="40313CBF"/>
    <w:rsid w:val="403501D5"/>
    <w:rsid w:val="404605CF"/>
    <w:rsid w:val="404623E2"/>
    <w:rsid w:val="40465868"/>
    <w:rsid w:val="404C551E"/>
    <w:rsid w:val="4050500F"/>
    <w:rsid w:val="40550877"/>
    <w:rsid w:val="40556AC9"/>
    <w:rsid w:val="405A2ECD"/>
    <w:rsid w:val="405A40DF"/>
    <w:rsid w:val="405D772B"/>
    <w:rsid w:val="405E3BCF"/>
    <w:rsid w:val="406120A5"/>
    <w:rsid w:val="406242B1"/>
    <w:rsid w:val="40642868"/>
    <w:rsid w:val="40657F6C"/>
    <w:rsid w:val="4067131E"/>
    <w:rsid w:val="406D4627"/>
    <w:rsid w:val="406E36E7"/>
    <w:rsid w:val="407A208B"/>
    <w:rsid w:val="407E6EA9"/>
    <w:rsid w:val="407F3B46"/>
    <w:rsid w:val="40845BAD"/>
    <w:rsid w:val="40890521"/>
    <w:rsid w:val="408A3414"/>
    <w:rsid w:val="40906885"/>
    <w:rsid w:val="40956347"/>
    <w:rsid w:val="40A25D1C"/>
    <w:rsid w:val="40A92971"/>
    <w:rsid w:val="40AB493B"/>
    <w:rsid w:val="40AB66E9"/>
    <w:rsid w:val="40AE7F87"/>
    <w:rsid w:val="40B57568"/>
    <w:rsid w:val="40BC2373"/>
    <w:rsid w:val="40BE7362"/>
    <w:rsid w:val="40C2758F"/>
    <w:rsid w:val="40C73FD6"/>
    <w:rsid w:val="40C83C56"/>
    <w:rsid w:val="40C9061E"/>
    <w:rsid w:val="40CE4185"/>
    <w:rsid w:val="40D07EFD"/>
    <w:rsid w:val="40D55C8D"/>
    <w:rsid w:val="40D62C4E"/>
    <w:rsid w:val="40D70300"/>
    <w:rsid w:val="40DC76A5"/>
    <w:rsid w:val="40DD1BDA"/>
    <w:rsid w:val="40E24800"/>
    <w:rsid w:val="40E65423"/>
    <w:rsid w:val="40E76A0D"/>
    <w:rsid w:val="40E82E52"/>
    <w:rsid w:val="40E9418A"/>
    <w:rsid w:val="40EA0A37"/>
    <w:rsid w:val="40F16F4F"/>
    <w:rsid w:val="40F55BB6"/>
    <w:rsid w:val="40F736DC"/>
    <w:rsid w:val="40F761A9"/>
    <w:rsid w:val="40F903FA"/>
    <w:rsid w:val="40F91839"/>
    <w:rsid w:val="40FE4A6B"/>
    <w:rsid w:val="4100148C"/>
    <w:rsid w:val="41006A35"/>
    <w:rsid w:val="410427B6"/>
    <w:rsid w:val="41067DC3"/>
    <w:rsid w:val="41072DEF"/>
    <w:rsid w:val="410A07A5"/>
    <w:rsid w:val="410F0A26"/>
    <w:rsid w:val="411078CD"/>
    <w:rsid w:val="4111534F"/>
    <w:rsid w:val="41123E0D"/>
    <w:rsid w:val="411D2CDF"/>
    <w:rsid w:val="41214BFD"/>
    <w:rsid w:val="4123781C"/>
    <w:rsid w:val="41250249"/>
    <w:rsid w:val="41263FC1"/>
    <w:rsid w:val="412839B3"/>
    <w:rsid w:val="41283B0B"/>
    <w:rsid w:val="412A0477"/>
    <w:rsid w:val="41344930"/>
    <w:rsid w:val="41356808"/>
    <w:rsid w:val="41362456"/>
    <w:rsid w:val="413D1A37"/>
    <w:rsid w:val="4142704D"/>
    <w:rsid w:val="4148337A"/>
    <w:rsid w:val="414D4331"/>
    <w:rsid w:val="415006B7"/>
    <w:rsid w:val="41526376"/>
    <w:rsid w:val="41567B89"/>
    <w:rsid w:val="415C79E3"/>
    <w:rsid w:val="41625FCF"/>
    <w:rsid w:val="41656898"/>
    <w:rsid w:val="416B252C"/>
    <w:rsid w:val="416C00D4"/>
    <w:rsid w:val="416C49EF"/>
    <w:rsid w:val="417967E7"/>
    <w:rsid w:val="418A09F4"/>
    <w:rsid w:val="418B1B81"/>
    <w:rsid w:val="418B4218"/>
    <w:rsid w:val="41A46060"/>
    <w:rsid w:val="41A73EAE"/>
    <w:rsid w:val="41AA074E"/>
    <w:rsid w:val="41AC0028"/>
    <w:rsid w:val="41AC74B3"/>
    <w:rsid w:val="41C901ED"/>
    <w:rsid w:val="41CA0DF1"/>
    <w:rsid w:val="41D028AB"/>
    <w:rsid w:val="41DB6413"/>
    <w:rsid w:val="41DB6C24"/>
    <w:rsid w:val="41DD6D76"/>
    <w:rsid w:val="41E41EB2"/>
    <w:rsid w:val="41EA4FEF"/>
    <w:rsid w:val="41EB696B"/>
    <w:rsid w:val="41EE3AD0"/>
    <w:rsid w:val="41FD11C6"/>
    <w:rsid w:val="41FD4D22"/>
    <w:rsid w:val="41FE1F8D"/>
    <w:rsid w:val="420503B8"/>
    <w:rsid w:val="42057598"/>
    <w:rsid w:val="42075CE5"/>
    <w:rsid w:val="42100EF9"/>
    <w:rsid w:val="4210589F"/>
    <w:rsid w:val="42113F9B"/>
    <w:rsid w:val="42114C71"/>
    <w:rsid w:val="42122C82"/>
    <w:rsid w:val="42143F44"/>
    <w:rsid w:val="42174BF7"/>
    <w:rsid w:val="422C3859"/>
    <w:rsid w:val="422F10E9"/>
    <w:rsid w:val="423001D3"/>
    <w:rsid w:val="424105EC"/>
    <w:rsid w:val="424773ED"/>
    <w:rsid w:val="424946D3"/>
    <w:rsid w:val="424961B9"/>
    <w:rsid w:val="42580728"/>
    <w:rsid w:val="425B7C9B"/>
    <w:rsid w:val="425F3C2F"/>
    <w:rsid w:val="42606EAF"/>
    <w:rsid w:val="42641245"/>
    <w:rsid w:val="4265497C"/>
    <w:rsid w:val="4265750B"/>
    <w:rsid w:val="42662571"/>
    <w:rsid w:val="42683702"/>
    <w:rsid w:val="428471F1"/>
    <w:rsid w:val="42905B96"/>
    <w:rsid w:val="42913241"/>
    <w:rsid w:val="42936744"/>
    <w:rsid w:val="42980EEF"/>
    <w:rsid w:val="42A50ADD"/>
    <w:rsid w:val="42A746A5"/>
    <w:rsid w:val="42A930FC"/>
    <w:rsid w:val="42AB6E74"/>
    <w:rsid w:val="42B25728"/>
    <w:rsid w:val="42B26FF9"/>
    <w:rsid w:val="42B53046"/>
    <w:rsid w:val="42BE5284"/>
    <w:rsid w:val="42BE6BA7"/>
    <w:rsid w:val="42C341BE"/>
    <w:rsid w:val="42C60F07"/>
    <w:rsid w:val="42D068DB"/>
    <w:rsid w:val="42D33CD5"/>
    <w:rsid w:val="42D4579F"/>
    <w:rsid w:val="42D635B0"/>
    <w:rsid w:val="42D737C5"/>
    <w:rsid w:val="42D97DFF"/>
    <w:rsid w:val="42E65F45"/>
    <w:rsid w:val="42E67EAC"/>
    <w:rsid w:val="42E70B6B"/>
    <w:rsid w:val="42E71FE7"/>
    <w:rsid w:val="42E83C24"/>
    <w:rsid w:val="42EC30F1"/>
    <w:rsid w:val="42F02AD9"/>
    <w:rsid w:val="42F06635"/>
    <w:rsid w:val="42F869B6"/>
    <w:rsid w:val="42FC546A"/>
    <w:rsid w:val="43036368"/>
    <w:rsid w:val="43087E22"/>
    <w:rsid w:val="4309548A"/>
    <w:rsid w:val="430D368B"/>
    <w:rsid w:val="43120CA1"/>
    <w:rsid w:val="43122A4F"/>
    <w:rsid w:val="43160791"/>
    <w:rsid w:val="43192030"/>
    <w:rsid w:val="431E7646"/>
    <w:rsid w:val="43212C92"/>
    <w:rsid w:val="43244531"/>
    <w:rsid w:val="432B1D63"/>
    <w:rsid w:val="432C4580"/>
    <w:rsid w:val="432E070E"/>
    <w:rsid w:val="43302ED5"/>
    <w:rsid w:val="433513BF"/>
    <w:rsid w:val="433D6827"/>
    <w:rsid w:val="433E55F2"/>
    <w:rsid w:val="434601B3"/>
    <w:rsid w:val="434E48F9"/>
    <w:rsid w:val="434F5A51"/>
    <w:rsid w:val="435350D9"/>
    <w:rsid w:val="4354241C"/>
    <w:rsid w:val="43572B58"/>
    <w:rsid w:val="43602A6F"/>
    <w:rsid w:val="436C06B0"/>
    <w:rsid w:val="436D4129"/>
    <w:rsid w:val="436F1C50"/>
    <w:rsid w:val="437C0871"/>
    <w:rsid w:val="437F793E"/>
    <w:rsid w:val="438163CD"/>
    <w:rsid w:val="43866F99"/>
    <w:rsid w:val="438A4ADE"/>
    <w:rsid w:val="4391606A"/>
    <w:rsid w:val="439671DC"/>
    <w:rsid w:val="439C056B"/>
    <w:rsid w:val="43A77473"/>
    <w:rsid w:val="43A77EE4"/>
    <w:rsid w:val="43AE09CA"/>
    <w:rsid w:val="43AF6881"/>
    <w:rsid w:val="43B21B3C"/>
    <w:rsid w:val="43B458B4"/>
    <w:rsid w:val="43B60C87"/>
    <w:rsid w:val="43B81849"/>
    <w:rsid w:val="43B93CD9"/>
    <w:rsid w:val="43B9736F"/>
    <w:rsid w:val="43CC0CF5"/>
    <w:rsid w:val="43D7667D"/>
    <w:rsid w:val="43DF385B"/>
    <w:rsid w:val="43E066A9"/>
    <w:rsid w:val="43E36A42"/>
    <w:rsid w:val="43E75C8A"/>
    <w:rsid w:val="43EC14F2"/>
    <w:rsid w:val="43EE526A"/>
    <w:rsid w:val="43F42155"/>
    <w:rsid w:val="44043123"/>
    <w:rsid w:val="441D16AC"/>
    <w:rsid w:val="441F7046"/>
    <w:rsid w:val="442D5E8A"/>
    <w:rsid w:val="442E38B9"/>
    <w:rsid w:val="44352C5C"/>
    <w:rsid w:val="4436451B"/>
    <w:rsid w:val="44380293"/>
    <w:rsid w:val="443C6B00"/>
    <w:rsid w:val="443F7A85"/>
    <w:rsid w:val="444430DC"/>
    <w:rsid w:val="444473A5"/>
    <w:rsid w:val="445157F9"/>
    <w:rsid w:val="44575B31"/>
    <w:rsid w:val="445F5DBB"/>
    <w:rsid w:val="44601F9B"/>
    <w:rsid w:val="44692B43"/>
    <w:rsid w:val="446C2633"/>
    <w:rsid w:val="448434D9"/>
    <w:rsid w:val="448B2AB9"/>
    <w:rsid w:val="44966F08"/>
    <w:rsid w:val="449A2CFC"/>
    <w:rsid w:val="449F26B5"/>
    <w:rsid w:val="44A57033"/>
    <w:rsid w:val="44A665F1"/>
    <w:rsid w:val="44AA63B0"/>
    <w:rsid w:val="44AB315B"/>
    <w:rsid w:val="44B244EA"/>
    <w:rsid w:val="44B7644A"/>
    <w:rsid w:val="44BA15F0"/>
    <w:rsid w:val="44BB06D3"/>
    <w:rsid w:val="44BC7116"/>
    <w:rsid w:val="44C125DD"/>
    <w:rsid w:val="44C164DB"/>
    <w:rsid w:val="44C85ABB"/>
    <w:rsid w:val="44CA64E6"/>
    <w:rsid w:val="44CD30D2"/>
    <w:rsid w:val="44D0671E"/>
    <w:rsid w:val="44D51F86"/>
    <w:rsid w:val="44D77AAC"/>
    <w:rsid w:val="44E1092B"/>
    <w:rsid w:val="44F20D8A"/>
    <w:rsid w:val="44F93EC7"/>
    <w:rsid w:val="44FC7513"/>
    <w:rsid w:val="44FF20C1"/>
    <w:rsid w:val="45046549"/>
    <w:rsid w:val="450C489A"/>
    <w:rsid w:val="4511585F"/>
    <w:rsid w:val="45124F88"/>
    <w:rsid w:val="45126D36"/>
    <w:rsid w:val="451A4A1B"/>
    <w:rsid w:val="451B3E28"/>
    <w:rsid w:val="45271858"/>
    <w:rsid w:val="45275543"/>
    <w:rsid w:val="45275C78"/>
    <w:rsid w:val="452B25D2"/>
    <w:rsid w:val="452F4035"/>
    <w:rsid w:val="45382593"/>
    <w:rsid w:val="453E514E"/>
    <w:rsid w:val="45401AF6"/>
    <w:rsid w:val="45442CF0"/>
    <w:rsid w:val="45444FAC"/>
    <w:rsid w:val="454753AF"/>
    <w:rsid w:val="454959B9"/>
    <w:rsid w:val="454D7C42"/>
    <w:rsid w:val="45516648"/>
    <w:rsid w:val="45523B6B"/>
    <w:rsid w:val="45562AD0"/>
    <w:rsid w:val="45581A78"/>
    <w:rsid w:val="455A14FA"/>
    <w:rsid w:val="45605CF4"/>
    <w:rsid w:val="4561381A"/>
    <w:rsid w:val="45693CEF"/>
    <w:rsid w:val="456D21BF"/>
    <w:rsid w:val="45701CAF"/>
    <w:rsid w:val="457572C5"/>
    <w:rsid w:val="457E617A"/>
    <w:rsid w:val="45811AE5"/>
    <w:rsid w:val="4588524B"/>
    <w:rsid w:val="458B3966"/>
    <w:rsid w:val="4597404F"/>
    <w:rsid w:val="459B52A8"/>
    <w:rsid w:val="45A33E32"/>
    <w:rsid w:val="45AB1302"/>
    <w:rsid w:val="45AB2CE7"/>
    <w:rsid w:val="45AC7C5B"/>
    <w:rsid w:val="45B002FD"/>
    <w:rsid w:val="45BF6C7C"/>
    <w:rsid w:val="45C41AF9"/>
    <w:rsid w:val="45C6590B"/>
    <w:rsid w:val="45CD5AF1"/>
    <w:rsid w:val="45D472F0"/>
    <w:rsid w:val="45D711C1"/>
    <w:rsid w:val="45D71D2E"/>
    <w:rsid w:val="45D97F60"/>
    <w:rsid w:val="45E9050C"/>
    <w:rsid w:val="45EA683B"/>
    <w:rsid w:val="45F11042"/>
    <w:rsid w:val="45F62A68"/>
    <w:rsid w:val="45FC0CDF"/>
    <w:rsid w:val="45FD4BF9"/>
    <w:rsid w:val="46035C3B"/>
    <w:rsid w:val="46084AF2"/>
    <w:rsid w:val="460A5ABA"/>
    <w:rsid w:val="460F13FC"/>
    <w:rsid w:val="46105782"/>
    <w:rsid w:val="46120628"/>
    <w:rsid w:val="4618037D"/>
    <w:rsid w:val="46232D1B"/>
    <w:rsid w:val="46244B06"/>
    <w:rsid w:val="46244F73"/>
    <w:rsid w:val="462879EF"/>
    <w:rsid w:val="462B3DAD"/>
    <w:rsid w:val="462B5FAB"/>
    <w:rsid w:val="462B7D2E"/>
    <w:rsid w:val="462E61DA"/>
    <w:rsid w:val="462E7BA0"/>
    <w:rsid w:val="46362EF9"/>
    <w:rsid w:val="463840E7"/>
    <w:rsid w:val="46397221"/>
    <w:rsid w:val="463B1C33"/>
    <w:rsid w:val="464C0026"/>
    <w:rsid w:val="46530FC2"/>
    <w:rsid w:val="46535BAB"/>
    <w:rsid w:val="46577518"/>
    <w:rsid w:val="4664740A"/>
    <w:rsid w:val="466730B2"/>
    <w:rsid w:val="46696E2A"/>
    <w:rsid w:val="466A0E2B"/>
    <w:rsid w:val="466B2BA2"/>
    <w:rsid w:val="466C2476"/>
    <w:rsid w:val="46704081"/>
    <w:rsid w:val="46712183"/>
    <w:rsid w:val="46730B0B"/>
    <w:rsid w:val="46765DD0"/>
    <w:rsid w:val="467C4DAF"/>
    <w:rsid w:val="467E7546"/>
    <w:rsid w:val="467E7FB4"/>
    <w:rsid w:val="46832AF2"/>
    <w:rsid w:val="4686217F"/>
    <w:rsid w:val="46965D88"/>
    <w:rsid w:val="469831A2"/>
    <w:rsid w:val="469F2087"/>
    <w:rsid w:val="46A9384C"/>
    <w:rsid w:val="46B008BF"/>
    <w:rsid w:val="46B03E5E"/>
    <w:rsid w:val="46B27E69"/>
    <w:rsid w:val="46B3080E"/>
    <w:rsid w:val="46B75F04"/>
    <w:rsid w:val="46B86E94"/>
    <w:rsid w:val="46BC1650"/>
    <w:rsid w:val="46BE611A"/>
    <w:rsid w:val="46C17A68"/>
    <w:rsid w:val="46C4737E"/>
    <w:rsid w:val="46C6602A"/>
    <w:rsid w:val="46CA4258"/>
    <w:rsid w:val="46D84B45"/>
    <w:rsid w:val="46DF533E"/>
    <w:rsid w:val="46EC205C"/>
    <w:rsid w:val="46EC35B7"/>
    <w:rsid w:val="46EC63E9"/>
    <w:rsid w:val="46F10506"/>
    <w:rsid w:val="46FA5E5E"/>
    <w:rsid w:val="46FA6A41"/>
    <w:rsid w:val="46FF32EA"/>
    <w:rsid w:val="4700508A"/>
    <w:rsid w:val="47024B89"/>
    <w:rsid w:val="47047201"/>
    <w:rsid w:val="471255FD"/>
    <w:rsid w:val="4714148C"/>
    <w:rsid w:val="471D463A"/>
    <w:rsid w:val="471D75AA"/>
    <w:rsid w:val="471F0C72"/>
    <w:rsid w:val="472035D2"/>
    <w:rsid w:val="47206CBE"/>
    <w:rsid w:val="47217705"/>
    <w:rsid w:val="47290367"/>
    <w:rsid w:val="47306EFC"/>
    <w:rsid w:val="47360787"/>
    <w:rsid w:val="47414C6F"/>
    <w:rsid w:val="47426DF8"/>
    <w:rsid w:val="47451DD0"/>
    <w:rsid w:val="474970C2"/>
    <w:rsid w:val="47514196"/>
    <w:rsid w:val="47533F65"/>
    <w:rsid w:val="475A2932"/>
    <w:rsid w:val="475A6773"/>
    <w:rsid w:val="475B59B7"/>
    <w:rsid w:val="475C698F"/>
    <w:rsid w:val="476339CE"/>
    <w:rsid w:val="476475F1"/>
    <w:rsid w:val="47653A95"/>
    <w:rsid w:val="47677B4A"/>
    <w:rsid w:val="476D7C3C"/>
    <w:rsid w:val="476E408F"/>
    <w:rsid w:val="4770243A"/>
    <w:rsid w:val="477A5376"/>
    <w:rsid w:val="477C109A"/>
    <w:rsid w:val="477F52E6"/>
    <w:rsid w:val="47857A40"/>
    <w:rsid w:val="47886B5A"/>
    <w:rsid w:val="478F28C0"/>
    <w:rsid w:val="479021CA"/>
    <w:rsid w:val="47947ED7"/>
    <w:rsid w:val="479E6FA7"/>
    <w:rsid w:val="47A04ACD"/>
    <w:rsid w:val="47A345BE"/>
    <w:rsid w:val="47A42400"/>
    <w:rsid w:val="47A619B8"/>
    <w:rsid w:val="47AA76FA"/>
    <w:rsid w:val="47B2292F"/>
    <w:rsid w:val="47B40579"/>
    <w:rsid w:val="47B6609F"/>
    <w:rsid w:val="47BF103B"/>
    <w:rsid w:val="47C03E43"/>
    <w:rsid w:val="47C14A44"/>
    <w:rsid w:val="47C84389"/>
    <w:rsid w:val="47CA0235"/>
    <w:rsid w:val="47CD33E9"/>
    <w:rsid w:val="47D868BC"/>
    <w:rsid w:val="47E32C0C"/>
    <w:rsid w:val="47F076B7"/>
    <w:rsid w:val="47F210A1"/>
    <w:rsid w:val="47F34762"/>
    <w:rsid w:val="47F60B91"/>
    <w:rsid w:val="47F95F8C"/>
    <w:rsid w:val="47FA65A7"/>
    <w:rsid w:val="47FC7366"/>
    <w:rsid w:val="48004720"/>
    <w:rsid w:val="48014387"/>
    <w:rsid w:val="480439F2"/>
    <w:rsid w:val="480908C5"/>
    <w:rsid w:val="480C3F11"/>
    <w:rsid w:val="481334F1"/>
    <w:rsid w:val="481377D2"/>
    <w:rsid w:val="481438CD"/>
    <w:rsid w:val="48194880"/>
    <w:rsid w:val="481A5153"/>
    <w:rsid w:val="481C00D4"/>
    <w:rsid w:val="481C1C7A"/>
    <w:rsid w:val="481D065D"/>
    <w:rsid w:val="4820176A"/>
    <w:rsid w:val="48217291"/>
    <w:rsid w:val="482515E9"/>
    <w:rsid w:val="48253716"/>
    <w:rsid w:val="4828061F"/>
    <w:rsid w:val="48284AC3"/>
    <w:rsid w:val="4828582E"/>
    <w:rsid w:val="483A714A"/>
    <w:rsid w:val="483A7BD9"/>
    <w:rsid w:val="48401E0D"/>
    <w:rsid w:val="48413976"/>
    <w:rsid w:val="48424EB2"/>
    <w:rsid w:val="484511D1"/>
    <w:rsid w:val="484A4A39"/>
    <w:rsid w:val="484C6A03"/>
    <w:rsid w:val="484F2050"/>
    <w:rsid w:val="48517973"/>
    <w:rsid w:val="48613938"/>
    <w:rsid w:val="4866789E"/>
    <w:rsid w:val="486B300D"/>
    <w:rsid w:val="48724017"/>
    <w:rsid w:val="48735D3E"/>
    <w:rsid w:val="48750A8C"/>
    <w:rsid w:val="48765EF0"/>
    <w:rsid w:val="488009C0"/>
    <w:rsid w:val="48831CF9"/>
    <w:rsid w:val="4886147B"/>
    <w:rsid w:val="4888202E"/>
    <w:rsid w:val="488C2319"/>
    <w:rsid w:val="488F3217"/>
    <w:rsid w:val="48933D90"/>
    <w:rsid w:val="489B5295"/>
    <w:rsid w:val="48A64365"/>
    <w:rsid w:val="48A73C3A"/>
    <w:rsid w:val="48AA54D8"/>
    <w:rsid w:val="48AB372A"/>
    <w:rsid w:val="48AF2AEE"/>
    <w:rsid w:val="48B067CF"/>
    <w:rsid w:val="48B224D2"/>
    <w:rsid w:val="48BC2DE1"/>
    <w:rsid w:val="48BF2D31"/>
    <w:rsid w:val="48C06AA9"/>
    <w:rsid w:val="48C259AC"/>
    <w:rsid w:val="48C301EE"/>
    <w:rsid w:val="48C4659A"/>
    <w:rsid w:val="48CE7418"/>
    <w:rsid w:val="48D97D86"/>
    <w:rsid w:val="48DE4B2F"/>
    <w:rsid w:val="48E07B1E"/>
    <w:rsid w:val="48E46C3C"/>
    <w:rsid w:val="48E47644"/>
    <w:rsid w:val="48EA5260"/>
    <w:rsid w:val="48EC3D42"/>
    <w:rsid w:val="48EE7ABB"/>
    <w:rsid w:val="48F055E1"/>
    <w:rsid w:val="48F71942"/>
    <w:rsid w:val="48F74BC1"/>
    <w:rsid w:val="48FD7CFE"/>
    <w:rsid w:val="48FF75D2"/>
    <w:rsid w:val="49001FC6"/>
    <w:rsid w:val="4901159C"/>
    <w:rsid w:val="4904176B"/>
    <w:rsid w:val="4916491B"/>
    <w:rsid w:val="491B4D4A"/>
    <w:rsid w:val="49221512"/>
    <w:rsid w:val="49296D45"/>
    <w:rsid w:val="492C2CAA"/>
    <w:rsid w:val="493C25D4"/>
    <w:rsid w:val="493D7EB8"/>
    <w:rsid w:val="49425710"/>
    <w:rsid w:val="49457DCB"/>
    <w:rsid w:val="494B2817"/>
    <w:rsid w:val="494B7DAA"/>
    <w:rsid w:val="49521DF7"/>
    <w:rsid w:val="49555444"/>
    <w:rsid w:val="495C2045"/>
    <w:rsid w:val="495C4A24"/>
    <w:rsid w:val="49617153"/>
    <w:rsid w:val="49634005"/>
    <w:rsid w:val="49643131"/>
    <w:rsid w:val="496759DC"/>
    <w:rsid w:val="496B4C67"/>
    <w:rsid w:val="496B6728"/>
    <w:rsid w:val="496D45F2"/>
    <w:rsid w:val="49703B8A"/>
    <w:rsid w:val="49741323"/>
    <w:rsid w:val="49753D38"/>
    <w:rsid w:val="49822F20"/>
    <w:rsid w:val="49873CEA"/>
    <w:rsid w:val="498D2E30"/>
    <w:rsid w:val="49975A5C"/>
    <w:rsid w:val="499A5CAE"/>
    <w:rsid w:val="499D3EF2"/>
    <w:rsid w:val="499F47C2"/>
    <w:rsid w:val="49A168DB"/>
    <w:rsid w:val="49AF0FF8"/>
    <w:rsid w:val="49B14EF6"/>
    <w:rsid w:val="49B91E77"/>
    <w:rsid w:val="49BE123B"/>
    <w:rsid w:val="49CA454D"/>
    <w:rsid w:val="49D02942"/>
    <w:rsid w:val="49D06913"/>
    <w:rsid w:val="49D24CE6"/>
    <w:rsid w:val="49D97E23"/>
    <w:rsid w:val="49DE18DD"/>
    <w:rsid w:val="49DF0604"/>
    <w:rsid w:val="49E05655"/>
    <w:rsid w:val="49E15142"/>
    <w:rsid w:val="49ED5FA6"/>
    <w:rsid w:val="49ED7D72"/>
    <w:rsid w:val="49EF5898"/>
    <w:rsid w:val="49F11610"/>
    <w:rsid w:val="49F65854"/>
    <w:rsid w:val="49FA0A48"/>
    <w:rsid w:val="49FB5CEC"/>
    <w:rsid w:val="4A093BB6"/>
    <w:rsid w:val="4A0E055A"/>
    <w:rsid w:val="4A174DEF"/>
    <w:rsid w:val="4A2E4FA1"/>
    <w:rsid w:val="4A347F6C"/>
    <w:rsid w:val="4A3C4254"/>
    <w:rsid w:val="4A3D2AA8"/>
    <w:rsid w:val="4A437992"/>
    <w:rsid w:val="4A4831FA"/>
    <w:rsid w:val="4A4A2ACF"/>
    <w:rsid w:val="4A4D25BF"/>
    <w:rsid w:val="4A5120AF"/>
    <w:rsid w:val="4A5175A2"/>
    <w:rsid w:val="4A541B9F"/>
    <w:rsid w:val="4A581909"/>
    <w:rsid w:val="4A596EA5"/>
    <w:rsid w:val="4A5C2D78"/>
    <w:rsid w:val="4A5E2A1E"/>
    <w:rsid w:val="4A6203CD"/>
    <w:rsid w:val="4A631DE2"/>
    <w:rsid w:val="4A633B90"/>
    <w:rsid w:val="4A666C91"/>
    <w:rsid w:val="4A6B6256"/>
    <w:rsid w:val="4A6C0C97"/>
    <w:rsid w:val="4A6F2535"/>
    <w:rsid w:val="4A6F68E4"/>
    <w:rsid w:val="4A712751"/>
    <w:rsid w:val="4A7364C9"/>
    <w:rsid w:val="4A7933B4"/>
    <w:rsid w:val="4A8155C7"/>
    <w:rsid w:val="4A821F76"/>
    <w:rsid w:val="4A855DA0"/>
    <w:rsid w:val="4A857FAB"/>
    <w:rsid w:val="4A873D23"/>
    <w:rsid w:val="4A895CED"/>
    <w:rsid w:val="4A8F4985"/>
    <w:rsid w:val="4A952667"/>
    <w:rsid w:val="4A965D14"/>
    <w:rsid w:val="4A9D52F4"/>
    <w:rsid w:val="4AA25200"/>
    <w:rsid w:val="4AA94B8B"/>
    <w:rsid w:val="4AAF6DD6"/>
    <w:rsid w:val="4AB56AE2"/>
    <w:rsid w:val="4AB60164"/>
    <w:rsid w:val="4ABB1DA7"/>
    <w:rsid w:val="4ABE6423"/>
    <w:rsid w:val="4AC5484B"/>
    <w:rsid w:val="4ACB00B3"/>
    <w:rsid w:val="4ACE54AE"/>
    <w:rsid w:val="4AD55B40"/>
    <w:rsid w:val="4AD81E57"/>
    <w:rsid w:val="4AD8457E"/>
    <w:rsid w:val="4ADA6D2D"/>
    <w:rsid w:val="4AE72A13"/>
    <w:rsid w:val="4AEB2504"/>
    <w:rsid w:val="4AEE78FE"/>
    <w:rsid w:val="4AF34F14"/>
    <w:rsid w:val="4AF3760A"/>
    <w:rsid w:val="4AF55130"/>
    <w:rsid w:val="4AFA1BE7"/>
    <w:rsid w:val="4B0051C2"/>
    <w:rsid w:val="4B005883"/>
    <w:rsid w:val="4B082A12"/>
    <w:rsid w:val="4B0B04B0"/>
    <w:rsid w:val="4B142AE3"/>
    <w:rsid w:val="4B153669"/>
    <w:rsid w:val="4B1F6685"/>
    <w:rsid w:val="4B2477C4"/>
    <w:rsid w:val="4B2F2866"/>
    <w:rsid w:val="4B346231"/>
    <w:rsid w:val="4B370F67"/>
    <w:rsid w:val="4B383175"/>
    <w:rsid w:val="4B38326F"/>
    <w:rsid w:val="4B38501D"/>
    <w:rsid w:val="4B3B68BB"/>
    <w:rsid w:val="4B3C2D5F"/>
    <w:rsid w:val="4B3F63AB"/>
    <w:rsid w:val="4B416003"/>
    <w:rsid w:val="4B491944"/>
    <w:rsid w:val="4B49722A"/>
    <w:rsid w:val="4B4A0E91"/>
    <w:rsid w:val="4B50680B"/>
    <w:rsid w:val="4B531E57"/>
    <w:rsid w:val="4B53757D"/>
    <w:rsid w:val="4B5A4F93"/>
    <w:rsid w:val="4B607B39"/>
    <w:rsid w:val="4B663938"/>
    <w:rsid w:val="4B72052F"/>
    <w:rsid w:val="4B7275AD"/>
    <w:rsid w:val="4B7511B6"/>
    <w:rsid w:val="4B756271"/>
    <w:rsid w:val="4B8464B4"/>
    <w:rsid w:val="4B8B7843"/>
    <w:rsid w:val="4B8D35BB"/>
    <w:rsid w:val="4B9009B5"/>
    <w:rsid w:val="4B9530C4"/>
    <w:rsid w:val="4B991F60"/>
    <w:rsid w:val="4B9C1A50"/>
    <w:rsid w:val="4B9F6E4A"/>
    <w:rsid w:val="4BA12D99"/>
    <w:rsid w:val="4BA74AAE"/>
    <w:rsid w:val="4BAB1C93"/>
    <w:rsid w:val="4BAB3A41"/>
    <w:rsid w:val="4BAC42C6"/>
    <w:rsid w:val="4BB212E5"/>
    <w:rsid w:val="4BB73FC9"/>
    <w:rsid w:val="4BB8488D"/>
    <w:rsid w:val="4BBA3703"/>
    <w:rsid w:val="4BC919AF"/>
    <w:rsid w:val="4BCB5E91"/>
    <w:rsid w:val="4BCB5F67"/>
    <w:rsid w:val="4BCB7C3F"/>
    <w:rsid w:val="4BCF6BA4"/>
    <w:rsid w:val="4BD023EF"/>
    <w:rsid w:val="4BD258F2"/>
    <w:rsid w:val="4BE551A5"/>
    <w:rsid w:val="4BFF5B3B"/>
    <w:rsid w:val="4C070712"/>
    <w:rsid w:val="4C0C69D1"/>
    <w:rsid w:val="4C0E3588"/>
    <w:rsid w:val="4C0E417D"/>
    <w:rsid w:val="4C1930A0"/>
    <w:rsid w:val="4C194E4E"/>
    <w:rsid w:val="4C1E4213"/>
    <w:rsid w:val="4C242D73"/>
    <w:rsid w:val="4C2461E1"/>
    <w:rsid w:val="4C2A0895"/>
    <w:rsid w:val="4C2D0DD9"/>
    <w:rsid w:val="4C2D4456"/>
    <w:rsid w:val="4C303F46"/>
    <w:rsid w:val="4C3103EA"/>
    <w:rsid w:val="4C334692"/>
    <w:rsid w:val="4C3B1A9E"/>
    <w:rsid w:val="4C4C4933"/>
    <w:rsid w:val="4C513E72"/>
    <w:rsid w:val="4C523EBC"/>
    <w:rsid w:val="4C555ECC"/>
    <w:rsid w:val="4C5639AD"/>
    <w:rsid w:val="4C5835CD"/>
    <w:rsid w:val="4C5D473E"/>
    <w:rsid w:val="4C6205A3"/>
    <w:rsid w:val="4C621B1B"/>
    <w:rsid w:val="4C681932"/>
    <w:rsid w:val="4C6A4F1C"/>
    <w:rsid w:val="4C6F4A6E"/>
    <w:rsid w:val="4C7622A1"/>
    <w:rsid w:val="4C787DC7"/>
    <w:rsid w:val="4C7E226E"/>
    <w:rsid w:val="4C85076C"/>
    <w:rsid w:val="4C850C19"/>
    <w:rsid w:val="4C9D1931"/>
    <w:rsid w:val="4CA3296A"/>
    <w:rsid w:val="4CA36F76"/>
    <w:rsid w:val="4CAB7E88"/>
    <w:rsid w:val="4CBD7ED0"/>
    <w:rsid w:val="4CC16D82"/>
    <w:rsid w:val="4CD314A1"/>
    <w:rsid w:val="4CD97644"/>
    <w:rsid w:val="4CDF5BD4"/>
    <w:rsid w:val="4CE76589"/>
    <w:rsid w:val="4CED7F85"/>
    <w:rsid w:val="4CF619B6"/>
    <w:rsid w:val="4CF94FA7"/>
    <w:rsid w:val="4CFA0BD8"/>
    <w:rsid w:val="4CFD02CC"/>
    <w:rsid w:val="4CFF6924"/>
    <w:rsid w:val="4D046F69"/>
    <w:rsid w:val="4D0D1DF7"/>
    <w:rsid w:val="4D167536"/>
    <w:rsid w:val="4D1A0E7E"/>
    <w:rsid w:val="4D1B0752"/>
    <w:rsid w:val="4D1C7E93"/>
    <w:rsid w:val="4D1D3216"/>
    <w:rsid w:val="4D1D44CA"/>
    <w:rsid w:val="4D1F46E6"/>
    <w:rsid w:val="4D2012D5"/>
    <w:rsid w:val="4D23781E"/>
    <w:rsid w:val="4D2E66D8"/>
    <w:rsid w:val="4D316675"/>
    <w:rsid w:val="4D452DE0"/>
    <w:rsid w:val="4D471A63"/>
    <w:rsid w:val="4D4759EB"/>
    <w:rsid w:val="4D4B3ECB"/>
    <w:rsid w:val="4D501E62"/>
    <w:rsid w:val="4D785BA5"/>
    <w:rsid w:val="4D837724"/>
    <w:rsid w:val="4D8409ED"/>
    <w:rsid w:val="4D84279B"/>
    <w:rsid w:val="4D922C92"/>
    <w:rsid w:val="4D926C66"/>
    <w:rsid w:val="4D9702F3"/>
    <w:rsid w:val="4D9D16E6"/>
    <w:rsid w:val="4DA30E74"/>
    <w:rsid w:val="4DA370C6"/>
    <w:rsid w:val="4DA644C0"/>
    <w:rsid w:val="4DAE7818"/>
    <w:rsid w:val="4DB214BF"/>
    <w:rsid w:val="4DB37D0A"/>
    <w:rsid w:val="4DB73152"/>
    <w:rsid w:val="4DB90697"/>
    <w:rsid w:val="4DBD27D7"/>
    <w:rsid w:val="4DC40DEA"/>
    <w:rsid w:val="4DCE4821"/>
    <w:rsid w:val="4DCF13B8"/>
    <w:rsid w:val="4DD0778F"/>
    <w:rsid w:val="4DD17CCE"/>
    <w:rsid w:val="4DD51249"/>
    <w:rsid w:val="4DD52FF7"/>
    <w:rsid w:val="4DD70FFB"/>
    <w:rsid w:val="4DD76D6F"/>
    <w:rsid w:val="4DDB3749"/>
    <w:rsid w:val="4DDE0BED"/>
    <w:rsid w:val="4DE17BEE"/>
    <w:rsid w:val="4DE33966"/>
    <w:rsid w:val="4DE60D60"/>
    <w:rsid w:val="4DEA3D63"/>
    <w:rsid w:val="4DEC54A2"/>
    <w:rsid w:val="4DED20EF"/>
    <w:rsid w:val="4DF25957"/>
    <w:rsid w:val="4DF3347D"/>
    <w:rsid w:val="4DF37745"/>
    <w:rsid w:val="4DFC4A28"/>
    <w:rsid w:val="4DFE4C02"/>
    <w:rsid w:val="4E013989"/>
    <w:rsid w:val="4E04568A"/>
    <w:rsid w:val="4E0631B0"/>
    <w:rsid w:val="4E0D09E3"/>
    <w:rsid w:val="4E10402F"/>
    <w:rsid w:val="4E11148B"/>
    <w:rsid w:val="4E122358"/>
    <w:rsid w:val="4E1458CD"/>
    <w:rsid w:val="4E1A6C5C"/>
    <w:rsid w:val="4E21623C"/>
    <w:rsid w:val="4E223A1D"/>
    <w:rsid w:val="4E283848"/>
    <w:rsid w:val="4E2E62C4"/>
    <w:rsid w:val="4E2F7FE4"/>
    <w:rsid w:val="4E30022D"/>
    <w:rsid w:val="4E3221F7"/>
    <w:rsid w:val="4E335B5D"/>
    <w:rsid w:val="4E35193A"/>
    <w:rsid w:val="4E375A78"/>
    <w:rsid w:val="4E39137A"/>
    <w:rsid w:val="4E3C3076"/>
    <w:rsid w:val="4E3E7D11"/>
    <w:rsid w:val="4E465CA3"/>
    <w:rsid w:val="4E481B7F"/>
    <w:rsid w:val="4E49355D"/>
    <w:rsid w:val="4E4A7E84"/>
    <w:rsid w:val="4E516B22"/>
    <w:rsid w:val="4E597784"/>
    <w:rsid w:val="4E5C65C0"/>
    <w:rsid w:val="4E5E7119"/>
    <w:rsid w:val="4E604FB7"/>
    <w:rsid w:val="4E640D06"/>
    <w:rsid w:val="4E656129"/>
    <w:rsid w:val="4E6A373F"/>
    <w:rsid w:val="4E6C5709"/>
    <w:rsid w:val="4E6D653B"/>
    <w:rsid w:val="4E7C5914"/>
    <w:rsid w:val="4E7F7BF0"/>
    <w:rsid w:val="4E8178AA"/>
    <w:rsid w:val="4E842A5B"/>
    <w:rsid w:val="4E86609F"/>
    <w:rsid w:val="4E8A40BE"/>
    <w:rsid w:val="4E8C5DAC"/>
    <w:rsid w:val="4E9133C2"/>
    <w:rsid w:val="4E9D36B9"/>
    <w:rsid w:val="4EA10465"/>
    <w:rsid w:val="4EA529C9"/>
    <w:rsid w:val="4EA604F0"/>
    <w:rsid w:val="4EAA6232"/>
    <w:rsid w:val="4EAE1523"/>
    <w:rsid w:val="4EB15812"/>
    <w:rsid w:val="4EB42C0C"/>
    <w:rsid w:val="4EBF7184"/>
    <w:rsid w:val="4EC16211"/>
    <w:rsid w:val="4EC217CD"/>
    <w:rsid w:val="4EC315FE"/>
    <w:rsid w:val="4EC533B4"/>
    <w:rsid w:val="4ECE3FD6"/>
    <w:rsid w:val="4ECF7A46"/>
    <w:rsid w:val="4ED11A10"/>
    <w:rsid w:val="4ED60DD5"/>
    <w:rsid w:val="4EDE412D"/>
    <w:rsid w:val="4EE5726A"/>
    <w:rsid w:val="4EEF00E8"/>
    <w:rsid w:val="4EF120B3"/>
    <w:rsid w:val="4EF179BD"/>
    <w:rsid w:val="4EF56C95"/>
    <w:rsid w:val="4EF70BC2"/>
    <w:rsid w:val="4EF97A46"/>
    <w:rsid w:val="4F041DE6"/>
    <w:rsid w:val="4F0C2A48"/>
    <w:rsid w:val="4F0D4E72"/>
    <w:rsid w:val="4F0F3A8F"/>
    <w:rsid w:val="4F183D9C"/>
    <w:rsid w:val="4F18763F"/>
    <w:rsid w:val="4F195165"/>
    <w:rsid w:val="4F195FF9"/>
    <w:rsid w:val="4F1A33B7"/>
    <w:rsid w:val="4F221F2D"/>
    <w:rsid w:val="4F235340"/>
    <w:rsid w:val="4F2D2696"/>
    <w:rsid w:val="4F2E0A82"/>
    <w:rsid w:val="4F324C4A"/>
    <w:rsid w:val="4F3E697A"/>
    <w:rsid w:val="4F4206AE"/>
    <w:rsid w:val="4F45577A"/>
    <w:rsid w:val="4F4D2326"/>
    <w:rsid w:val="4F4F0B87"/>
    <w:rsid w:val="4F4F0BC5"/>
    <w:rsid w:val="4F4F62D2"/>
    <w:rsid w:val="4F532425"/>
    <w:rsid w:val="4F5341B6"/>
    <w:rsid w:val="4F557DA1"/>
    <w:rsid w:val="4F587A3C"/>
    <w:rsid w:val="4F650206"/>
    <w:rsid w:val="4F771971"/>
    <w:rsid w:val="4F797B19"/>
    <w:rsid w:val="4F7A5C04"/>
    <w:rsid w:val="4F802680"/>
    <w:rsid w:val="4F8D5EF2"/>
    <w:rsid w:val="4F8F4C9C"/>
    <w:rsid w:val="4F957115"/>
    <w:rsid w:val="4F9C11AB"/>
    <w:rsid w:val="4F9C343B"/>
    <w:rsid w:val="4FA230B5"/>
    <w:rsid w:val="4FA709C3"/>
    <w:rsid w:val="4FA7451F"/>
    <w:rsid w:val="4FA7741C"/>
    <w:rsid w:val="4FA871C7"/>
    <w:rsid w:val="4FAB3A3C"/>
    <w:rsid w:val="4FB15476"/>
    <w:rsid w:val="4FC11C4D"/>
    <w:rsid w:val="4FC7696F"/>
    <w:rsid w:val="4FC9542E"/>
    <w:rsid w:val="4FD32219"/>
    <w:rsid w:val="4FD878A0"/>
    <w:rsid w:val="4FD968D2"/>
    <w:rsid w:val="4FDC5C23"/>
    <w:rsid w:val="4FDF63AF"/>
    <w:rsid w:val="4FE439C5"/>
    <w:rsid w:val="4FE85264"/>
    <w:rsid w:val="4FF07EA2"/>
    <w:rsid w:val="4FF260E2"/>
    <w:rsid w:val="4FF365C3"/>
    <w:rsid w:val="4FFC0D0F"/>
    <w:rsid w:val="4FFE6835"/>
    <w:rsid w:val="50043B65"/>
    <w:rsid w:val="500E27F0"/>
    <w:rsid w:val="500F3853"/>
    <w:rsid w:val="501005BA"/>
    <w:rsid w:val="501075C3"/>
    <w:rsid w:val="50120149"/>
    <w:rsid w:val="50124AB3"/>
    <w:rsid w:val="5015592D"/>
    <w:rsid w:val="50182CF3"/>
    <w:rsid w:val="501E7E6D"/>
    <w:rsid w:val="501F0A7A"/>
    <w:rsid w:val="501F73AB"/>
    <w:rsid w:val="50250266"/>
    <w:rsid w:val="50253226"/>
    <w:rsid w:val="502617E8"/>
    <w:rsid w:val="502A1CE1"/>
    <w:rsid w:val="502B5150"/>
    <w:rsid w:val="503D03B4"/>
    <w:rsid w:val="504D0CA5"/>
    <w:rsid w:val="504E1879"/>
    <w:rsid w:val="50526B81"/>
    <w:rsid w:val="50583ADD"/>
    <w:rsid w:val="50593A6B"/>
    <w:rsid w:val="505E4442"/>
    <w:rsid w:val="505E72D4"/>
    <w:rsid w:val="50624906"/>
    <w:rsid w:val="50680E4F"/>
    <w:rsid w:val="506C7DBD"/>
    <w:rsid w:val="506F6F85"/>
    <w:rsid w:val="507914D1"/>
    <w:rsid w:val="50866B96"/>
    <w:rsid w:val="508825A3"/>
    <w:rsid w:val="508D5E0B"/>
    <w:rsid w:val="5094727A"/>
    <w:rsid w:val="509D67D0"/>
    <w:rsid w:val="509E185C"/>
    <w:rsid w:val="509F054C"/>
    <w:rsid w:val="509F62C9"/>
    <w:rsid w:val="50AD025B"/>
    <w:rsid w:val="50B63C02"/>
    <w:rsid w:val="50BB5D80"/>
    <w:rsid w:val="50BD0B56"/>
    <w:rsid w:val="50CF02A4"/>
    <w:rsid w:val="50D2486B"/>
    <w:rsid w:val="50D6330E"/>
    <w:rsid w:val="50DA0D82"/>
    <w:rsid w:val="50E15FBF"/>
    <w:rsid w:val="50E275F7"/>
    <w:rsid w:val="50F1639A"/>
    <w:rsid w:val="50F53EBC"/>
    <w:rsid w:val="50F73284"/>
    <w:rsid w:val="50FA133A"/>
    <w:rsid w:val="51021C61"/>
    <w:rsid w:val="51022355"/>
    <w:rsid w:val="51043C0D"/>
    <w:rsid w:val="51072AF5"/>
    <w:rsid w:val="510A2FB8"/>
    <w:rsid w:val="510F1C3C"/>
    <w:rsid w:val="51165E00"/>
    <w:rsid w:val="511931FB"/>
    <w:rsid w:val="511C421F"/>
    <w:rsid w:val="511F54FA"/>
    <w:rsid w:val="51273B6A"/>
    <w:rsid w:val="512A2D1B"/>
    <w:rsid w:val="512A4B63"/>
    <w:rsid w:val="513242BC"/>
    <w:rsid w:val="51360251"/>
    <w:rsid w:val="513B13C3"/>
    <w:rsid w:val="513B1B51"/>
    <w:rsid w:val="513C75D3"/>
    <w:rsid w:val="51663C9A"/>
    <w:rsid w:val="51703763"/>
    <w:rsid w:val="51752B27"/>
    <w:rsid w:val="517D5E7F"/>
    <w:rsid w:val="518100C7"/>
    <w:rsid w:val="5185454F"/>
    <w:rsid w:val="518A0A04"/>
    <w:rsid w:val="518A5EA7"/>
    <w:rsid w:val="51986815"/>
    <w:rsid w:val="519A258E"/>
    <w:rsid w:val="519D5889"/>
    <w:rsid w:val="519D5BDA"/>
    <w:rsid w:val="519F5DF6"/>
    <w:rsid w:val="51A96C75"/>
    <w:rsid w:val="51AE428B"/>
    <w:rsid w:val="51AE7DE7"/>
    <w:rsid w:val="51B657BF"/>
    <w:rsid w:val="51BD5911"/>
    <w:rsid w:val="51BE68A7"/>
    <w:rsid w:val="51C07B1A"/>
    <w:rsid w:val="51C413B8"/>
    <w:rsid w:val="51C61046"/>
    <w:rsid w:val="51C8534D"/>
    <w:rsid w:val="51C904BB"/>
    <w:rsid w:val="51CC4711"/>
    <w:rsid w:val="51D11D27"/>
    <w:rsid w:val="51D67D58"/>
    <w:rsid w:val="51DF14E9"/>
    <w:rsid w:val="51E15477"/>
    <w:rsid w:val="51F14D21"/>
    <w:rsid w:val="51F56F2F"/>
    <w:rsid w:val="51F85506"/>
    <w:rsid w:val="520F5F54"/>
    <w:rsid w:val="522041D1"/>
    <w:rsid w:val="52224331"/>
    <w:rsid w:val="522307D5"/>
    <w:rsid w:val="52293911"/>
    <w:rsid w:val="522D01E0"/>
    <w:rsid w:val="52302EF2"/>
    <w:rsid w:val="523F1387"/>
    <w:rsid w:val="52402036"/>
    <w:rsid w:val="524E3F98"/>
    <w:rsid w:val="526130AB"/>
    <w:rsid w:val="526F6A48"/>
    <w:rsid w:val="52704D94"/>
    <w:rsid w:val="52715451"/>
    <w:rsid w:val="52723DE9"/>
    <w:rsid w:val="52741030"/>
    <w:rsid w:val="527418F7"/>
    <w:rsid w:val="52772096"/>
    <w:rsid w:val="5277467D"/>
    <w:rsid w:val="52787CDA"/>
    <w:rsid w:val="527D71D8"/>
    <w:rsid w:val="52854FEC"/>
    <w:rsid w:val="52862B12"/>
    <w:rsid w:val="52886BE1"/>
    <w:rsid w:val="528B016B"/>
    <w:rsid w:val="529369ED"/>
    <w:rsid w:val="52945031"/>
    <w:rsid w:val="52976364"/>
    <w:rsid w:val="529A65BD"/>
    <w:rsid w:val="529C0587"/>
    <w:rsid w:val="52A116FA"/>
    <w:rsid w:val="52A1520B"/>
    <w:rsid w:val="52A65DDA"/>
    <w:rsid w:val="52B54C41"/>
    <w:rsid w:val="52C03755"/>
    <w:rsid w:val="52C308EE"/>
    <w:rsid w:val="52C57426"/>
    <w:rsid w:val="52CB49C9"/>
    <w:rsid w:val="52CC3F3C"/>
    <w:rsid w:val="52D63A99"/>
    <w:rsid w:val="52D65847"/>
    <w:rsid w:val="52DC0984"/>
    <w:rsid w:val="52EA7EA9"/>
    <w:rsid w:val="52EC2EE2"/>
    <w:rsid w:val="52F24E42"/>
    <w:rsid w:val="52F537F4"/>
    <w:rsid w:val="52FE08FA"/>
    <w:rsid w:val="53025ED5"/>
    <w:rsid w:val="53057EDB"/>
    <w:rsid w:val="53095C1D"/>
    <w:rsid w:val="530C3017"/>
    <w:rsid w:val="530D6AE5"/>
    <w:rsid w:val="53100DBC"/>
    <w:rsid w:val="53165C44"/>
    <w:rsid w:val="53171462"/>
    <w:rsid w:val="531B5950"/>
    <w:rsid w:val="53246E3E"/>
    <w:rsid w:val="5332099B"/>
    <w:rsid w:val="53337C66"/>
    <w:rsid w:val="533662E6"/>
    <w:rsid w:val="533B7DA0"/>
    <w:rsid w:val="534976B3"/>
    <w:rsid w:val="534F2758"/>
    <w:rsid w:val="53511372"/>
    <w:rsid w:val="53536E98"/>
    <w:rsid w:val="537961D3"/>
    <w:rsid w:val="537B019D"/>
    <w:rsid w:val="537E487C"/>
    <w:rsid w:val="537F7C8D"/>
    <w:rsid w:val="53854B12"/>
    <w:rsid w:val="53863C94"/>
    <w:rsid w:val="538A03E0"/>
    <w:rsid w:val="538C4158"/>
    <w:rsid w:val="539B1FD4"/>
    <w:rsid w:val="53A1271D"/>
    <w:rsid w:val="53A616BE"/>
    <w:rsid w:val="53A72D40"/>
    <w:rsid w:val="53B06098"/>
    <w:rsid w:val="53B76D66"/>
    <w:rsid w:val="53B8319F"/>
    <w:rsid w:val="53BA2E6A"/>
    <w:rsid w:val="53BC2E44"/>
    <w:rsid w:val="53BF11F6"/>
    <w:rsid w:val="53D66FBE"/>
    <w:rsid w:val="53D855EF"/>
    <w:rsid w:val="53D85F3B"/>
    <w:rsid w:val="53D87AA2"/>
    <w:rsid w:val="53D93084"/>
    <w:rsid w:val="53DB6E8D"/>
    <w:rsid w:val="53DD2C05"/>
    <w:rsid w:val="53DF697E"/>
    <w:rsid w:val="53E2021C"/>
    <w:rsid w:val="53F71F19"/>
    <w:rsid w:val="53FA4FAB"/>
    <w:rsid w:val="53FD32A8"/>
    <w:rsid w:val="54012256"/>
    <w:rsid w:val="54043D00"/>
    <w:rsid w:val="540867EC"/>
    <w:rsid w:val="54134879"/>
    <w:rsid w:val="542D76E9"/>
    <w:rsid w:val="543C792C"/>
    <w:rsid w:val="54451333"/>
    <w:rsid w:val="544A4CD7"/>
    <w:rsid w:val="54520BF4"/>
    <w:rsid w:val="5463310B"/>
    <w:rsid w:val="54660E4D"/>
    <w:rsid w:val="54704F17"/>
    <w:rsid w:val="54745BE1"/>
    <w:rsid w:val="54751090"/>
    <w:rsid w:val="547E5DAE"/>
    <w:rsid w:val="548105C9"/>
    <w:rsid w:val="548F24DD"/>
    <w:rsid w:val="549C486F"/>
    <w:rsid w:val="54A34BED"/>
    <w:rsid w:val="54A379AB"/>
    <w:rsid w:val="54A43723"/>
    <w:rsid w:val="54AB6860"/>
    <w:rsid w:val="54AB7CBA"/>
    <w:rsid w:val="54AC6802"/>
    <w:rsid w:val="54B5148C"/>
    <w:rsid w:val="54B55930"/>
    <w:rsid w:val="54B90F7D"/>
    <w:rsid w:val="54BB3A01"/>
    <w:rsid w:val="54BF0519"/>
    <w:rsid w:val="54C94F38"/>
    <w:rsid w:val="54CB652A"/>
    <w:rsid w:val="54CC6286"/>
    <w:rsid w:val="54D45AEB"/>
    <w:rsid w:val="54D50CBC"/>
    <w:rsid w:val="54D7420C"/>
    <w:rsid w:val="54D75805"/>
    <w:rsid w:val="54D852E2"/>
    <w:rsid w:val="54DB684D"/>
    <w:rsid w:val="54DC4F62"/>
    <w:rsid w:val="54DE554B"/>
    <w:rsid w:val="54E67ABF"/>
    <w:rsid w:val="54E85692"/>
    <w:rsid w:val="54EA1131"/>
    <w:rsid w:val="54ED44E0"/>
    <w:rsid w:val="54EE034D"/>
    <w:rsid w:val="54EF79E3"/>
    <w:rsid w:val="54F71AA5"/>
    <w:rsid w:val="54F77CF7"/>
    <w:rsid w:val="550146D2"/>
    <w:rsid w:val="550F5041"/>
    <w:rsid w:val="55114AA0"/>
    <w:rsid w:val="55197594"/>
    <w:rsid w:val="551E0533"/>
    <w:rsid w:val="551E6D75"/>
    <w:rsid w:val="5523289A"/>
    <w:rsid w:val="55284A3E"/>
    <w:rsid w:val="552D2D4B"/>
    <w:rsid w:val="55372E6C"/>
    <w:rsid w:val="553B5E36"/>
    <w:rsid w:val="553B7BE4"/>
    <w:rsid w:val="5540344C"/>
    <w:rsid w:val="554B3803"/>
    <w:rsid w:val="554E2BD6"/>
    <w:rsid w:val="55517407"/>
    <w:rsid w:val="555E1B24"/>
    <w:rsid w:val="55654C60"/>
    <w:rsid w:val="55675ABE"/>
    <w:rsid w:val="55680D0F"/>
    <w:rsid w:val="55690BF5"/>
    <w:rsid w:val="556C2493"/>
    <w:rsid w:val="55705A76"/>
    <w:rsid w:val="55713605"/>
    <w:rsid w:val="55733821"/>
    <w:rsid w:val="557F21C6"/>
    <w:rsid w:val="55845A59"/>
    <w:rsid w:val="55916E33"/>
    <w:rsid w:val="559612BE"/>
    <w:rsid w:val="55974774"/>
    <w:rsid w:val="55992406"/>
    <w:rsid w:val="55A34E57"/>
    <w:rsid w:val="55B0762B"/>
    <w:rsid w:val="55B35BDB"/>
    <w:rsid w:val="55B72E47"/>
    <w:rsid w:val="55BE4A6C"/>
    <w:rsid w:val="55C03B94"/>
    <w:rsid w:val="55C220B3"/>
    <w:rsid w:val="55C23E61"/>
    <w:rsid w:val="55C37BD9"/>
    <w:rsid w:val="55C75AED"/>
    <w:rsid w:val="55CA0F67"/>
    <w:rsid w:val="55D818D6"/>
    <w:rsid w:val="55D83684"/>
    <w:rsid w:val="55E01EF4"/>
    <w:rsid w:val="55E02BA7"/>
    <w:rsid w:val="55E3118B"/>
    <w:rsid w:val="55E4027B"/>
    <w:rsid w:val="55E97640"/>
    <w:rsid w:val="55F36710"/>
    <w:rsid w:val="55F6085B"/>
    <w:rsid w:val="55FD15D8"/>
    <w:rsid w:val="55FD30EB"/>
    <w:rsid w:val="560172FB"/>
    <w:rsid w:val="560E354A"/>
    <w:rsid w:val="561455C8"/>
    <w:rsid w:val="561616B9"/>
    <w:rsid w:val="56170651"/>
    <w:rsid w:val="561843C9"/>
    <w:rsid w:val="561A3C9D"/>
    <w:rsid w:val="561A5A4B"/>
    <w:rsid w:val="562359F4"/>
    <w:rsid w:val="562B0454"/>
    <w:rsid w:val="562E599A"/>
    <w:rsid w:val="56312D95"/>
    <w:rsid w:val="56384D25"/>
    <w:rsid w:val="564047AA"/>
    <w:rsid w:val="56407A11"/>
    <w:rsid w:val="564817AB"/>
    <w:rsid w:val="56494582"/>
    <w:rsid w:val="56535401"/>
    <w:rsid w:val="56574EF1"/>
    <w:rsid w:val="565A12E9"/>
    <w:rsid w:val="565D52DA"/>
    <w:rsid w:val="565F5B54"/>
    <w:rsid w:val="5661367A"/>
    <w:rsid w:val="5664316A"/>
    <w:rsid w:val="5668147B"/>
    <w:rsid w:val="566B56A6"/>
    <w:rsid w:val="566E1159"/>
    <w:rsid w:val="566E223B"/>
    <w:rsid w:val="56707D61"/>
    <w:rsid w:val="56777341"/>
    <w:rsid w:val="56792D6E"/>
    <w:rsid w:val="567E71F5"/>
    <w:rsid w:val="56815ACA"/>
    <w:rsid w:val="56867733"/>
    <w:rsid w:val="56890E23"/>
    <w:rsid w:val="568C1AA1"/>
    <w:rsid w:val="568D26C1"/>
    <w:rsid w:val="569021B1"/>
    <w:rsid w:val="56911E3B"/>
    <w:rsid w:val="5693084C"/>
    <w:rsid w:val="569A4429"/>
    <w:rsid w:val="569B5C5E"/>
    <w:rsid w:val="569C67A5"/>
    <w:rsid w:val="569D0277"/>
    <w:rsid w:val="569F51AC"/>
    <w:rsid w:val="56A417B8"/>
    <w:rsid w:val="56A570B5"/>
    <w:rsid w:val="56AF3248"/>
    <w:rsid w:val="56B21965"/>
    <w:rsid w:val="56B22127"/>
    <w:rsid w:val="56B23B93"/>
    <w:rsid w:val="56BE2532"/>
    <w:rsid w:val="56C1680E"/>
    <w:rsid w:val="56C232D8"/>
    <w:rsid w:val="56C4796A"/>
    <w:rsid w:val="56C62D99"/>
    <w:rsid w:val="56CA5FF0"/>
    <w:rsid w:val="56CE4A87"/>
    <w:rsid w:val="56D06A51"/>
    <w:rsid w:val="56D227CA"/>
    <w:rsid w:val="56D4706C"/>
    <w:rsid w:val="56DC61BA"/>
    <w:rsid w:val="56DF2712"/>
    <w:rsid w:val="56E25C3E"/>
    <w:rsid w:val="56E80E23"/>
    <w:rsid w:val="56EB388B"/>
    <w:rsid w:val="56EB3FA6"/>
    <w:rsid w:val="56ED13B1"/>
    <w:rsid w:val="56F0028C"/>
    <w:rsid w:val="56F91B04"/>
    <w:rsid w:val="56FF4E60"/>
    <w:rsid w:val="57034731"/>
    <w:rsid w:val="5704273C"/>
    <w:rsid w:val="57050704"/>
    <w:rsid w:val="571050A0"/>
    <w:rsid w:val="571760EF"/>
    <w:rsid w:val="5717642E"/>
    <w:rsid w:val="571B5F1F"/>
    <w:rsid w:val="57220B1D"/>
    <w:rsid w:val="572B306B"/>
    <w:rsid w:val="572C4A3C"/>
    <w:rsid w:val="572D2E1D"/>
    <w:rsid w:val="57340669"/>
    <w:rsid w:val="573C313B"/>
    <w:rsid w:val="57401A38"/>
    <w:rsid w:val="574216FD"/>
    <w:rsid w:val="57435475"/>
    <w:rsid w:val="574511ED"/>
    <w:rsid w:val="574865E8"/>
    <w:rsid w:val="574E385D"/>
    <w:rsid w:val="5751104D"/>
    <w:rsid w:val="57522A51"/>
    <w:rsid w:val="575304D2"/>
    <w:rsid w:val="57577693"/>
    <w:rsid w:val="5765719A"/>
    <w:rsid w:val="576D604E"/>
    <w:rsid w:val="577218B7"/>
    <w:rsid w:val="5773397C"/>
    <w:rsid w:val="57767B9A"/>
    <w:rsid w:val="577858F0"/>
    <w:rsid w:val="577C3895"/>
    <w:rsid w:val="57833220"/>
    <w:rsid w:val="578D51DE"/>
    <w:rsid w:val="57902535"/>
    <w:rsid w:val="57935AA3"/>
    <w:rsid w:val="579D6934"/>
    <w:rsid w:val="57A8042A"/>
    <w:rsid w:val="57A8352A"/>
    <w:rsid w:val="57A927D8"/>
    <w:rsid w:val="57AB4F02"/>
    <w:rsid w:val="57B04FE9"/>
    <w:rsid w:val="57B23D6F"/>
    <w:rsid w:val="57B85C78"/>
    <w:rsid w:val="57BB14B0"/>
    <w:rsid w:val="57CB44E0"/>
    <w:rsid w:val="57CF0AB7"/>
    <w:rsid w:val="57D32355"/>
    <w:rsid w:val="57D52571"/>
    <w:rsid w:val="57D64006"/>
    <w:rsid w:val="57DF0B10"/>
    <w:rsid w:val="57FA4163"/>
    <w:rsid w:val="57FA554B"/>
    <w:rsid w:val="58012830"/>
    <w:rsid w:val="58036FF1"/>
    <w:rsid w:val="580C1D0B"/>
    <w:rsid w:val="580E5A83"/>
    <w:rsid w:val="580F6687"/>
    <w:rsid w:val="58257D17"/>
    <w:rsid w:val="582D083C"/>
    <w:rsid w:val="583C439E"/>
    <w:rsid w:val="584A6390"/>
    <w:rsid w:val="58564B9E"/>
    <w:rsid w:val="585B2F03"/>
    <w:rsid w:val="585C67EF"/>
    <w:rsid w:val="585D2668"/>
    <w:rsid w:val="585D50BE"/>
    <w:rsid w:val="585F1E3B"/>
    <w:rsid w:val="585F6381"/>
    <w:rsid w:val="58656000"/>
    <w:rsid w:val="586E02D0"/>
    <w:rsid w:val="58704048"/>
    <w:rsid w:val="58773629"/>
    <w:rsid w:val="587C0C3F"/>
    <w:rsid w:val="5884755E"/>
    <w:rsid w:val="5886499C"/>
    <w:rsid w:val="5886561A"/>
    <w:rsid w:val="58883ECF"/>
    <w:rsid w:val="5889054F"/>
    <w:rsid w:val="58892717"/>
    <w:rsid w:val="58927804"/>
    <w:rsid w:val="58931AE5"/>
    <w:rsid w:val="58935CE6"/>
    <w:rsid w:val="58937D37"/>
    <w:rsid w:val="589A668A"/>
    <w:rsid w:val="58A27F7A"/>
    <w:rsid w:val="58A3441E"/>
    <w:rsid w:val="58A40196"/>
    <w:rsid w:val="58A41F81"/>
    <w:rsid w:val="58A423FE"/>
    <w:rsid w:val="58AD214A"/>
    <w:rsid w:val="58AF0C43"/>
    <w:rsid w:val="58C03A94"/>
    <w:rsid w:val="58C3205B"/>
    <w:rsid w:val="58C574C9"/>
    <w:rsid w:val="58C779E0"/>
    <w:rsid w:val="58CB127E"/>
    <w:rsid w:val="58CE6FC1"/>
    <w:rsid w:val="58D04409"/>
    <w:rsid w:val="58D42EF0"/>
    <w:rsid w:val="58D520FD"/>
    <w:rsid w:val="58D565A1"/>
    <w:rsid w:val="58D71D06"/>
    <w:rsid w:val="58D72319"/>
    <w:rsid w:val="58E42340"/>
    <w:rsid w:val="58E750B9"/>
    <w:rsid w:val="58EE2472"/>
    <w:rsid w:val="58F16C7A"/>
    <w:rsid w:val="58F20F01"/>
    <w:rsid w:val="58F509F1"/>
    <w:rsid w:val="58F70B83"/>
    <w:rsid w:val="58F8591A"/>
    <w:rsid w:val="58F85DEC"/>
    <w:rsid w:val="58FC0FE5"/>
    <w:rsid w:val="58FF717A"/>
    <w:rsid w:val="590055F0"/>
    <w:rsid w:val="59017396"/>
    <w:rsid w:val="590B5B1F"/>
    <w:rsid w:val="591250FF"/>
    <w:rsid w:val="59140E77"/>
    <w:rsid w:val="591946E0"/>
    <w:rsid w:val="591B6794"/>
    <w:rsid w:val="59214332"/>
    <w:rsid w:val="59240A16"/>
    <w:rsid w:val="593B4656"/>
    <w:rsid w:val="5943350B"/>
    <w:rsid w:val="594548AE"/>
    <w:rsid w:val="594F3C5E"/>
    <w:rsid w:val="59513E7A"/>
    <w:rsid w:val="5952768E"/>
    <w:rsid w:val="59534593"/>
    <w:rsid w:val="595A3129"/>
    <w:rsid w:val="595B0854"/>
    <w:rsid w:val="595B6AA6"/>
    <w:rsid w:val="59634023"/>
    <w:rsid w:val="59657925"/>
    <w:rsid w:val="59701E26"/>
    <w:rsid w:val="597162CA"/>
    <w:rsid w:val="59747B68"/>
    <w:rsid w:val="59772233"/>
    <w:rsid w:val="597C0DDC"/>
    <w:rsid w:val="597E7244"/>
    <w:rsid w:val="59914276"/>
    <w:rsid w:val="599147E1"/>
    <w:rsid w:val="59965D30"/>
    <w:rsid w:val="5998070C"/>
    <w:rsid w:val="599A5E0E"/>
    <w:rsid w:val="599B6EA3"/>
    <w:rsid w:val="599C2C1B"/>
    <w:rsid w:val="59A0359A"/>
    <w:rsid w:val="59A3044D"/>
    <w:rsid w:val="59A541C5"/>
    <w:rsid w:val="59A71CEC"/>
    <w:rsid w:val="59A85A64"/>
    <w:rsid w:val="59B46F19"/>
    <w:rsid w:val="59B47F65"/>
    <w:rsid w:val="59B77292"/>
    <w:rsid w:val="59BA435D"/>
    <w:rsid w:val="59BC506B"/>
    <w:rsid w:val="59BD32BD"/>
    <w:rsid w:val="59C3464B"/>
    <w:rsid w:val="59CA77EF"/>
    <w:rsid w:val="59D27ABB"/>
    <w:rsid w:val="59D46859"/>
    <w:rsid w:val="59D6612D"/>
    <w:rsid w:val="59D86349"/>
    <w:rsid w:val="59D979CB"/>
    <w:rsid w:val="59DB3743"/>
    <w:rsid w:val="59DD570D"/>
    <w:rsid w:val="59DF4F30"/>
    <w:rsid w:val="59E22D24"/>
    <w:rsid w:val="59E545C2"/>
    <w:rsid w:val="59F62CA4"/>
    <w:rsid w:val="59F711E5"/>
    <w:rsid w:val="59FA12D5"/>
    <w:rsid w:val="59FF3D35"/>
    <w:rsid w:val="5A050790"/>
    <w:rsid w:val="5A096502"/>
    <w:rsid w:val="5A13658F"/>
    <w:rsid w:val="5A151D75"/>
    <w:rsid w:val="5A1924BD"/>
    <w:rsid w:val="5A2275C4"/>
    <w:rsid w:val="5A24333C"/>
    <w:rsid w:val="5A2537F3"/>
    <w:rsid w:val="5A296900"/>
    <w:rsid w:val="5A2C3F9F"/>
    <w:rsid w:val="5A3612C1"/>
    <w:rsid w:val="5A3711D7"/>
    <w:rsid w:val="5A3A2B60"/>
    <w:rsid w:val="5A455061"/>
    <w:rsid w:val="5A46212C"/>
    <w:rsid w:val="5A504131"/>
    <w:rsid w:val="5A5534F6"/>
    <w:rsid w:val="5A5B4884"/>
    <w:rsid w:val="5A64198B"/>
    <w:rsid w:val="5A672A61"/>
    <w:rsid w:val="5A7140A7"/>
    <w:rsid w:val="5A714797"/>
    <w:rsid w:val="5A74153B"/>
    <w:rsid w:val="5A7A72F8"/>
    <w:rsid w:val="5A7C3E7D"/>
    <w:rsid w:val="5A812888"/>
    <w:rsid w:val="5A8145EB"/>
    <w:rsid w:val="5A826178"/>
    <w:rsid w:val="5A845B89"/>
    <w:rsid w:val="5A88604A"/>
    <w:rsid w:val="5A8913F1"/>
    <w:rsid w:val="5A8E07B6"/>
    <w:rsid w:val="5A926305"/>
    <w:rsid w:val="5A9B0CA5"/>
    <w:rsid w:val="5AA20705"/>
    <w:rsid w:val="5AA5325E"/>
    <w:rsid w:val="5AA87D98"/>
    <w:rsid w:val="5AAB75B9"/>
    <w:rsid w:val="5AAE2C06"/>
    <w:rsid w:val="5ABC3575"/>
    <w:rsid w:val="5ABF6D03"/>
    <w:rsid w:val="5ACF7CF2"/>
    <w:rsid w:val="5AD36B10"/>
    <w:rsid w:val="5ADD173D"/>
    <w:rsid w:val="5ADD24CF"/>
    <w:rsid w:val="5AE14638"/>
    <w:rsid w:val="5AE76118"/>
    <w:rsid w:val="5AE96334"/>
    <w:rsid w:val="5AF40715"/>
    <w:rsid w:val="5AF745AD"/>
    <w:rsid w:val="5AF815CD"/>
    <w:rsid w:val="5AFA4AD0"/>
    <w:rsid w:val="5AFC6067"/>
    <w:rsid w:val="5B01367D"/>
    <w:rsid w:val="5B027B34"/>
    <w:rsid w:val="5B06544F"/>
    <w:rsid w:val="5B124F70"/>
    <w:rsid w:val="5B1A64ED"/>
    <w:rsid w:val="5B1C3986"/>
    <w:rsid w:val="5B1D04A1"/>
    <w:rsid w:val="5B2829B8"/>
    <w:rsid w:val="5B2856AD"/>
    <w:rsid w:val="5B2B4256"/>
    <w:rsid w:val="5B2D4026"/>
    <w:rsid w:val="5B305D11"/>
    <w:rsid w:val="5B3C46B5"/>
    <w:rsid w:val="5B3F447E"/>
    <w:rsid w:val="5B3F5F54"/>
    <w:rsid w:val="5B413A7A"/>
    <w:rsid w:val="5B41703A"/>
    <w:rsid w:val="5B455929"/>
    <w:rsid w:val="5B484E08"/>
    <w:rsid w:val="5B4B5FC2"/>
    <w:rsid w:val="5B4D1AC8"/>
    <w:rsid w:val="5B4F43E9"/>
    <w:rsid w:val="5B523ED9"/>
    <w:rsid w:val="5B5252AB"/>
    <w:rsid w:val="5B550092"/>
    <w:rsid w:val="5B553697"/>
    <w:rsid w:val="5B5648CD"/>
    <w:rsid w:val="5B712B92"/>
    <w:rsid w:val="5B721E85"/>
    <w:rsid w:val="5B745BFD"/>
    <w:rsid w:val="5B791466"/>
    <w:rsid w:val="5B7E4CCE"/>
    <w:rsid w:val="5B7F45A2"/>
    <w:rsid w:val="5B807162"/>
    <w:rsid w:val="5B8322E4"/>
    <w:rsid w:val="5B8524B6"/>
    <w:rsid w:val="5B872136"/>
    <w:rsid w:val="5B904A5E"/>
    <w:rsid w:val="5B96019A"/>
    <w:rsid w:val="5B9C1546"/>
    <w:rsid w:val="5BA0525E"/>
    <w:rsid w:val="5BA26C0E"/>
    <w:rsid w:val="5BA42321"/>
    <w:rsid w:val="5BA83AF9"/>
    <w:rsid w:val="5BAF32FA"/>
    <w:rsid w:val="5BAF4E87"/>
    <w:rsid w:val="5BAF6C35"/>
    <w:rsid w:val="5BB16E51"/>
    <w:rsid w:val="5BB46AD8"/>
    <w:rsid w:val="5BB532C6"/>
    <w:rsid w:val="5BB573ED"/>
    <w:rsid w:val="5BB57FC4"/>
    <w:rsid w:val="5BB71F8E"/>
    <w:rsid w:val="5BBB44EB"/>
    <w:rsid w:val="5BBD4487"/>
    <w:rsid w:val="5BC00E43"/>
    <w:rsid w:val="5BC17ED6"/>
    <w:rsid w:val="5BC76675"/>
    <w:rsid w:val="5BD13050"/>
    <w:rsid w:val="5BD60FBC"/>
    <w:rsid w:val="5BD9023D"/>
    <w:rsid w:val="5BE03293"/>
    <w:rsid w:val="5BE24498"/>
    <w:rsid w:val="5BE34B31"/>
    <w:rsid w:val="5BED6C6F"/>
    <w:rsid w:val="5BF822C0"/>
    <w:rsid w:val="5BF95679"/>
    <w:rsid w:val="5BFC633D"/>
    <w:rsid w:val="5BFF48D7"/>
    <w:rsid w:val="5C006162"/>
    <w:rsid w:val="5C043AA7"/>
    <w:rsid w:val="5C0D0B72"/>
    <w:rsid w:val="5C0E7BD7"/>
    <w:rsid w:val="5C11169E"/>
    <w:rsid w:val="5C186ED1"/>
    <w:rsid w:val="5C1D7985"/>
    <w:rsid w:val="5C225659"/>
    <w:rsid w:val="5C2B7526"/>
    <w:rsid w:val="5C30522C"/>
    <w:rsid w:val="5C422869"/>
    <w:rsid w:val="5C447CC6"/>
    <w:rsid w:val="5C474772"/>
    <w:rsid w:val="5C514191"/>
    <w:rsid w:val="5C52370C"/>
    <w:rsid w:val="5C5679F9"/>
    <w:rsid w:val="5C5A1297"/>
    <w:rsid w:val="5C5C3190"/>
    <w:rsid w:val="5C5D48E3"/>
    <w:rsid w:val="5C602EBB"/>
    <w:rsid w:val="5C6215C1"/>
    <w:rsid w:val="5C622D9E"/>
    <w:rsid w:val="5C642116"/>
    <w:rsid w:val="5C6739B4"/>
    <w:rsid w:val="5C71038F"/>
    <w:rsid w:val="5C78796F"/>
    <w:rsid w:val="5C7D6820"/>
    <w:rsid w:val="5C80234E"/>
    <w:rsid w:val="5C835E62"/>
    <w:rsid w:val="5C842E08"/>
    <w:rsid w:val="5C894F41"/>
    <w:rsid w:val="5C8E0F41"/>
    <w:rsid w:val="5C8F5E9B"/>
    <w:rsid w:val="5C8F6A67"/>
    <w:rsid w:val="5C900E0D"/>
    <w:rsid w:val="5C952BE1"/>
    <w:rsid w:val="5C996113"/>
    <w:rsid w:val="5C9A0FE8"/>
    <w:rsid w:val="5C9E41E1"/>
    <w:rsid w:val="5CA40764"/>
    <w:rsid w:val="5CA442C0"/>
    <w:rsid w:val="5CA644DC"/>
    <w:rsid w:val="5CB169DD"/>
    <w:rsid w:val="5CB927EA"/>
    <w:rsid w:val="5CBA2CF4"/>
    <w:rsid w:val="5CC130C4"/>
    <w:rsid w:val="5CC42BB4"/>
    <w:rsid w:val="5CC608C4"/>
    <w:rsid w:val="5CD07730"/>
    <w:rsid w:val="5CD500CB"/>
    <w:rsid w:val="5CD5091E"/>
    <w:rsid w:val="5CD86660"/>
    <w:rsid w:val="5CD93AC3"/>
    <w:rsid w:val="5CDD04E9"/>
    <w:rsid w:val="5CDD5A24"/>
    <w:rsid w:val="5CDF354A"/>
    <w:rsid w:val="5CDF39EC"/>
    <w:rsid w:val="5CDF79EE"/>
    <w:rsid w:val="5CE95112"/>
    <w:rsid w:val="5CEF56DC"/>
    <w:rsid w:val="5CF01708"/>
    <w:rsid w:val="5CF2056C"/>
    <w:rsid w:val="5CF42225"/>
    <w:rsid w:val="5CF54B1C"/>
    <w:rsid w:val="5CFA704F"/>
    <w:rsid w:val="5CFB09C9"/>
    <w:rsid w:val="5D041203"/>
    <w:rsid w:val="5D0F6E2D"/>
    <w:rsid w:val="5D153410"/>
    <w:rsid w:val="5D173199"/>
    <w:rsid w:val="5D184E4B"/>
    <w:rsid w:val="5D255FE1"/>
    <w:rsid w:val="5D296EBB"/>
    <w:rsid w:val="5D2C7FCA"/>
    <w:rsid w:val="5D361E7D"/>
    <w:rsid w:val="5D364BA9"/>
    <w:rsid w:val="5D397FDE"/>
    <w:rsid w:val="5D4569AE"/>
    <w:rsid w:val="5D485594"/>
    <w:rsid w:val="5D4E247E"/>
    <w:rsid w:val="5D4E5AC8"/>
    <w:rsid w:val="5D4F49BA"/>
    <w:rsid w:val="5D537A94"/>
    <w:rsid w:val="5D545BA9"/>
    <w:rsid w:val="5D5A6507"/>
    <w:rsid w:val="5D6174AE"/>
    <w:rsid w:val="5D685470"/>
    <w:rsid w:val="5D687259"/>
    <w:rsid w:val="5D6972B8"/>
    <w:rsid w:val="5D6E1FD6"/>
    <w:rsid w:val="5D706898"/>
    <w:rsid w:val="5D7416F1"/>
    <w:rsid w:val="5D743F8C"/>
    <w:rsid w:val="5D7C12EC"/>
    <w:rsid w:val="5D7C705D"/>
    <w:rsid w:val="5D8F31C2"/>
    <w:rsid w:val="5D904324"/>
    <w:rsid w:val="5D9A56C3"/>
    <w:rsid w:val="5D9F0F2C"/>
    <w:rsid w:val="5DA46C2D"/>
    <w:rsid w:val="5DA84284"/>
    <w:rsid w:val="5DA94C55"/>
    <w:rsid w:val="5DA9714C"/>
    <w:rsid w:val="5DAD144B"/>
    <w:rsid w:val="5DAD53F7"/>
    <w:rsid w:val="5DAE39B9"/>
    <w:rsid w:val="5DAE5193"/>
    <w:rsid w:val="5DAF116F"/>
    <w:rsid w:val="5DB55538"/>
    <w:rsid w:val="5DB82D9D"/>
    <w:rsid w:val="5DB858CE"/>
    <w:rsid w:val="5DB93D9B"/>
    <w:rsid w:val="5DB97ED3"/>
    <w:rsid w:val="5DBA71EB"/>
    <w:rsid w:val="5DBF0831"/>
    <w:rsid w:val="5DC15346"/>
    <w:rsid w:val="5DC215A6"/>
    <w:rsid w:val="5DC866D4"/>
    <w:rsid w:val="5DCA244C"/>
    <w:rsid w:val="5DCD3CEB"/>
    <w:rsid w:val="5DDC3F2E"/>
    <w:rsid w:val="5DE4396C"/>
    <w:rsid w:val="5DEA73A2"/>
    <w:rsid w:val="5DEC0D41"/>
    <w:rsid w:val="5DED0457"/>
    <w:rsid w:val="5DF33CD1"/>
    <w:rsid w:val="5DF43025"/>
    <w:rsid w:val="5DF70D68"/>
    <w:rsid w:val="5DF82331"/>
    <w:rsid w:val="5DFC2514"/>
    <w:rsid w:val="5DFE0A9A"/>
    <w:rsid w:val="5E0314BA"/>
    <w:rsid w:val="5E08218E"/>
    <w:rsid w:val="5E0D2339"/>
    <w:rsid w:val="5E1601D1"/>
    <w:rsid w:val="5E1C33BB"/>
    <w:rsid w:val="5E1E729F"/>
    <w:rsid w:val="5E20206C"/>
    <w:rsid w:val="5E34780F"/>
    <w:rsid w:val="5E356E79"/>
    <w:rsid w:val="5E390C8E"/>
    <w:rsid w:val="5E471CBA"/>
    <w:rsid w:val="5E4958B0"/>
    <w:rsid w:val="5E4B5FD0"/>
    <w:rsid w:val="5E56792A"/>
    <w:rsid w:val="5E587A58"/>
    <w:rsid w:val="5E5B4E53"/>
    <w:rsid w:val="5E5D1650"/>
    <w:rsid w:val="5E624433"/>
    <w:rsid w:val="5E6350B6"/>
    <w:rsid w:val="5E655CD1"/>
    <w:rsid w:val="5E666DB2"/>
    <w:rsid w:val="5E677550"/>
    <w:rsid w:val="5E685CB7"/>
    <w:rsid w:val="5E83409D"/>
    <w:rsid w:val="5E855157"/>
    <w:rsid w:val="5E866E42"/>
    <w:rsid w:val="5E9071F2"/>
    <w:rsid w:val="5E953BF9"/>
    <w:rsid w:val="5EA20CD3"/>
    <w:rsid w:val="5EA467FA"/>
    <w:rsid w:val="5EA46851"/>
    <w:rsid w:val="5EA50BC4"/>
    <w:rsid w:val="5EA63358"/>
    <w:rsid w:val="5EAA695A"/>
    <w:rsid w:val="5EAE7678"/>
    <w:rsid w:val="5EB033F0"/>
    <w:rsid w:val="5EB14844"/>
    <w:rsid w:val="5EB341E4"/>
    <w:rsid w:val="5EBD78BB"/>
    <w:rsid w:val="5EC32FB4"/>
    <w:rsid w:val="5EC46D1E"/>
    <w:rsid w:val="5ECF4C0E"/>
    <w:rsid w:val="5ED864A3"/>
    <w:rsid w:val="5EE475B9"/>
    <w:rsid w:val="5EEC1F4F"/>
    <w:rsid w:val="5EEC63F2"/>
    <w:rsid w:val="5EF430D7"/>
    <w:rsid w:val="5EF84D97"/>
    <w:rsid w:val="5EFC7DF9"/>
    <w:rsid w:val="5EFD3132"/>
    <w:rsid w:val="5EFF7ED4"/>
    <w:rsid w:val="5F013C4C"/>
    <w:rsid w:val="5F0402CC"/>
    <w:rsid w:val="5F053010"/>
    <w:rsid w:val="5F061262"/>
    <w:rsid w:val="5F08270F"/>
    <w:rsid w:val="5F114499"/>
    <w:rsid w:val="5F117C07"/>
    <w:rsid w:val="5F13007E"/>
    <w:rsid w:val="5F1C6CD8"/>
    <w:rsid w:val="5F2C0AE8"/>
    <w:rsid w:val="5F3077AA"/>
    <w:rsid w:val="5F3336BE"/>
    <w:rsid w:val="5F342578"/>
    <w:rsid w:val="5F3B75A3"/>
    <w:rsid w:val="5F3D27AA"/>
    <w:rsid w:val="5F44337A"/>
    <w:rsid w:val="5F465B03"/>
    <w:rsid w:val="5F4D4BAA"/>
    <w:rsid w:val="5F527FBE"/>
    <w:rsid w:val="5F53659F"/>
    <w:rsid w:val="5F585836"/>
    <w:rsid w:val="5F5929F8"/>
    <w:rsid w:val="5F607DC7"/>
    <w:rsid w:val="5F6162B0"/>
    <w:rsid w:val="5F623420"/>
    <w:rsid w:val="5F660C22"/>
    <w:rsid w:val="5F6637EC"/>
    <w:rsid w:val="5F6B2F48"/>
    <w:rsid w:val="5F6D531F"/>
    <w:rsid w:val="5F7075C8"/>
    <w:rsid w:val="5F7234DF"/>
    <w:rsid w:val="5F733595"/>
    <w:rsid w:val="5F7408C2"/>
    <w:rsid w:val="5F745A87"/>
    <w:rsid w:val="5F772160"/>
    <w:rsid w:val="5F7858AF"/>
    <w:rsid w:val="5F8108E9"/>
    <w:rsid w:val="5F904FD0"/>
    <w:rsid w:val="5F93686E"/>
    <w:rsid w:val="5F942D12"/>
    <w:rsid w:val="5FA024CF"/>
    <w:rsid w:val="5FA171DD"/>
    <w:rsid w:val="5FA34D03"/>
    <w:rsid w:val="5FAA61C3"/>
    <w:rsid w:val="5FAF36A8"/>
    <w:rsid w:val="5FB4142E"/>
    <w:rsid w:val="5FB7255D"/>
    <w:rsid w:val="5FBE753C"/>
    <w:rsid w:val="5FCC1B6A"/>
    <w:rsid w:val="5FCE0484"/>
    <w:rsid w:val="5FD7344B"/>
    <w:rsid w:val="5FD73541"/>
    <w:rsid w:val="5FDA02E7"/>
    <w:rsid w:val="5FDF541B"/>
    <w:rsid w:val="5FE86BBA"/>
    <w:rsid w:val="5FEA0B84"/>
    <w:rsid w:val="5FEA12DD"/>
    <w:rsid w:val="5FEA46E0"/>
    <w:rsid w:val="5FEC36EF"/>
    <w:rsid w:val="5FF506FB"/>
    <w:rsid w:val="5FF53085"/>
    <w:rsid w:val="5FFC0181"/>
    <w:rsid w:val="5FFC08B7"/>
    <w:rsid w:val="600244CF"/>
    <w:rsid w:val="6003131B"/>
    <w:rsid w:val="600A2FD4"/>
    <w:rsid w:val="600B41CB"/>
    <w:rsid w:val="600D03CE"/>
    <w:rsid w:val="60106D27"/>
    <w:rsid w:val="601D2D07"/>
    <w:rsid w:val="602171E3"/>
    <w:rsid w:val="6022031E"/>
    <w:rsid w:val="60243AEA"/>
    <w:rsid w:val="60251BBC"/>
    <w:rsid w:val="60264756"/>
    <w:rsid w:val="602821CF"/>
    <w:rsid w:val="602A0F80"/>
    <w:rsid w:val="602A5424"/>
    <w:rsid w:val="602B08B8"/>
    <w:rsid w:val="60372487"/>
    <w:rsid w:val="603A041C"/>
    <w:rsid w:val="603D69BC"/>
    <w:rsid w:val="60443CFE"/>
    <w:rsid w:val="604440B5"/>
    <w:rsid w:val="604E62AF"/>
    <w:rsid w:val="60542072"/>
    <w:rsid w:val="6054424F"/>
    <w:rsid w:val="60593614"/>
    <w:rsid w:val="605C510C"/>
    <w:rsid w:val="605E7950"/>
    <w:rsid w:val="60675D31"/>
    <w:rsid w:val="606A3A73"/>
    <w:rsid w:val="606F7273"/>
    <w:rsid w:val="6074044E"/>
    <w:rsid w:val="607C3E58"/>
    <w:rsid w:val="607D5554"/>
    <w:rsid w:val="607E17BE"/>
    <w:rsid w:val="60822B6A"/>
    <w:rsid w:val="60970262"/>
    <w:rsid w:val="60982EBB"/>
    <w:rsid w:val="609A4F3F"/>
    <w:rsid w:val="60A87C3C"/>
    <w:rsid w:val="60AC035C"/>
    <w:rsid w:val="60AE00AB"/>
    <w:rsid w:val="60AE3960"/>
    <w:rsid w:val="60B371C8"/>
    <w:rsid w:val="60BE6DEA"/>
    <w:rsid w:val="60C2740B"/>
    <w:rsid w:val="60CA77DA"/>
    <w:rsid w:val="60CB21A4"/>
    <w:rsid w:val="60CC4EDB"/>
    <w:rsid w:val="60DA0BF8"/>
    <w:rsid w:val="60DB671F"/>
    <w:rsid w:val="60DF7FBD"/>
    <w:rsid w:val="60E03D35"/>
    <w:rsid w:val="60E3165E"/>
    <w:rsid w:val="60E40384"/>
    <w:rsid w:val="60E41AA7"/>
    <w:rsid w:val="60E76E71"/>
    <w:rsid w:val="60EE1FAE"/>
    <w:rsid w:val="60F71646"/>
    <w:rsid w:val="60FE69B5"/>
    <w:rsid w:val="60FF4431"/>
    <w:rsid w:val="61016185"/>
    <w:rsid w:val="610253B6"/>
    <w:rsid w:val="61096DE8"/>
    <w:rsid w:val="610F0176"/>
    <w:rsid w:val="610F6AD4"/>
    <w:rsid w:val="61137C66"/>
    <w:rsid w:val="611A079F"/>
    <w:rsid w:val="611A0FF5"/>
    <w:rsid w:val="61317BA9"/>
    <w:rsid w:val="61321EB5"/>
    <w:rsid w:val="61333E65"/>
    <w:rsid w:val="6138591F"/>
    <w:rsid w:val="613E517C"/>
    <w:rsid w:val="613F280A"/>
    <w:rsid w:val="61416FC5"/>
    <w:rsid w:val="61442516"/>
    <w:rsid w:val="614763AC"/>
    <w:rsid w:val="614A7A04"/>
    <w:rsid w:val="614C0CAD"/>
    <w:rsid w:val="614F7276"/>
    <w:rsid w:val="615C160D"/>
    <w:rsid w:val="61623A29"/>
    <w:rsid w:val="61630146"/>
    <w:rsid w:val="61645671"/>
    <w:rsid w:val="6164781F"/>
    <w:rsid w:val="616C2E64"/>
    <w:rsid w:val="616C7377"/>
    <w:rsid w:val="617604B0"/>
    <w:rsid w:val="617C1CB0"/>
    <w:rsid w:val="617C38F8"/>
    <w:rsid w:val="61821187"/>
    <w:rsid w:val="618650F2"/>
    <w:rsid w:val="61870689"/>
    <w:rsid w:val="61880654"/>
    <w:rsid w:val="618A0AEE"/>
    <w:rsid w:val="618B4B7B"/>
    <w:rsid w:val="61915F1E"/>
    <w:rsid w:val="6192502F"/>
    <w:rsid w:val="61A0096B"/>
    <w:rsid w:val="61A60ADB"/>
    <w:rsid w:val="61C46891"/>
    <w:rsid w:val="61C6117D"/>
    <w:rsid w:val="61CD3451"/>
    <w:rsid w:val="61CD42B9"/>
    <w:rsid w:val="61CD6067"/>
    <w:rsid w:val="61D504A2"/>
    <w:rsid w:val="61D90E17"/>
    <w:rsid w:val="61D97CB9"/>
    <w:rsid w:val="61DE64C6"/>
    <w:rsid w:val="61E6537B"/>
    <w:rsid w:val="61ED04B8"/>
    <w:rsid w:val="61ED06E0"/>
    <w:rsid w:val="61F41846"/>
    <w:rsid w:val="61FE3AB6"/>
    <w:rsid w:val="620C7EC5"/>
    <w:rsid w:val="620F0828"/>
    <w:rsid w:val="6211064A"/>
    <w:rsid w:val="621107D8"/>
    <w:rsid w:val="62143C96"/>
    <w:rsid w:val="62166177"/>
    <w:rsid w:val="621D1385"/>
    <w:rsid w:val="622B5245"/>
    <w:rsid w:val="623A1568"/>
    <w:rsid w:val="623A1FEA"/>
    <w:rsid w:val="624352B4"/>
    <w:rsid w:val="624F2F20"/>
    <w:rsid w:val="625425C5"/>
    <w:rsid w:val="62585DD8"/>
    <w:rsid w:val="625B67EA"/>
    <w:rsid w:val="62695572"/>
    <w:rsid w:val="62697E9C"/>
    <w:rsid w:val="626A1485"/>
    <w:rsid w:val="626A5FAC"/>
    <w:rsid w:val="626B762E"/>
    <w:rsid w:val="626D15F8"/>
    <w:rsid w:val="627A5E9C"/>
    <w:rsid w:val="627D6E20"/>
    <w:rsid w:val="627F5BA7"/>
    <w:rsid w:val="62966FF1"/>
    <w:rsid w:val="62976675"/>
    <w:rsid w:val="629871C2"/>
    <w:rsid w:val="6299063F"/>
    <w:rsid w:val="62992054"/>
    <w:rsid w:val="629E3820"/>
    <w:rsid w:val="62A36DC8"/>
    <w:rsid w:val="62A467B1"/>
    <w:rsid w:val="62A96AD4"/>
    <w:rsid w:val="62AD10B2"/>
    <w:rsid w:val="62B5498E"/>
    <w:rsid w:val="62B71584"/>
    <w:rsid w:val="62B81781"/>
    <w:rsid w:val="62BF005B"/>
    <w:rsid w:val="62C17915"/>
    <w:rsid w:val="62C44102"/>
    <w:rsid w:val="62C70D09"/>
    <w:rsid w:val="62CB71C3"/>
    <w:rsid w:val="62DB0C58"/>
    <w:rsid w:val="62DD677E"/>
    <w:rsid w:val="62E34DB2"/>
    <w:rsid w:val="62E95123"/>
    <w:rsid w:val="62EE098B"/>
    <w:rsid w:val="62F451C3"/>
    <w:rsid w:val="62FB6C04"/>
    <w:rsid w:val="630C7063"/>
    <w:rsid w:val="630E4191"/>
    <w:rsid w:val="63163C07"/>
    <w:rsid w:val="631B1928"/>
    <w:rsid w:val="631E5849"/>
    <w:rsid w:val="63213C21"/>
    <w:rsid w:val="632437C1"/>
    <w:rsid w:val="63247F09"/>
    <w:rsid w:val="63280BAA"/>
    <w:rsid w:val="63312626"/>
    <w:rsid w:val="63400ABB"/>
    <w:rsid w:val="63467B6E"/>
    <w:rsid w:val="63473BF7"/>
    <w:rsid w:val="634A0E15"/>
    <w:rsid w:val="63515EFF"/>
    <w:rsid w:val="63554566"/>
    <w:rsid w:val="63556555"/>
    <w:rsid w:val="635822A8"/>
    <w:rsid w:val="635B4290"/>
    <w:rsid w:val="636649C5"/>
    <w:rsid w:val="636A472B"/>
    <w:rsid w:val="636C365E"/>
    <w:rsid w:val="636E5628"/>
    <w:rsid w:val="63715118"/>
    <w:rsid w:val="6372753B"/>
    <w:rsid w:val="63783BC0"/>
    <w:rsid w:val="637A00F6"/>
    <w:rsid w:val="638208DB"/>
    <w:rsid w:val="63846BFA"/>
    <w:rsid w:val="638718CD"/>
    <w:rsid w:val="638C5AAE"/>
    <w:rsid w:val="638D11F4"/>
    <w:rsid w:val="63901A42"/>
    <w:rsid w:val="639343EA"/>
    <w:rsid w:val="6393454A"/>
    <w:rsid w:val="63936E3D"/>
    <w:rsid w:val="6396543A"/>
    <w:rsid w:val="639F57E1"/>
    <w:rsid w:val="63A94DAB"/>
    <w:rsid w:val="63B30A2E"/>
    <w:rsid w:val="63B514A9"/>
    <w:rsid w:val="63B95028"/>
    <w:rsid w:val="63B96071"/>
    <w:rsid w:val="63C4349A"/>
    <w:rsid w:val="63C60FC0"/>
    <w:rsid w:val="63CD7716"/>
    <w:rsid w:val="63D37018"/>
    <w:rsid w:val="63D564B3"/>
    <w:rsid w:val="63D615E9"/>
    <w:rsid w:val="63D95197"/>
    <w:rsid w:val="63DA0F0F"/>
    <w:rsid w:val="63DC2CC5"/>
    <w:rsid w:val="63DD1366"/>
    <w:rsid w:val="63E05232"/>
    <w:rsid w:val="63E70059"/>
    <w:rsid w:val="63E9158E"/>
    <w:rsid w:val="63EB6C79"/>
    <w:rsid w:val="63F06651"/>
    <w:rsid w:val="63F26259"/>
    <w:rsid w:val="63F35B2D"/>
    <w:rsid w:val="63FC70D8"/>
    <w:rsid w:val="63FE4BFE"/>
    <w:rsid w:val="6401649C"/>
    <w:rsid w:val="64033741"/>
    <w:rsid w:val="64122457"/>
    <w:rsid w:val="64124205"/>
    <w:rsid w:val="64130FE6"/>
    <w:rsid w:val="641461CF"/>
    <w:rsid w:val="641B55C8"/>
    <w:rsid w:val="642F52DB"/>
    <w:rsid w:val="64300B2F"/>
    <w:rsid w:val="64343A8C"/>
    <w:rsid w:val="64376836"/>
    <w:rsid w:val="64393E88"/>
    <w:rsid w:val="643B7C00"/>
    <w:rsid w:val="643C1D4A"/>
    <w:rsid w:val="644665A5"/>
    <w:rsid w:val="64485E79"/>
    <w:rsid w:val="644B5969"/>
    <w:rsid w:val="644E123B"/>
    <w:rsid w:val="64504D2E"/>
    <w:rsid w:val="64552344"/>
    <w:rsid w:val="6458310B"/>
    <w:rsid w:val="645A5BAC"/>
    <w:rsid w:val="645B63B1"/>
    <w:rsid w:val="645C1924"/>
    <w:rsid w:val="6470717E"/>
    <w:rsid w:val="64725B80"/>
    <w:rsid w:val="64744EC0"/>
    <w:rsid w:val="647C1FC7"/>
    <w:rsid w:val="647D3ABC"/>
    <w:rsid w:val="64820488"/>
    <w:rsid w:val="648D7D30"/>
    <w:rsid w:val="649165CE"/>
    <w:rsid w:val="64921934"/>
    <w:rsid w:val="649B4C1C"/>
    <w:rsid w:val="649E6BC1"/>
    <w:rsid w:val="64A137DB"/>
    <w:rsid w:val="64A433BE"/>
    <w:rsid w:val="64A61561"/>
    <w:rsid w:val="64A62BA0"/>
    <w:rsid w:val="64A778A7"/>
    <w:rsid w:val="64B34306"/>
    <w:rsid w:val="64B61E80"/>
    <w:rsid w:val="64B654D9"/>
    <w:rsid w:val="64B90B25"/>
    <w:rsid w:val="64C319A4"/>
    <w:rsid w:val="64C64FF0"/>
    <w:rsid w:val="64D50279"/>
    <w:rsid w:val="64DC6696"/>
    <w:rsid w:val="64E07CA3"/>
    <w:rsid w:val="64E262CE"/>
    <w:rsid w:val="64E42046"/>
    <w:rsid w:val="64EC0EFA"/>
    <w:rsid w:val="64F30B2D"/>
    <w:rsid w:val="64FD0B3D"/>
    <w:rsid w:val="65055B18"/>
    <w:rsid w:val="65075D34"/>
    <w:rsid w:val="65085608"/>
    <w:rsid w:val="650C334B"/>
    <w:rsid w:val="651B17E0"/>
    <w:rsid w:val="651E4E2C"/>
    <w:rsid w:val="651F419B"/>
    <w:rsid w:val="651F4BD7"/>
    <w:rsid w:val="65223308"/>
    <w:rsid w:val="65224625"/>
    <w:rsid w:val="65242773"/>
    <w:rsid w:val="652D3558"/>
    <w:rsid w:val="652E1513"/>
    <w:rsid w:val="65347C32"/>
    <w:rsid w:val="653A7B00"/>
    <w:rsid w:val="6546685C"/>
    <w:rsid w:val="654866DA"/>
    <w:rsid w:val="6549634D"/>
    <w:rsid w:val="654C1061"/>
    <w:rsid w:val="654D7A6A"/>
    <w:rsid w:val="654F4FE5"/>
    <w:rsid w:val="65514EF3"/>
    <w:rsid w:val="65556AA0"/>
    <w:rsid w:val="65562818"/>
    <w:rsid w:val="655D3BA6"/>
    <w:rsid w:val="65622F6B"/>
    <w:rsid w:val="6562305C"/>
    <w:rsid w:val="65743FB7"/>
    <w:rsid w:val="657B7346"/>
    <w:rsid w:val="658057EC"/>
    <w:rsid w:val="65834666"/>
    <w:rsid w:val="65856C59"/>
    <w:rsid w:val="65870C23"/>
    <w:rsid w:val="658A426F"/>
    <w:rsid w:val="658B0713"/>
    <w:rsid w:val="658B4DA8"/>
    <w:rsid w:val="658C6239"/>
    <w:rsid w:val="65975CDE"/>
    <w:rsid w:val="659B022A"/>
    <w:rsid w:val="659C46CE"/>
    <w:rsid w:val="65A2162F"/>
    <w:rsid w:val="65A90B99"/>
    <w:rsid w:val="65AC4A59"/>
    <w:rsid w:val="65B01973"/>
    <w:rsid w:val="65B456E9"/>
    <w:rsid w:val="65B80DDC"/>
    <w:rsid w:val="65BA6903"/>
    <w:rsid w:val="65BF660F"/>
    <w:rsid w:val="65C37EAD"/>
    <w:rsid w:val="65C50D3B"/>
    <w:rsid w:val="65C92FEA"/>
    <w:rsid w:val="65D015E5"/>
    <w:rsid w:val="65D11E9E"/>
    <w:rsid w:val="65D57BE0"/>
    <w:rsid w:val="65D61121"/>
    <w:rsid w:val="65E6594A"/>
    <w:rsid w:val="65E71E4C"/>
    <w:rsid w:val="65E87914"/>
    <w:rsid w:val="65EB7404"/>
    <w:rsid w:val="65ED4F2A"/>
    <w:rsid w:val="65ED6CD8"/>
    <w:rsid w:val="65EE2A50"/>
    <w:rsid w:val="65F04A1A"/>
    <w:rsid w:val="65F609CC"/>
    <w:rsid w:val="65FA13F5"/>
    <w:rsid w:val="65FA306E"/>
    <w:rsid w:val="65FB03EB"/>
    <w:rsid w:val="65FB0A23"/>
    <w:rsid w:val="660559B4"/>
    <w:rsid w:val="66061B48"/>
    <w:rsid w:val="660776F2"/>
    <w:rsid w:val="660A2D32"/>
    <w:rsid w:val="660B3470"/>
    <w:rsid w:val="660B53B0"/>
    <w:rsid w:val="66124991"/>
    <w:rsid w:val="6613094A"/>
    <w:rsid w:val="6619754D"/>
    <w:rsid w:val="6622049D"/>
    <w:rsid w:val="662927B2"/>
    <w:rsid w:val="66403A7E"/>
    <w:rsid w:val="66414053"/>
    <w:rsid w:val="664803B2"/>
    <w:rsid w:val="66494B50"/>
    <w:rsid w:val="665054B9"/>
    <w:rsid w:val="66537F95"/>
    <w:rsid w:val="66544FA9"/>
    <w:rsid w:val="665705F5"/>
    <w:rsid w:val="66577109"/>
    <w:rsid w:val="66650F64"/>
    <w:rsid w:val="666D1BC7"/>
    <w:rsid w:val="667122EC"/>
    <w:rsid w:val="667473F9"/>
    <w:rsid w:val="66782EA9"/>
    <w:rsid w:val="66794A10"/>
    <w:rsid w:val="667D2BB4"/>
    <w:rsid w:val="668313EA"/>
    <w:rsid w:val="66880051"/>
    <w:rsid w:val="668C026F"/>
    <w:rsid w:val="669021AE"/>
    <w:rsid w:val="66A55805"/>
    <w:rsid w:val="66A82BFF"/>
    <w:rsid w:val="66A8476B"/>
    <w:rsid w:val="66AB26EF"/>
    <w:rsid w:val="66B10859"/>
    <w:rsid w:val="66BA2A18"/>
    <w:rsid w:val="66BE6A4B"/>
    <w:rsid w:val="66C038E9"/>
    <w:rsid w:val="66C518B5"/>
    <w:rsid w:val="66CC2D91"/>
    <w:rsid w:val="66CF63DE"/>
    <w:rsid w:val="66D151F1"/>
    <w:rsid w:val="66DE4268"/>
    <w:rsid w:val="66E8749F"/>
    <w:rsid w:val="66ED2D08"/>
    <w:rsid w:val="66FD76BB"/>
    <w:rsid w:val="67027EA5"/>
    <w:rsid w:val="670B2B20"/>
    <w:rsid w:val="6712692A"/>
    <w:rsid w:val="671309C0"/>
    <w:rsid w:val="67184229"/>
    <w:rsid w:val="671D35ED"/>
    <w:rsid w:val="671F01BE"/>
    <w:rsid w:val="672030DD"/>
    <w:rsid w:val="673D3C8F"/>
    <w:rsid w:val="673F4E70"/>
    <w:rsid w:val="67423054"/>
    <w:rsid w:val="67430D38"/>
    <w:rsid w:val="674520EC"/>
    <w:rsid w:val="67492634"/>
    <w:rsid w:val="675039C2"/>
    <w:rsid w:val="675863D3"/>
    <w:rsid w:val="675B3787"/>
    <w:rsid w:val="675E59B4"/>
    <w:rsid w:val="676034DA"/>
    <w:rsid w:val="67627252"/>
    <w:rsid w:val="67672ABA"/>
    <w:rsid w:val="67697FFA"/>
    <w:rsid w:val="676E5BF7"/>
    <w:rsid w:val="67783A8B"/>
    <w:rsid w:val="677D5E3A"/>
    <w:rsid w:val="6780592A"/>
    <w:rsid w:val="6787315C"/>
    <w:rsid w:val="67917B37"/>
    <w:rsid w:val="67934050"/>
    <w:rsid w:val="6796514D"/>
    <w:rsid w:val="679B4282"/>
    <w:rsid w:val="67A02E70"/>
    <w:rsid w:val="67A3738B"/>
    <w:rsid w:val="67A63F1C"/>
    <w:rsid w:val="67AE2F25"/>
    <w:rsid w:val="67AE6CBD"/>
    <w:rsid w:val="67B100B7"/>
    <w:rsid w:val="67B50669"/>
    <w:rsid w:val="67B51A77"/>
    <w:rsid w:val="67B6357E"/>
    <w:rsid w:val="67B64DFA"/>
    <w:rsid w:val="67B95624"/>
    <w:rsid w:val="67BA0E3C"/>
    <w:rsid w:val="67D25A26"/>
    <w:rsid w:val="67DF1C98"/>
    <w:rsid w:val="67DF6D0B"/>
    <w:rsid w:val="67E049F9"/>
    <w:rsid w:val="67E4235D"/>
    <w:rsid w:val="67E73BFB"/>
    <w:rsid w:val="67E91721"/>
    <w:rsid w:val="67E934CF"/>
    <w:rsid w:val="67EC296B"/>
    <w:rsid w:val="67F524F3"/>
    <w:rsid w:val="67F87EA2"/>
    <w:rsid w:val="67FB08EB"/>
    <w:rsid w:val="67FF0F45"/>
    <w:rsid w:val="680613B6"/>
    <w:rsid w:val="680A439D"/>
    <w:rsid w:val="68155239"/>
    <w:rsid w:val="68175FB2"/>
    <w:rsid w:val="68226E6A"/>
    <w:rsid w:val="68263B33"/>
    <w:rsid w:val="682D4F2F"/>
    <w:rsid w:val="683055A2"/>
    <w:rsid w:val="683619A2"/>
    <w:rsid w:val="683A1C4F"/>
    <w:rsid w:val="68430E58"/>
    <w:rsid w:val="6850354E"/>
    <w:rsid w:val="6857373E"/>
    <w:rsid w:val="686204E1"/>
    <w:rsid w:val="68661F97"/>
    <w:rsid w:val="686D4100"/>
    <w:rsid w:val="68737DB3"/>
    <w:rsid w:val="687A05CB"/>
    <w:rsid w:val="687B4BF8"/>
    <w:rsid w:val="68833408"/>
    <w:rsid w:val="688356D2"/>
    <w:rsid w:val="688A4CB2"/>
    <w:rsid w:val="688F35D0"/>
    <w:rsid w:val="6894168D"/>
    <w:rsid w:val="689841A8"/>
    <w:rsid w:val="689C5636"/>
    <w:rsid w:val="68A533CC"/>
    <w:rsid w:val="68A62F66"/>
    <w:rsid w:val="68A67612"/>
    <w:rsid w:val="68B03FED"/>
    <w:rsid w:val="68B65AA7"/>
    <w:rsid w:val="68C534C1"/>
    <w:rsid w:val="68CA0339"/>
    <w:rsid w:val="68CE0DFE"/>
    <w:rsid w:val="68D203D5"/>
    <w:rsid w:val="68D423D1"/>
    <w:rsid w:val="68D45F2D"/>
    <w:rsid w:val="68D5400D"/>
    <w:rsid w:val="68E22B8F"/>
    <w:rsid w:val="68E578FA"/>
    <w:rsid w:val="68E63EB3"/>
    <w:rsid w:val="68F44821"/>
    <w:rsid w:val="68F62A33"/>
    <w:rsid w:val="68F640F6"/>
    <w:rsid w:val="68F66411"/>
    <w:rsid w:val="68F67904"/>
    <w:rsid w:val="68FC5484"/>
    <w:rsid w:val="68FD5D79"/>
    <w:rsid w:val="69083CEF"/>
    <w:rsid w:val="69112CDD"/>
    <w:rsid w:val="69162878"/>
    <w:rsid w:val="691A127E"/>
    <w:rsid w:val="69230C63"/>
    <w:rsid w:val="69280014"/>
    <w:rsid w:val="692C1D3B"/>
    <w:rsid w:val="692C6117"/>
    <w:rsid w:val="692E3D88"/>
    <w:rsid w:val="69327056"/>
    <w:rsid w:val="69330DF7"/>
    <w:rsid w:val="69334925"/>
    <w:rsid w:val="693364E2"/>
    <w:rsid w:val="693D62A2"/>
    <w:rsid w:val="69475692"/>
    <w:rsid w:val="694817AA"/>
    <w:rsid w:val="6949691B"/>
    <w:rsid w:val="694B2B30"/>
    <w:rsid w:val="694C3F93"/>
    <w:rsid w:val="69545323"/>
    <w:rsid w:val="695D5F23"/>
    <w:rsid w:val="695E1C9B"/>
    <w:rsid w:val="6960446C"/>
    <w:rsid w:val="6967357B"/>
    <w:rsid w:val="69676DA1"/>
    <w:rsid w:val="696F420B"/>
    <w:rsid w:val="69701C8D"/>
    <w:rsid w:val="69760313"/>
    <w:rsid w:val="69780FAF"/>
    <w:rsid w:val="697E4433"/>
    <w:rsid w:val="69811F27"/>
    <w:rsid w:val="69872FA0"/>
    <w:rsid w:val="698735C3"/>
    <w:rsid w:val="698C2CAC"/>
    <w:rsid w:val="698E3662"/>
    <w:rsid w:val="6994390F"/>
    <w:rsid w:val="69950DBB"/>
    <w:rsid w:val="69954FAC"/>
    <w:rsid w:val="69956513"/>
    <w:rsid w:val="699B6A4B"/>
    <w:rsid w:val="69A17ABB"/>
    <w:rsid w:val="69A27DD9"/>
    <w:rsid w:val="69A50E62"/>
    <w:rsid w:val="69A51678"/>
    <w:rsid w:val="69AB6050"/>
    <w:rsid w:val="69AD52CF"/>
    <w:rsid w:val="69AE49D0"/>
    <w:rsid w:val="69AE677E"/>
    <w:rsid w:val="69B47B0D"/>
    <w:rsid w:val="69B60E47"/>
    <w:rsid w:val="69B813AB"/>
    <w:rsid w:val="69BE3C72"/>
    <w:rsid w:val="69C96604"/>
    <w:rsid w:val="69CB5582"/>
    <w:rsid w:val="69CC12FA"/>
    <w:rsid w:val="69CE4E6D"/>
    <w:rsid w:val="69D56401"/>
    <w:rsid w:val="69D74EB4"/>
    <w:rsid w:val="69D8724A"/>
    <w:rsid w:val="69ED412F"/>
    <w:rsid w:val="69F67967"/>
    <w:rsid w:val="69FA19C4"/>
    <w:rsid w:val="69FF347E"/>
    <w:rsid w:val="6A015CF8"/>
    <w:rsid w:val="6A061712"/>
    <w:rsid w:val="6A0B1878"/>
    <w:rsid w:val="6A0B1E23"/>
    <w:rsid w:val="6A116D0D"/>
    <w:rsid w:val="6A1F142A"/>
    <w:rsid w:val="6A1F58CE"/>
    <w:rsid w:val="6A231BB8"/>
    <w:rsid w:val="6A244B57"/>
    <w:rsid w:val="6A254BD0"/>
    <w:rsid w:val="6A2627B9"/>
    <w:rsid w:val="6A2978C7"/>
    <w:rsid w:val="6A34330F"/>
    <w:rsid w:val="6A364414"/>
    <w:rsid w:val="6A41277C"/>
    <w:rsid w:val="6A421519"/>
    <w:rsid w:val="6A4B0471"/>
    <w:rsid w:val="6A4C51B4"/>
    <w:rsid w:val="6A576E16"/>
    <w:rsid w:val="6A5B5CB3"/>
    <w:rsid w:val="6A602B4B"/>
    <w:rsid w:val="6A617C95"/>
    <w:rsid w:val="6A6634FD"/>
    <w:rsid w:val="6A6A6661"/>
    <w:rsid w:val="6A701C86"/>
    <w:rsid w:val="6A731776"/>
    <w:rsid w:val="6A7B4B39"/>
    <w:rsid w:val="6A82088C"/>
    <w:rsid w:val="6A833EAB"/>
    <w:rsid w:val="6A8676FB"/>
    <w:rsid w:val="6A885221"/>
    <w:rsid w:val="6A886ED6"/>
    <w:rsid w:val="6A8F31AB"/>
    <w:rsid w:val="6A902328"/>
    <w:rsid w:val="6A9242F2"/>
    <w:rsid w:val="6A941E18"/>
    <w:rsid w:val="6A9438B9"/>
    <w:rsid w:val="6A955B90"/>
    <w:rsid w:val="6A957D83"/>
    <w:rsid w:val="6A9D13FA"/>
    <w:rsid w:val="6AA302AD"/>
    <w:rsid w:val="6AA50848"/>
    <w:rsid w:val="6AA81989"/>
    <w:rsid w:val="6AA92C8E"/>
    <w:rsid w:val="6AB06D96"/>
    <w:rsid w:val="6AC975E8"/>
    <w:rsid w:val="6ACA3A8C"/>
    <w:rsid w:val="6ACF10EE"/>
    <w:rsid w:val="6AD824D8"/>
    <w:rsid w:val="6ADE1E63"/>
    <w:rsid w:val="6ADE5AF6"/>
    <w:rsid w:val="6ADF51CD"/>
    <w:rsid w:val="6ADF66FE"/>
    <w:rsid w:val="6AE244C1"/>
    <w:rsid w:val="6AE665E9"/>
    <w:rsid w:val="6AE85CC0"/>
    <w:rsid w:val="6AEA25E5"/>
    <w:rsid w:val="6B0A20DA"/>
    <w:rsid w:val="6B1C3EC6"/>
    <w:rsid w:val="6B247A45"/>
    <w:rsid w:val="6B317667"/>
    <w:rsid w:val="6B33736F"/>
    <w:rsid w:val="6B3727A3"/>
    <w:rsid w:val="6B453112"/>
    <w:rsid w:val="6B464D0B"/>
    <w:rsid w:val="6B4E58F8"/>
    <w:rsid w:val="6B4F21E3"/>
    <w:rsid w:val="6B522C27"/>
    <w:rsid w:val="6B557B0C"/>
    <w:rsid w:val="6B591989"/>
    <w:rsid w:val="6B610780"/>
    <w:rsid w:val="6B6C68F1"/>
    <w:rsid w:val="6B6F1F3D"/>
    <w:rsid w:val="6B84121C"/>
    <w:rsid w:val="6B855C05"/>
    <w:rsid w:val="6B915D5E"/>
    <w:rsid w:val="6B9320D0"/>
    <w:rsid w:val="6B981292"/>
    <w:rsid w:val="6B9B5A9A"/>
    <w:rsid w:val="6B9C4AD7"/>
    <w:rsid w:val="6B9C7C98"/>
    <w:rsid w:val="6BA240C1"/>
    <w:rsid w:val="6BA64A7B"/>
    <w:rsid w:val="6BAA11C7"/>
    <w:rsid w:val="6BAA69B3"/>
    <w:rsid w:val="6BAF67DE"/>
    <w:rsid w:val="6BAF6C83"/>
    <w:rsid w:val="6BB32772"/>
    <w:rsid w:val="6BBC312F"/>
    <w:rsid w:val="6BC24516"/>
    <w:rsid w:val="6BC2670A"/>
    <w:rsid w:val="6BC73B27"/>
    <w:rsid w:val="6BC95AC0"/>
    <w:rsid w:val="6BC95AF1"/>
    <w:rsid w:val="6BCD7480"/>
    <w:rsid w:val="6BD12BF8"/>
    <w:rsid w:val="6BDD501F"/>
    <w:rsid w:val="6BDE61BE"/>
    <w:rsid w:val="6BE576D8"/>
    <w:rsid w:val="6BEA5A68"/>
    <w:rsid w:val="6BEA7B17"/>
    <w:rsid w:val="6BEB0F83"/>
    <w:rsid w:val="6BEB54DA"/>
    <w:rsid w:val="6BED17F6"/>
    <w:rsid w:val="6BF50BB7"/>
    <w:rsid w:val="6BFB5EC7"/>
    <w:rsid w:val="6BFD50B2"/>
    <w:rsid w:val="6C0905E4"/>
    <w:rsid w:val="6C0E5BFA"/>
    <w:rsid w:val="6C0F565A"/>
    <w:rsid w:val="6C150D37"/>
    <w:rsid w:val="6C156F89"/>
    <w:rsid w:val="6C162796"/>
    <w:rsid w:val="6C172D01"/>
    <w:rsid w:val="6C271DDA"/>
    <w:rsid w:val="6C354F35"/>
    <w:rsid w:val="6C396407"/>
    <w:rsid w:val="6C3A3237"/>
    <w:rsid w:val="6C3B2F1A"/>
    <w:rsid w:val="6C4433CA"/>
    <w:rsid w:val="6C44776E"/>
    <w:rsid w:val="6C47598A"/>
    <w:rsid w:val="6C4B4758"/>
    <w:rsid w:val="6C4D6722"/>
    <w:rsid w:val="6C502E70"/>
    <w:rsid w:val="6C5268E5"/>
    <w:rsid w:val="6C5910F6"/>
    <w:rsid w:val="6C594CBF"/>
    <w:rsid w:val="6C5B27E4"/>
    <w:rsid w:val="6C691082"/>
    <w:rsid w:val="6C6A16B7"/>
    <w:rsid w:val="6C766FEA"/>
    <w:rsid w:val="6C7672FB"/>
    <w:rsid w:val="6C7A503E"/>
    <w:rsid w:val="6C7A7686"/>
    <w:rsid w:val="6C81017A"/>
    <w:rsid w:val="6C884123"/>
    <w:rsid w:val="6C8F3DA8"/>
    <w:rsid w:val="6C904861"/>
    <w:rsid w:val="6C9E122D"/>
    <w:rsid w:val="6CA203DD"/>
    <w:rsid w:val="6CA312E4"/>
    <w:rsid w:val="6CA43D4D"/>
    <w:rsid w:val="6CAF118B"/>
    <w:rsid w:val="6CBA368C"/>
    <w:rsid w:val="6CBF0CA2"/>
    <w:rsid w:val="6CC4275D"/>
    <w:rsid w:val="6CC8224D"/>
    <w:rsid w:val="6CD209D6"/>
    <w:rsid w:val="6CD54402"/>
    <w:rsid w:val="6CD92F23"/>
    <w:rsid w:val="6CDC3602"/>
    <w:rsid w:val="6CDC7AA6"/>
    <w:rsid w:val="6CDE73AA"/>
    <w:rsid w:val="6CE5648C"/>
    <w:rsid w:val="6CE716A0"/>
    <w:rsid w:val="6CF272CA"/>
    <w:rsid w:val="6CFC73C8"/>
    <w:rsid w:val="6CFD7AE5"/>
    <w:rsid w:val="6CFE5C6F"/>
    <w:rsid w:val="6D030143"/>
    <w:rsid w:val="6D033285"/>
    <w:rsid w:val="6D0B3EE8"/>
    <w:rsid w:val="6D1073A3"/>
    <w:rsid w:val="6D11307D"/>
    <w:rsid w:val="6D142D9C"/>
    <w:rsid w:val="6D1E3C1B"/>
    <w:rsid w:val="6D203E37"/>
    <w:rsid w:val="6D2154B9"/>
    <w:rsid w:val="6D286525"/>
    <w:rsid w:val="6D2D29AD"/>
    <w:rsid w:val="6D2F7BD6"/>
    <w:rsid w:val="6D315CE5"/>
    <w:rsid w:val="6D370E97"/>
    <w:rsid w:val="6D413DAD"/>
    <w:rsid w:val="6D437B25"/>
    <w:rsid w:val="6D4672D9"/>
    <w:rsid w:val="6D543AE1"/>
    <w:rsid w:val="6D594C53"/>
    <w:rsid w:val="6D5D0BE7"/>
    <w:rsid w:val="6D61605E"/>
    <w:rsid w:val="6D6830E8"/>
    <w:rsid w:val="6D6E7652"/>
    <w:rsid w:val="6D7221B9"/>
    <w:rsid w:val="6D7B106D"/>
    <w:rsid w:val="6D7D3037"/>
    <w:rsid w:val="6D7D683A"/>
    <w:rsid w:val="6D823EBE"/>
    <w:rsid w:val="6D855A48"/>
    <w:rsid w:val="6D8668BF"/>
    <w:rsid w:val="6D875C64"/>
    <w:rsid w:val="6D8A12B0"/>
    <w:rsid w:val="6D8A6CF1"/>
    <w:rsid w:val="6D91263F"/>
    <w:rsid w:val="6D9E4E7E"/>
    <w:rsid w:val="6DA33132"/>
    <w:rsid w:val="6DA55032"/>
    <w:rsid w:val="6DAE50B9"/>
    <w:rsid w:val="6DB70DD5"/>
    <w:rsid w:val="6DB93B22"/>
    <w:rsid w:val="6DBB17D1"/>
    <w:rsid w:val="6DBD1686"/>
    <w:rsid w:val="6DC20A4A"/>
    <w:rsid w:val="6DCA02AD"/>
    <w:rsid w:val="6DCD4AB5"/>
    <w:rsid w:val="6DD8026E"/>
    <w:rsid w:val="6DDE7E85"/>
    <w:rsid w:val="6DE05374"/>
    <w:rsid w:val="6DE333D5"/>
    <w:rsid w:val="6DE80D4D"/>
    <w:rsid w:val="6DEB49A1"/>
    <w:rsid w:val="6DEE183F"/>
    <w:rsid w:val="6DEE76C6"/>
    <w:rsid w:val="6DEF55B7"/>
    <w:rsid w:val="6DF1132F"/>
    <w:rsid w:val="6DF350A8"/>
    <w:rsid w:val="6DFF12A2"/>
    <w:rsid w:val="6E00321F"/>
    <w:rsid w:val="6E0077C5"/>
    <w:rsid w:val="6E02184D"/>
    <w:rsid w:val="6E0931B3"/>
    <w:rsid w:val="6E0B2643"/>
    <w:rsid w:val="6E12009F"/>
    <w:rsid w:val="6E123F12"/>
    <w:rsid w:val="6E1B518E"/>
    <w:rsid w:val="6E1C6C6E"/>
    <w:rsid w:val="6E1E7EE9"/>
    <w:rsid w:val="6E201C15"/>
    <w:rsid w:val="6E213444"/>
    <w:rsid w:val="6E25722B"/>
    <w:rsid w:val="6E337B9A"/>
    <w:rsid w:val="6E3631E6"/>
    <w:rsid w:val="6E372E5F"/>
    <w:rsid w:val="6E380847"/>
    <w:rsid w:val="6E3C2662"/>
    <w:rsid w:val="6E3D4575"/>
    <w:rsid w:val="6E3E026B"/>
    <w:rsid w:val="6E4E284D"/>
    <w:rsid w:val="6E596831"/>
    <w:rsid w:val="6E5E62F3"/>
    <w:rsid w:val="6E5F273D"/>
    <w:rsid w:val="6E697118"/>
    <w:rsid w:val="6E6C6C08"/>
    <w:rsid w:val="6E6E2980"/>
    <w:rsid w:val="6E8403F6"/>
    <w:rsid w:val="6E847C75"/>
    <w:rsid w:val="6E8D386E"/>
    <w:rsid w:val="6E94732E"/>
    <w:rsid w:val="6E954335"/>
    <w:rsid w:val="6E954359"/>
    <w:rsid w:val="6E976A42"/>
    <w:rsid w:val="6E9C74ED"/>
    <w:rsid w:val="6EA25D92"/>
    <w:rsid w:val="6EA94D51"/>
    <w:rsid w:val="6EA97E5C"/>
    <w:rsid w:val="6EAB7730"/>
    <w:rsid w:val="6EAF6B18"/>
    <w:rsid w:val="6EB4371C"/>
    <w:rsid w:val="6EBA641E"/>
    <w:rsid w:val="6EBB6136"/>
    <w:rsid w:val="6EBE1E3F"/>
    <w:rsid w:val="6EC8176A"/>
    <w:rsid w:val="6ECB58D1"/>
    <w:rsid w:val="6ECB7DD2"/>
    <w:rsid w:val="6ED8604B"/>
    <w:rsid w:val="6EDB5B6B"/>
    <w:rsid w:val="6EDC5B3C"/>
    <w:rsid w:val="6EDF387E"/>
    <w:rsid w:val="6EE60768"/>
    <w:rsid w:val="6EE809D4"/>
    <w:rsid w:val="6EE90259"/>
    <w:rsid w:val="6EEA6EF6"/>
    <w:rsid w:val="6EEF3C34"/>
    <w:rsid w:val="6EF74724"/>
    <w:rsid w:val="6EFE06AA"/>
    <w:rsid w:val="6EFF182A"/>
    <w:rsid w:val="6F004BCD"/>
    <w:rsid w:val="6F0230C8"/>
    <w:rsid w:val="6F0A08FB"/>
    <w:rsid w:val="6F0E7CBF"/>
    <w:rsid w:val="6F101C89"/>
    <w:rsid w:val="6F11681F"/>
    <w:rsid w:val="6F125A01"/>
    <w:rsid w:val="6F182D6D"/>
    <w:rsid w:val="6F187481"/>
    <w:rsid w:val="6F1A08EA"/>
    <w:rsid w:val="6F1D0497"/>
    <w:rsid w:val="6F241291"/>
    <w:rsid w:val="6F287D25"/>
    <w:rsid w:val="6F2A49F1"/>
    <w:rsid w:val="6F2D6397"/>
    <w:rsid w:val="6F394D4F"/>
    <w:rsid w:val="6F3E67F6"/>
    <w:rsid w:val="6F452163"/>
    <w:rsid w:val="6F4A519B"/>
    <w:rsid w:val="6F500EA4"/>
    <w:rsid w:val="6F541B76"/>
    <w:rsid w:val="6F5D2988"/>
    <w:rsid w:val="6F5D32A0"/>
    <w:rsid w:val="6F5E47A3"/>
    <w:rsid w:val="6F603D62"/>
    <w:rsid w:val="6F683873"/>
    <w:rsid w:val="6F6B5112"/>
    <w:rsid w:val="6F6E4088"/>
    <w:rsid w:val="6F7B35A7"/>
    <w:rsid w:val="6F7B5A75"/>
    <w:rsid w:val="6F8B7A92"/>
    <w:rsid w:val="6F8D6E36"/>
    <w:rsid w:val="6F8F46A4"/>
    <w:rsid w:val="6F8F7097"/>
    <w:rsid w:val="6F9228F9"/>
    <w:rsid w:val="6F92569A"/>
    <w:rsid w:val="6F963D8A"/>
    <w:rsid w:val="6FA04DBB"/>
    <w:rsid w:val="6FA80114"/>
    <w:rsid w:val="6FAA3E8C"/>
    <w:rsid w:val="6FAA4F3F"/>
    <w:rsid w:val="6FAC75E4"/>
    <w:rsid w:val="6FAF4FFE"/>
    <w:rsid w:val="6FAF7158"/>
    <w:rsid w:val="6FB645DF"/>
    <w:rsid w:val="6FBC37DE"/>
    <w:rsid w:val="6FBE0796"/>
    <w:rsid w:val="6FBF0228"/>
    <w:rsid w:val="6FC71173"/>
    <w:rsid w:val="6FC72627"/>
    <w:rsid w:val="6FD1766A"/>
    <w:rsid w:val="6FD42CB3"/>
    <w:rsid w:val="6FD76508"/>
    <w:rsid w:val="6FD8291F"/>
    <w:rsid w:val="6FD9651F"/>
    <w:rsid w:val="6FDF3411"/>
    <w:rsid w:val="6FE0165C"/>
    <w:rsid w:val="6FE13754"/>
    <w:rsid w:val="6FE43E1F"/>
    <w:rsid w:val="6FE860A9"/>
    <w:rsid w:val="6FF07C32"/>
    <w:rsid w:val="6FF60E7F"/>
    <w:rsid w:val="6FF748C9"/>
    <w:rsid w:val="6FFC6C25"/>
    <w:rsid w:val="6FFD3FBC"/>
    <w:rsid w:val="70001CFE"/>
    <w:rsid w:val="70010FF7"/>
    <w:rsid w:val="700417EE"/>
    <w:rsid w:val="70057332"/>
    <w:rsid w:val="7006118F"/>
    <w:rsid w:val="70071265"/>
    <w:rsid w:val="70174E63"/>
    <w:rsid w:val="702A28D7"/>
    <w:rsid w:val="702E0A08"/>
    <w:rsid w:val="703025B4"/>
    <w:rsid w:val="70311EB7"/>
    <w:rsid w:val="70350EE3"/>
    <w:rsid w:val="70427A3C"/>
    <w:rsid w:val="70441BEA"/>
    <w:rsid w:val="70445241"/>
    <w:rsid w:val="70457711"/>
    <w:rsid w:val="70495453"/>
    <w:rsid w:val="70497201"/>
    <w:rsid w:val="704F63CF"/>
    <w:rsid w:val="705C171E"/>
    <w:rsid w:val="705C33D8"/>
    <w:rsid w:val="705D199D"/>
    <w:rsid w:val="705F156B"/>
    <w:rsid w:val="70660B4D"/>
    <w:rsid w:val="706933FF"/>
    <w:rsid w:val="706978A3"/>
    <w:rsid w:val="70744D8F"/>
    <w:rsid w:val="70756EB2"/>
    <w:rsid w:val="70785D38"/>
    <w:rsid w:val="707B0FCA"/>
    <w:rsid w:val="708923AF"/>
    <w:rsid w:val="708B5EA9"/>
    <w:rsid w:val="708C4FA8"/>
    <w:rsid w:val="708E2E66"/>
    <w:rsid w:val="70980188"/>
    <w:rsid w:val="709928BF"/>
    <w:rsid w:val="709D104F"/>
    <w:rsid w:val="70A1528F"/>
    <w:rsid w:val="70A46B2D"/>
    <w:rsid w:val="70A97C9F"/>
    <w:rsid w:val="70AF5C82"/>
    <w:rsid w:val="70B30B1E"/>
    <w:rsid w:val="70B328CC"/>
    <w:rsid w:val="70B331F3"/>
    <w:rsid w:val="70B6462C"/>
    <w:rsid w:val="70B76DC2"/>
    <w:rsid w:val="70BA00FF"/>
    <w:rsid w:val="70BA7721"/>
    <w:rsid w:val="70BB1A3B"/>
    <w:rsid w:val="70BD39CB"/>
    <w:rsid w:val="70C201D2"/>
    <w:rsid w:val="70C76378"/>
    <w:rsid w:val="70CB5E68"/>
    <w:rsid w:val="70CC368A"/>
    <w:rsid w:val="70CF6146"/>
    <w:rsid w:val="70D3446E"/>
    <w:rsid w:val="70D91B68"/>
    <w:rsid w:val="70DF533C"/>
    <w:rsid w:val="70E231B1"/>
    <w:rsid w:val="70E3332F"/>
    <w:rsid w:val="70E57245"/>
    <w:rsid w:val="70E7214C"/>
    <w:rsid w:val="70E94540"/>
    <w:rsid w:val="70ED5640"/>
    <w:rsid w:val="70EE7DA8"/>
    <w:rsid w:val="70F25AEA"/>
    <w:rsid w:val="70F3572C"/>
    <w:rsid w:val="70F561F8"/>
    <w:rsid w:val="70FE448F"/>
    <w:rsid w:val="7101671C"/>
    <w:rsid w:val="71035C4A"/>
    <w:rsid w:val="71080E6A"/>
    <w:rsid w:val="710870BC"/>
    <w:rsid w:val="710A1A55"/>
    <w:rsid w:val="710B6BAC"/>
    <w:rsid w:val="710E357B"/>
    <w:rsid w:val="710F044A"/>
    <w:rsid w:val="711315BD"/>
    <w:rsid w:val="71145323"/>
    <w:rsid w:val="7119668B"/>
    <w:rsid w:val="711E7494"/>
    <w:rsid w:val="71256163"/>
    <w:rsid w:val="71265794"/>
    <w:rsid w:val="71267CAF"/>
    <w:rsid w:val="7132727B"/>
    <w:rsid w:val="713502C9"/>
    <w:rsid w:val="713954C7"/>
    <w:rsid w:val="713E24CB"/>
    <w:rsid w:val="713E488C"/>
    <w:rsid w:val="7148570A"/>
    <w:rsid w:val="71526589"/>
    <w:rsid w:val="7157594D"/>
    <w:rsid w:val="715916C6"/>
    <w:rsid w:val="715E4F2E"/>
    <w:rsid w:val="716371C3"/>
    <w:rsid w:val="716B764B"/>
    <w:rsid w:val="7172482A"/>
    <w:rsid w:val="71752277"/>
    <w:rsid w:val="71793B16"/>
    <w:rsid w:val="718030F6"/>
    <w:rsid w:val="718312DF"/>
    <w:rsid w:val="71834994"/>
    <w:rsid w:val="718A5D23"/>
    <w:rsid w:val="718B0A0E"/>
    <w:rsid w:val="718D5813"/>
    <w:rsid w:val="718F26B1"/>
    <w:rsid w:val="71920663"/>
    <w:rsid w:val="719967AA"/>
    <w:rsid w:val="719C5C44"/>
    <w:rsid w:val="719F40F5"/>
    <w:rsid w:val="71A212BE"/>
    <w:rsid w:val="71A2507A"/>
    <w:rsid w:val="71A92CAC"/>
    <w:rsid w:val="71AF6B64"/>
    <w:rsid w:val="71B50FA1"/>
    <w:rsid w:val="71B52674"/>
    <w:rsid w:val="71B903B6"/>
    <w:rsid w:val="71CA0DEE"/>
    <w:rsid w:val="71D14601"/>
    <w:rsid w:val="71D945B4"/>
    <w:rsid w:val="71DB389F"/>
    <w:rsid w:val="71DB657E"/>
    <w:rsid w:val="71E06A73"/>
    <w:rsid w:val="71E76CD1"/>
    <w:rsid w:val="71EC42E8"/>
    <w:rsid w:val="721E0247"/>
    <w:rsid w:val="72256216"/>
    <w:rsid w:val="72265EC5"/>
    <w:rsid w:val="72294CAF"/>
    <w:rsid w:val="722A12B4"/>
    <w:rsid w:val="7231639C"/>
    <w:rsid w:val="72324497"/>
    <w:rsid w:val="723914F7"/>
    <w:rsid w:val="723C083C"/>
    <w:rsid w:val="723F3FFF"/>
    <w:rsid w:val="724539F8"/>
    <w:rsid w:val="724563D0"/>
    <w:rsid w:val="7249173A"/>
    <w:rsid w:val="724C2FD8"/>
    <w:rsid w:val="724E7DBD"/>
    <w:rsid w:val="724F2AC9"/>
    <w:rsid w:val="72586BD8"/>
    <w:rsid w:val="725A4828"/>
    <w:rsid w:val="725D3437"/>
    <w:rsid w:val="725F6CA1"/>
    <w:rsid w:val="726227FC"/>
    <w:rsid w:val="726C367A"/>
    <w:rsid w:val="726D46AE"/>
    <w:rsid w:val="726E2F4F"/>
    <w:rsid w:val="72783DCD"/>
    <w:rsid w:val="727B38BE"/>
    <w:rsid w:val="727C693D"/>
    <w:rsid w:val="72860F65"/>
    <w:rsid w:val="729130E1"/>
    <w:rsid w:val="72936E59"/>
    <w:rsid w:val="7294672D"/>
    <w:rsid w:val="72954BE7"/>
    <w:rsid w:val="72955A66"/>
    <w:rsid w:val="72987FCC"/>
    <w:rsid w:val="72995026"/>
    <w:rsid w:val="729A3D44"/>
    <w:rsid w:val="72A10820"/>
    <w:rsid w:val="72A4535D"/>
    <w:rsid w:val="72A70781"/>
    <w:rsid w:val="72AB41A3"/>
    <w:rsid w:val="72AE5A41"/>
    <w:rsid w:val="72B1108D"/>
    <w:rsid w:val="72B13AFE"/>
    <w:rsid w:val="72BC05E2"/>
    <w:rsid w:val="72BD745E"/>
    <w:rsid w:val="72BD7A32"/>
    <w:rsid w:val="72C443FD"/>
    <w:rsid w:val="72C76B03"/>
    <w:rsid w:val="72CC5EC7"/>
    <w:rsid w:val="72D03C09"/>
    <w:rsid w:val="72D2660D"/>
    <w:rsid w:val="72DA05E4"/>
    <w:rsid w:val="72DA4759"/>
    <w:rsid w:val="72DD4E02"/>
    <w:rsid w:val="72DE0615"/>
    <w:rsid w:val="72DF3E4C"/>
    <w:rsid w:val="72E36E6C"/>
    <w:rsid w:val="72EC1B99"/>
    <w:rsid w:val="72F032AC"/>
    <w:rsid w:val="72FC67AC"/>
    <w:rsid w:val="72FD0EC6"/>
    <w:rsid w:val="73045661"/>
    <w:rsid w:val="730C2768"/>
    <w:rsid w:val="730D252F"/>
    <w:rsid w:val="73102258"/>
    <w:rsid w:val="731559C0"/>
    <w:rsid w:val="731C0274"/>
    <w:rsid w:val="731C6E4F"/>
    <w:rsid w:val="731F1C28"/>
    <w:rsid w:val="731F2796"/>
    <w:rsid w:val="7321548C"/>
    <w:rsid w:val="73245576"/>
    <w:rsid w:val="7327134F"/>
    <w:rsid w:val="732B52E4"/>
    <w:rsid w:val="732D2C73"/>
    <w:rsid w:val="732D2E0A"/>
    <w:rsid w:val="732E26DE"/>
    <w:rsid w:val="73320420"/>
    <w:rsid w:val="7338355D"/>
    <w:rsid w:val="73533A44"/>
    <w:rsid w:val="73533EAF"/>
    <w:rsid w:val="73593BFF"/>
    <w:rsid w:val="736425A4"/>
    <w:rsid w:val="736A6D39"/>
    <w:rsid w:val="736B56E0"/>
    <w:rsid w:val="736E0E6D"/>
    <w:rsid w:val="73711DF2"/>
    <w:rsid w:val="737361D7"/>
    <w:rsid w:val="7377757F"/>
    <w:rsid w:val="73823391"/>
    <w:rsid w:val="738B7B30"/>
    <w:rsid w:val="73981633"/>
    <w:rsid w:val="73A105D0"/>
    <w:rsid w:val="73A31BA2"/>
    <w:rsid w:val="73A429A0"/>
    <w:rsid w:val="73A47E5B"/>
    <w:rsid w:val="73A86934"/>
    <w:rsid w:val="73AD2DB1"/>
    <w:rsid w:val="73AF7CC3"/>
    <w:rsid w:val="73B3623A"/>
    <w:rsid w:val="73B76B77"/>
    <w:rsid w:val="73BB0416"/>
    <w:rsid w:val="73BC23E0"/>
    <w:rsid w:val="73C06A69"/>
    <w:rsid w:val="73C3376E"/>
    <w:rsid w:val="73C535BE"/>
    <w:rsid w:val="73CA0659"/>
    <w:rsid w:val="73CF2113"/>
    <w:rsid w:val="73D9089C"/>
    <w:rsid w:val="73DC038C"/>
    <w:rsid w:val="73DE5EB2"/>
    <w:rsid w:val="73E060CE"/>
    <w:rsid w:val="73E536E4"/>
    <w:rsid w:val="73E55492"/>
    <w:rsid w:val="73EA7AD2"/>
    <w:rsid w:val="73EB293C"/>
    <w:rsid w:val="73EB4634"/>
    <w:rsid w:val="73EF1E6D"/>
    <w:rsid w:val="73F92CEC"/>
    <w:rsid w:val="73F9363E"/>
    <w:rsid w:val="73FA5DFE"/>
    <w:rsid w:val="73FE54E4"/>
    <w:rsid w:val="7409712D"/>
    <w:rsid w:val="74202937"/>
    <w:rsid w:val="7423511B"/>
    <w:rsid w:val="742374A4"/>
    <w:rsid w:val="74283B1F"/>
    <w:rsid w:val="7431442E"/>
    <w:rsid w:val="743401C8"/>
    <w:rsid w:val="74387CB8"/>
    <w:rsid w:val="743B1556"/>
    <w:rsid w:val="743B76F8"/>
    <w:rsid w:val="743E2DF5"/>
    <w:rsid w:val="74455F31"/>
    <w:rsid w:val="7453014D"/>
    <w:rsid w:val="74542618"/>
    <w:rsid w:val="74561EEC"/>
    <w:rsid w:val="74563369"/>
    <w:rsid w:val="74602D6B"/>
    <w:rsid w:val="74674561"/>
    <w:rsid w:val="74686B07"/>
    <w:rsid w:val="746A3BEA"/>
    <w:rsid w:val="746D09F2"/>
    <w:rsid w:val="746D7236"/>
    <w:rsid w:val="74786307"/>
    <w:rsid w:val="74887351"/>
    <w:rsid w:val="748F6B4C"/>
    <w:rsid w:val="7490294A"/>
    <w:rsid w:val="7492175F"/>
    <w:rsid w:val="74942A15"/>
    <w:rsid w:val="7497458B"/>
    <w:rsid w:val="749850D8"/>
    <w:rsid w:val="7499002B"/>
    <w:rsid w:val="74A54C22"/>
    <w:rsid w:val="74AE3AD6"/>
    <w:rsid w:val="74AF4CFD"/>
    <w:rsid w:val="74B12652"/>
    <w:rsid w:val="74B51309"/>
    <w:rsid w:val="74BD640F"/>
    <w:rsid w:val="74C71EA2"/>
    <w:rsid w:val="74C83581"/>
    <w:rsid w:val="74CA4688"/>
    <w:rsid w:val="74CC0400"/>
    <w:rsid w:val="74CF1A4D"/>
    <w:rsid w:val="74D34E78"/>
    <w:rsid w:val="74D361B6"/>
    <w:rsid w:val="74D97F76"/>
    <w:rsid w:val="74E72C60"/>
    <w:rsid w:val="74E7523A"/>
    <w:rsid w:val="74EE0377"/>
    <w:rsid w:val="74EE65C9"/>
    <w:rsid w:val="74EF20A8"/>
    <w:rsid w:val="74EF5F1F"/>
    <w:rsid w:val="74F3598D"/>
    <w:rsid w:val="74F60403"/>
    <w:rsid w:val="74F6722B"/>
    <w:rsid w:val="74FC0CE6"/>
    <w:rsid w:val="75007CA4"/>
    <w:rsid w:val="751679B9"/>
    <w:rsid w:val="751A116C"/>
    <w:rsid w:val="751F26AB"/>
    <w:rsid w:val="75275C40"/>
    <w:rsid w:val="75282375"/>
    <w:rsid w:val="75355FA6"/>
    <w:rsid w:val="75361655"/>
    <w:rsid w:val="753C5586"/>
    <w:rsid w:val="754601B3"/>
    <w:rsid w:val="75461F61"/>
    <w:rsid w:val="754852DA"/>
    <w:rsid w:val="754937FF"/>
    <w:rsid w:val="754B7577"/>
    <w:rsid w:val="754C32EF"/>
    <w:rsid w:val="754E0E15"/>
    <w:rsid w:val="754E30BC"/>
    <w:rsid w:val="755723C0"/>
    <w:rsid w:val="75585F01"/>
    <w:rsid w:val="75596138"/>
    <w:rsid w:val="75635FA7"/>
    <w:rsid w:val="756A5C45"/>
    <w:rsid w:val="756F60E1"/>
    <w:rsid w:val="75792C26"/>
    <w:rsid w:val="75797145"/>
    <w:rsid w:val="757D16FB"/>
    <w:rsid w:val="75805ABC"/>
    <w:rsid w:val="75880FCC"/>
    <w:rsid w:val="7595122A"/>
    <w:rsid w:val="75986535"/>
    <w:rsid w:val="759C768C"/>
    <w:rsid w:val="759E1B06"/>
    <w:rsid w:val="75A03D67"/>
    <w:rsid w:val="75A31161"/>
    <w:rsid w:val="75A60C51"/>
    <w:rsid w:val="75B452D0"/>
    <w:rsid w:val="75B875F8"/>
    <w:rsid w:val="75C116C2"/>
    <w:rsid w:val="75C817BE"/>
    <w:rsid w:val="75CC3FF1"/>
    <w:rsid w:val="75D35213"/>
    <w:rsid w:val="75D67789"/>
    <w:rsid w:val="75E365C8"/>
    <w:rsid w:val="75E55C1E"/>
    <w:rsid w:val="75EB48B6"/>
    <w:rsid w:val="75F17ED0"/>
    <w:rsid w:val="75F53987"/>
    <w:rsid w:val="75F60A57"/>
    <w:rsid w:val="75F9181C"/>
    <w:rsid w:val="75FD0222"/>
    <w:rsid w:val="760065B4"/>
    <w:rsid w:val="761B33ED"/>
    <w:rsid w:val="76200A04"/>
    <w:rsid w:val="76206727"/>
    <w:rsid w:val="76276E68"/>
    <w:rsid w:val="762D3F41"/>
    <w:rsid w:val="76360227"/>
    <w:rsid w:val="76391AC6"/>
    <w:rsid w:val="76393874"/>
    <w:rsid w:val="763C54EF"/>
    <w:rsid w:val="763D3B4D"/>
    <w:rsid w:val="7645046A"/>
    <w:rsid w:val="764D0FCD"/>
    <w:rsid w:val="7652286A"/>
    <w:rsid w:val="765468FF"/>
    <w:rsid w:val="765B00D5"/>
    <w:rsid w:val="765B0EF2"/>
    <w:rsid w:val="765B7ACF"/>
    <w:rsid w:val="765C0D31"/>
    <w:rsid w:val="76654669"/>
    <w:rsid w:val="766B09DE"/>
    <w:rsid w:val="766C04D6"/>
    <w:rsid w:val="766D5F57"/>
    <w:rsid w:val="766E4FBE"/>
    <w:rsid w:val="767E397C"/>
    <w:rsid w:val="76866BDD"/>
    <w:rsid w:val="76880357"/>
    <w:rsid w:val="76946218"/>
    <w:rsid w:val="769767EC"/>
    <w:rsid w:val="769B0934"/>
    <w:rsid w:val="76A5715B"/>
    <w:rsid w:val="76AE10C8"/>
    <w:rsid w:val="76B344CD"/>
    <w:rsid w:val="76B65452"/>
    <w:rsid w:val="76C021E7"/>
    <w:rsid w:val="76C36B1F"/>
    <w:rsid w:val="76C53B1E"/>
    <w:rsid w:val="76CA086F"/>
    <w:rsid w:val="76CD220E"/>
    <w:rsid w:val="76D04795"/>
    <w:rsid w:val="76D872C4"/>
    <w:rsid w:val="76DB1E0E"/>
    <w:rsid w:val="76DF5F0E"/>
    <w:rsid w:val="76EB7264"/>
    <w:rsid w:val="76EC6B38"/>
    <w:rsid w:val="76F65C09"/>
    <w:rsid w:val="76F81981"/>
    <w:rsid w:val="77014BA0"/>
    <w:rsid w:val="770C0F88"/>
    <w:rsid w:val="77123C65"/>
    <w:rsid w:val="77151A0A"/>
    <w:rsid w:val="77161E07"/>
    <w:rsid w:val="771D6C13"/>
    <w:rsid w:val="77202EE9"/>
    <w:rsid w:val="772338A1"/>
    <w:rsid w:val="77291F0E"/>
    <w:rsid w:val="772B2D1A"/>
    <w:rsid w:val="772B3B04"/>
    <w:rsid w:val="772C33D8"/>
    <w:rsid w:val="7731279D"/>
    <w:rsid w:val="77323D52"/>
    <w:rsid w:val="77366850"/>
    <w:rsid w:val="77383B2B"/>
    <w:rsid w:val="77384ABB"/>
    <w:rsid w:val="773B1E28"/>
    <w:rsid w:val="773C5531"/>
    <w:rsid w:val="773F135E"/>
    <w:rsid w:val="774670D8"/>
    <w:rsid w:val="77476464"/>
    <w:rsid w:val="774A385E"/>
    <w:rsid w:val="775245CC"/>
    <w:rsid w:val="775546DD"/>
    <w:rsid w:val="775C033A"/>
    <w:rsid w:val="775C335A"/>
    <w:rsid w:val="775E5EF3"/>
    <w:rsid w:val="7762704F"/>
    <w:rsid w:val="77690779"/>
    <w:rsid w:val="7769462C"/>
    <w:rsid w:val="7771703D"/>
    <w:rsid w:val="7772528F"/>
    <w:rsid w:val="77737259"/>
    <w:rsid w:val="778B45A3"/>
    <w:rsid w:val="778D1C32"/>
    <w:rsid w:val="779276DF"/>
    <w:rsid w:val="77972F48"/>
    <w:rsid w:val="77A30552"/>
    <w:rsid w:val="77A47413"/>
    <w:rsid w:val="77AB66A2"/>
    <w:rsid w:val="77AD1554"/>
    <w:rsid w:val="77B04009"/>
    <w:rsid w:val="77B43AFA"/>
    <w:rsid w:val="77B77146"/>
    <w:rsid w:val="77C33D3D"/>
    <w:rsid w:val="77C74756"/>
    <w:rsid w:val="77CB5AAF"/>
    <w:rsid w:val="77D31AA6"/>
    <w:rsid w:val="77D37116"/>
    <w:rsid w:val="77D46472"/>
    <w:rsid w:val="77D6332B"/>
    <w:rsid w:val="77DB2DC7"/>
    <w:rsid w:val="77E117FC"/>
    <w:rsid w:val="77E13575"/>
    <w:rsid w:val="77E912C9"/>
    <w:rsid w:val="77E93077"/>
    <w:rsid w:val="77EC37E9"/>
    <w:rsid w:val="77ED4F30"/>
    <w:rsid w:val="77F75794"/>
    <w:rsid w:val="77FE6B23"/>
    <w:rsid w:val="77FE7DA2"/>
    <w:rsid w:val="78100BF7"/>
    <w:rsid w:val="78150891"/>
    <w:rsid w:val="781520BE"/>
    <w:rsid w:val="781A1483"/>
    <w:rsid w:val="781A3921"/>
    <w:rsid w:val="781B0D4D"/>
    <w:rsid w:val="781C169F"/>
    <w:rsid w:val="782347DB"/>
    <w:rsid w:val="78253ED2"/>
    <w:rsid w:val="78256DC9"/>
    <w:rsid w:val="78264C7D"/>
    <w:rsid w:val="782938C6"/>
    <w:rsid w:val="78352A77"/>
    <w:rsid w:val="78375B6E"/>
    <w:rsid w:val="78395DAD"/>
    <w:rsid w:val="783C589D"/>
    <w:rsid w:val="783E6F69"/>
    <w:rsid w:val="78451793"/>
    <w:rsid w:val="784534AF"/>
    <w:rsid w:val="78454752"/>
    <w:rsid w:val="784F55D0"/>
    <w:rsid w:val="78592A0E"/>
    <w:rsid w:val="785F5BA2"/>
    <w:rsid w:val="78645791"/>
    <w:rsid w:val="78686692"/>
    <w:rsid w:val="786A065C"/>
    <w:rsid w:val="78713799"/>
    <w:rsid w:val="7873336F"/>
    <w:rsid w:val="78755FC8"/>
    <w:rsid w:val="78774B27"/>
    <w:rsid w:val="78782D79"/>
    <w:rsid w:val="787C3EEC"/>
    <w:rsid w:val="78811502"/>
    <w:rsid w:val="788A37E4"/>
    <w:rsid w:val="78911745"/>
    <w:rsid w:val="78931961"/>
    <w:rsid w:val="78A07BDA"/>
    <w:rsid w:val="78A27DF6"/>
    <w:rsid w:val="78A56E7C"/>
    <w:rsid w:val="78BA692E"/>
    <w:rsid w:val="78BB4A14"/>
    <w:rsid w:val="78C241E3"/>
    <w:rsid w:val="78C25DA2"/>
    <w:rsid w:val="78C37D6C"/>
    <w:rsid w:val="78C56EED"/>
    <w:rsid w:val="78C80171"/>
    <w:rsid w:val="78D077C8"/>
    <w:rsid w:val="78D51BC9"/>
    <w:rsid w:val="78D6764B"/>
    <w:rsid w:val="78DC157F"/>
    <w:rsid w:val="78DD4A45"/>
    <w:rsid w:val="78DF3A29"/>
    <w:rsid w:val="78E3611B"/>
    <w:rsid w:val="78E421BD"/>
    <w:rsid w:val="78E4448D"/>
    <w:rsid w:val="78E706C2"/>
    <w:rsid w:val="78E81581"/>
    <w:rsid w:val="78ED627F"/>
    <w:rsid w:val="78FA19E0"/>
    <w:rsid w:val="78FA7C0B"/>
    <w:rsid w:val="78FD5AF8"/>
    <w:rsid w:val="79011794"/>
    <w:rsid w:val="790463BB"/>
    <w:rsid w:val="79073DA6"/>
    <w:rsid w:val="79077C59"/>
    <w:rsid w:val="79200D1B"/>
    <w:rsid w:val="792425B9"/>
    <w:rsid w:val="792A3948"/>
    <w:rsid w:val="792B3272"/>
    <w:rsid w:val="792C25D8"/>
    <w:rsid w:val="79330A4E"/>
    <w:rsid w:val="79344CBF"/>
    <w:rsid w:val="793622EC"/>
    <w:rsid w:val="794013BD"/>
    <w:rsid w:val="794669D3"/>
    <w:rsid w:val="794C38BE"/>
    <w:rsid w:val="79537342"/>
    <w:rsid w:val="79552A92"/>
    <w:rsid w:val="79587FA4"/>
    <w:rsid w:val="795B1D53"/>
    <w:rsid w:val="795F5CE7"/>
    <w:rsid w:val="79624AAB"/>
    <w:rsid w:val="797177C8"/>
    <w:rsid w:val="79756D63"/>
    <w:rsid w:val="79782905"/>
    <w:rsid w:val="797D6B00"/>
    <w:rsid w:val="79811B4C"/>
    <w:rsid w:val="79831FDA"/>
    <w:rsid w:val="798474FC"/>
    <w:rsid w:val="798677EE"/>
    <w:rsid w:val="79992C0C"/>
    <w:rsid w:val="799A79A5"/>
    <w:rsid w:val="79A25BD4"/>
    <w:rsid w:val="79AB64CC"/>
    <w:rsid w:val="79B3393D"/>
    <w:rsid w:val="79B45A38"/>
    <w:rsid w:val="79BC316C"/>
    <w:rsid w:val="79BF22E2"/>
    <w:rsid w:val="79C478F8"/>
    <w:rsid w:val="79C618C2"/>
    <w:rsid w:val="79D67F82"/>
    <w:rsid w:val="79D73F08"/>
    <w:rsid w:val="79DD09BA"/>
    <w:rsid w:val="79DD3B34"/>
    <w:rsid w:val="79E32474"/>
    <w:rsid w:val="79E35D78"/>
    <w:rsid w:val="79EE0E19"/>
    <w:rsid w:val="79F2754D"/>
    <w:rsid w:val="79F72415"/>
    <w:rsid w:val="79F93A46"/>
    <w:rsid w:val="79FC3536"/>
    <w:rsid w:val="79FF6B82"/>
    <w:rsid w:val="7A022355"/>
    <w:rsid w:val="7A0348C4"/>
    <w:rsid w:val="7A073240"/>
    <w:rsid w:val="7A2111EE"/>
    <w:rsid w:val="7A236D15"/>
    <w:rsid w:val="7A28257D"/>
    <w:rsid w:val="7A2B7F7C"/>
    <w:rsid w:val="7A2F6FE3"/>
    <w:rsid w:val="7A356A48"/>
    <w:rsid w:val="7A36630D"/>
    <w:rsid w:val="7A3C1852"/>
    <w:rsid w:val="7A3D71EE"/>
    <w:rsid w:val="7A4B1DC7"/>
    <w:rsid w:val="7A4E7237"/>
    <w:rsid w:val="7A4F4C35"/>
    <w:rsid w:val="7A545120"/>
    <w:rsid w:val="7A552C46"/>
    <w:rsid w:val="7A5666F4"/>
    <w:rsid w:val="7A5A200A"/>
    <w:rsid w:val="7A5B77C4"/>
    <w:rsid w:val="7A5E1541"/>
    <w:rsid w:val="7A6235D2"/>
    <w:rsid w:val="7A660C89"/>
    <w:rsid w:val="7A6B4218"/>
    <w:rsid w:val="7A6D7F90"/>
    <w:rsid w:val="7A6F3D08"/>
    <w:rsid w:val="7A7246C7"/>
    <w:rsid w:val="7A747570"/>
    <w:rsid w:val="7A756E44"/>
    <w:rsid w:val="7A7607F4"/>
    <w:rsid w:val="7A772BBC"/>
    <w:rsid w:val="7A7C01D3"/>
    <w:rsid w:val="7A7C4677"/>
    <w:rsid w:val="7A8157E9"/>
    <w:rsid w:val="7A884DCA"/>
    <w:rsid w:val="7A97500D"/>
    <w:rsid w:val="7A980B7B"/>
    <w:rsid w:val="7A9814B1"/>
    <w:rsid w:val="7A9A71D5"/>
    <w:rsid w:val="7AA0785F"/>
    <w:rsid w:val="7AA17C39"/>
    <w:rsid w:val="7AA377B5"/>
    <w:rsid w:val="7AAA62D5"/>
    <w:rsid w:val="7AAD1D2F"/>
    <w:rsid w:val="7AAD65DE"/>
    <w:rsid w:val="7AB27306"/>
    <w:rsid w:val="7AC1208A"/>
    <w:rsid w:val="7AC34054"/>
    <w:rsid w:val="7AC5601E"/>
    <w:rsid w:val="7AC73F89"/>
    <w:rsid w:val="7AD301A1"/>
    <w:rsid w:val="7AD63D87"/>
    <w:rsid w:val="7ADB71B2"/>
    <w:rsid w:val="7AE21CA9"/>
    <w:rsid w:val="7AE85868"/>
    <w:rsid w:val="7AE952D9"/>
    <w:rsid w:val="7AF62794"/>
    <w:rsid w:val="7AF63930"/>
    <w:rsid w:val="7AF7054B"/>
    <w:rsid w:val="7AF83CFD"/>
    <w:rsid w:val="7AF97A75"/>
    <w:rsid w:val="7AFE508C"/>
    <w:rsid w:val="7B0050C7"/>
    <w:rsid w:val="7B024B7C"/>
    <w:rsid w:val="7B074C2C"/>
    <w:rsid w:val="7B0C5A03"/>
    <w:rsid w:val="7B0F1ABE"/>
    <w:rsid w:val="7B116F75"/>
    <w:rsid w:val="7B14584D"/>
    <w:rsid w:val="7B1B79EC"/>
    <w:rsid w:val="7B292109"/>
    <w:rsid w:val="7B2C1D83"/>
    <w:rsid w:val="7B310FBD"/>
    <w:rsid w:val="7B337B77"/>
    <w:rsid w:val="7B38059E"/>
    <w:rsid w:val="7B3A4316"/>
    <w:rsid w:val="7B3E36CD"/>
    <w:rsid w:val="7B4231CA"/>
    <w:rsid w:val="7B445194"/>
    <w:rsid w:val="7B474C85"/>
    <w:rsid w:val="7B4A538E"/>
    <w:rsid w:val="7B4F58E7"/>
    <w:rsid w:val="7B532602"/>
    <w:rsid w:val="7B564D14"/>
    <w:rsid w:val="7B580C40"/>
    <w:rsid w:val="7B6018A2"/>
    <w:rsid w:val="7B6043A2"/>
    <w:rsid w:val="7B6100D8"/>
    <w:rsid w:val="7B6E62BE"/>
    <w:rsid w:val="7B706F24"/>
    <w:rsid w:val="7B707D38"/>
    <w:rsid w:val="7B737828"/>
    <w:rsid w:val="7B7B69A5"/>
    <w:rsid w:val="7B812AAC"/>
    <w:rsid w:val="7B8E01BE"/>
    <w:rsid w:val="7B954FD0"/>
    <w:rsid w:val="7B963516"/>
    <w:rsid w:val="7B964B46"/>
    <w:rsid w:val="7B9A3006"/>
    <w:rsid w:val="7BA22FE1"/>
    <w:rsid w:val="7BA56056"/>
    <w:rsid w:val="7BA94FF8"/>
    <w:rsid w:val="7BAB5214"/>
    <w:rsid w:val="7BAB5894"/>
    <w:rsid w:val="7BAD4D49"/>
    <w:rsid w:val="7BAE0860"/>
    <w:rsid w:val="7BAE260E"/>
    <w:rsid w:val="7BB8056A"/>
    <w:rsid w:val="7BBC11CF"/>
    <w:rsid w:val="7BCA0DB9"/>
    <w:rsid w:val="7BCF062D"/>
    <w:rsid w:val="7BD06A28"/>
    <w:rsid w:val="7BD52536"/>
    <w:rsid w:val="7BD76009"/>
    <w:rsid w:val="7BDA1655"/>
    <w:rsid w:val="7BDE7397"/>
    <w:rsid w:val="7BE6624C"/>
    <w:rsid w:val="7BEA6B6F"/>
    <w:rsid w:val="7BEE3352"/>
    <w:rsid w:val="7BF02C26"/>
    <w:rsid w:val="7BF02FF3"/>
    <w:rsid w:val="7BF44914"/>
    <w:rsid w:val="7BF46B07"/>
    <w:rsid w:val="7BFC259A"/>
    <w:rsid w:val="7C006C7B"/>
    <w:rsid w:val="7C0B2A10"/>
    <w:rsid w:val="7C105E35"/>
    <w:rsid w:val="7C12621A"/>
    <w:rsid w:val="7C142DB9"/>
    <w:rsid w:val="7C183F2B"/>
    <w:rsid w:val="7C187D95"/>
    <w:rsid w:val="7C1903CF"/>
    <w:rsid w:val="7C235C68"/>
    <w:rsid w:val="7C26489A"/>
    <w:rsid w:val="7C280612"/>
    <w:rsid w:val="7C2B1EB0"/>
    <w:rsid w:val="7C320D6F"/>
    <w:rsid w:val="7C345209"/>
    <w:rsid w:val="7C364B59"/>
    <w:rsid w:val="7C4B220F"/>
    <w:rsid w:val="7C4F2043"/>
    <w:rsid w:val="7C53119C"/>
    <w:rsid w:val="7C551B8B"/>
    <w:rsid w:val="7C556308"/>
    <w:rsid w:val="7C56760C"/>
    <w:rsid w:val="7C5B3A94"/>
    <w:rsid w:val="7C617B9C"/>
    <w:rsid w:val="7C62393D"/>
    <w:rsid w:val="7C6C157C"/>
    <w:rsid w:val="7C7061BC"/>
    <w:rsid w:val="7C7575D0"/>
    <w:rsid w:val="7C7620C0"/>
    <w:rsid w:val="7C776EA4"/>
    <w:rsid w:val="7C777B41"/>
    <w:rsid w:val="7C7A4BE6"/>
    <w:rsid w:val="7C7A6994"/>
    <w:rsid w:val="7C7B1276"/>
    <w:rsid w:val="7C7C2599"/>
    <w:rsid w:val="7C7D2757"/>
    <w:rsid w:val="7C7E74CC"/>
    <w:rsid w:val="7C8D41FF"/>
    <w:rsid w:val="7CA126BE"/>
    <w:rsid w:val="7CA54619"/>
    <w:rsid w:val="7CA560E7"/>
    <w:rsid w:val="7CAA1027"/>
    <w:rsid w:val="7CAC0188"/>
    <w:rsid w:val="7CAF2AE1"/>
    <w:rsid w:val="7CB04D76"/>
    <w:rsid w:val="7CB43C54"/>
    <w:rsid w:val="7CB63E70"/>
    <w:rsid w:val="7CB7235A"/>
    <w:rsid w:val="7CB7529B"/>
    <w:rsid w:val="7CBB3234"/>
    <w:rsid w:val="7CBB76D8"/>
    <w:rsid w:val="7CC3033B"/>
    <w:rsid w:val="7CC7607D"/>
    <w:rsid w:val="7CCA3D48"/>
    <w:rsid w:val="7CCD766A"/>
    <w:rsid w:val="7CCF6CE0"/>
    <w:rsid w:val="7CD2057E"/>
    <w:rsid w:val="7CDD764F"/>
    <w:rsid w:val="7CED5CC7"/>
    <w:rsid w:val="7CEF2980"/>
    <w:rsid w:val="7CF35ED1"/>
    <w:rsid w:val="7CF50F65"/>
    <w:rsid w:val="7CF60376"/>
    <w:rsid w:val="7CF624BE"/>
    <w:rsid w:val="7CFB7AD5"/>
    <w:rsid w:val="7D07647A"/>
    <w:rsid w:val="7D1172F8"/>
    <w:rsid w:val="7D130900"/>
    <w:rsid w:val="7D162B61"/>
    <w:rsid w:val="7D252DA4"/>
    <w:rsid w:val="7D272678"/>
    <w:rsid w:val="7D3127F3"/>
    <w:rsid w:val="7D40373A"/>
    <w:rsid w:val="7D412A8D"/>
    <w:rsid w:val="7D423956"/>
    <w:rsid w:val="7D4A45B8"/>
    <w:rsid w:val="7D4B0BA0"/>
    <w:rsid w:val="7D4C01C7"/>
    <w:rsid w:val="7D5F0DD3"/>
    <w:rsid w:val="7D60202E"/>
    <w:rsid w:val="7D653F46"/>
    <w:rsid w:val="7D660EA2"/>
    <w:rsid w:val="7D6A4DA6"/>
    <w:rsid w:val="7D6E6725"/>
    <w:rsid w:val="7D6E7151"/>
    <w:rsid w:val="7D722672"/>
    <w:rsid w:val="7D761851"/>
    <w:rsid w:val="7D79528C"/>
    <w:rsid w:val="7D7C43B4"/>
    <w:rsid w:val="7D80622C"/>
    <w:rsid w:val="7D87580C"/>
    <w:rsid w:val="7D876E00"/>
    <w:rsid w:val="7D8775BA"/>
    <w:rsid w:val="7DA26D09"/>
    <w:rsid w:val="7DA61DA6"/>
    <w:rsid w:val="7DA86492"/>
    <w:rsid w:val="7DA95783"/>
    <w:rsid w:val="7DBB1900"/>
    <w:rsid w:val="7DD035F6"/>
    <w:rsid w:val="7DD23E50"/>
    <w:rsid w:val="7DD56578"/>
    <w:rsid w:val="7DD86068"/>
    <w:rsid w:val="7DDF2F52"/>
    <w:rsid w:val="7DDF73F6"/>
    <w:rsid w:val="7DE07113"/>
    <w:rsid w:val="7DE70059"/>
    <w:rsid w:val="7DED7842"/>
    <w:rsid w:val="7DF228B1"/>
    <w:rsid w:val="7DF86670"/>
    <w:rsid w:val="7DFC3B04"/>
    <w:rsid w:val="7DFD0C42"/>
    <w:rsid w:val="7E057468"/>
    <w:rsid w:val="7E097B4D"/>
    <w:rsid w:val="7E156974"/>
    <w:rsid w:val="7E1618E7"/>
    <w:rsid w:val="7E163D6A"/>
    <w:rsid w:val="7E1A21DD"/>
    <w:rsid w:val="7E1D4733"/>
    <w:rsid w:val="7E235535"/>
    <w:rsid w:val="7E324779"/>
    <w:rsid w:val="7E3F1C43"/>
    <w:rsid w:val="7E486D4A"/>
    <w:rsid w:val="7E494870"/>
    <w:rsid w:val="7E4A6EB8"/>
    <w:rsid w:val="7E4B2F3F"/>
    <w:rsid w:val="7E5F22E5"/>
    <w:rsid w:val="7E6D6395"/>
    <w:rsid w:val="7E6E2528"/>
    <w:rsid w:val="7E7044F2"/>
    <w:rsid w:val="7E73277D"/>
    <w:rsid w:val="7E7933A7"/>
    <w:rsid w:val="7E7E5CF5"/>
    <w:rsid w:val="7E8678A1"/>
    <w:rsid w:val="7E891559"/>
    <w:rsid w:val="7E8B69A7"/>
    <w:rsid w:val="7E8C7C19"/>
    <w:rsid w:val="7E8F4979"/>
    <w:rsid w:val="7E93243A"/>
    <w:rsid w:val="7E96665D"/>
    <w:rsid w:val="7E98303F"/>
    <w:rsid w:val="7E9A611D"/>
    <w:rsid w:val="7EA432E2"/>
    <w:rsid w:val="7EA7229D"/>
    <w:rsid w:val="7EAA17B2"/>
    <w:rsid w:val="7EAD4DFF"/>
    <w:rsid w:val="7EB63E83"/>
    <w:rsid w:val="7EB663A9"/>
    <w:rsid w:val="7EB93860"/>
    <w:rsid w:val="7EBE0DBA"/>
    <w:rsid w:val="7EC23104"/>
    <w:rsid w:val="7EC32874"/>
    <w:rsid w:val="7EC654BD"/>
    <w:rsid w:val="7ECD36F3"/>
    <w:rsid w:val="7ECE2ED6"/>
    <w:rsid w:val="7ED00AED"/>
    <w:rsid w:val="7ED26AAB"/>
    <w:rsid w:val="7ED607F9"/>
    <w:rsid w:val="7ED93E49"/>
    <w:rsid w:val="7EDC56E4"/>
    <w:rsid w:val="7EDE320A"/>
    <w:rsid w:val="7EE91B44"/>
    <w:rsid w:val="7EEA1BAF"/>
    <w:rsid w:val="7EEB3B79"/>
    <w:rsid w:val="7EED0ED0"/>
    <w:rsid w:val="7EF21FA7"/>
    <w:rsid w:val="7EF359E5"/>
    <w:rsid w:val="7EF47ED5"/>
    <w:rsid w:val="7EFD4A34"/>
    <w:rsid w:val="7EFF7C24"/>
    <w:rsid w:val="7F005753"/>
    <w:rsid w:val="7F01339C"/>
    <w:rsid w:val="7F01563E"/>
    <w:rsid w:val="7F042DDA"/>
    <w:rsid w:val="7F044422"/>
    <w:rsid w:val="7F062761"/>
    <w:rsid w:val="7F0653CC"/>
    <w:rsid w:val="7F0710F4"/>
    <w:rsid w:val="7F0725F2"/>
    <w:rsid w:val="7F0C2905"/>
    <w:rsid w:val="7F10538E"/>
    <w:rsid w:val="7F1629A4"/>
    <w:rsid w:val="7F1A2313"/>
    <w:rsid w:val="7F1C7AAC"/>
    <w:rsid w:val="7F1F679B"/>
    <w:rsid w:val="7F222FA3"/>
    <w:rsid w:val="7F2328F0"/>
    <w:rsid w:val="7F250E39"/>
    <w:rsid w:val="7F3217A8"/>
    <w:rsid w:val="7F351DDF"/>
    <w:rsid w:val="7F4514DB"/>
    <w:rsid w:val="7F475253"/>
    <w:rsid w:val="7F5177DF"/>
    <w:rsid w:val="7F546B4E"/>
    <w:rsid w:val="7F5C05D3"/>
    <w:rsid w:val="7F6A0F42"/>
    <w:rsid w:val="7F6A6684"/>
    <w:rsid w:val="7F6C5275"/>
    <w:rsid w:val="7F6E0A32"/>
    <w:rsid w:val="7F6F8A06"/>
    <w:rsid w:val="7F7141D8"/>
    <w:rsid w:val="7F73558C"/>
    <w:rsid w:val="7F741DC0"/>
    <w:rsid w:val="7F754B5F"/>
    <w:rsid w:val="7F7B3C85"/>
    <w:rsid w:val="7F7F1F73"/>
    <w:rsid w:val="7F89761A"/>
    <w:rsid w:val="7F9633BB"/>
    <w:rsid w:val="7F9D2D43"/>
    <w:rsid w:val="7FA31D45"/>
    <w:rsid w:val="7FA3580A"/>
    <w:rsid w:val="7FA53D28"/>
    <w:rsid w:val="7FA73F44"/>
    <w:rsid w:val="7FA91A6A"/>
    <w:rsid w:val="7FAF97CE"/>
    <w:rsid w:val="7FB008CD"/>
    <w:rsid w:val="7FB1527D"/>
    <w:rsid w:val="7FBB10AD"/>
    <w:rsid w:val="7FBD72C3"/>
    <w:rsid w:val="7FBF303C"/>
    <w:rsid w:val="7FC86FB4"/>
    <w:rsid w:val="7FCA0F3A"/>
    <w:rsid w:val="7FCB5E84"/>
    <w:rsid w:val="7FCF3967"/>
    <w:rsid w:val="7FCF6FF7"/>
    <w:rsid w:val="7FD44FC5"/>
    <w:rsid w:val="7FD64829"/>
    <w:rsid w:val="7FD85EAB"/>
    <w:rsid w:val="7FD91C23"/>
    <w:rsid w:val="7FDD36D6"/>
    <w:rsid w:val="7FE15335"/>
    <w:rsid w:val="7FEB017C"/>
    <w:rsid w:val="7FEB745D"/>
    <w:rsid w:val="7FF24470"/>
    <w:rsid w:val="7FF4555E"/>
    <w:rsid w:val="7FF54CAF"/>
    <w:rsid w:val="7FF81D01"/>
    <w:rsid w:val="7FFA22C6"/>
    <w:rsid w:val="95F93CBF"/>
    <w:rsid w:val="BFBF674D"/>
    <w:rsid w:val="DAEEF7E0"/>
    <w:rsid w:val="E3AFF5E5"/>
    <w:rsid w:val="FB3F7B93"/>
    <w:rsid w:val="FBFF463F"/>
    <w:rsid w:val="FF7B5C9A"/>
    <w:rsid w:val="FFDFE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autoSpaceDN/>
      <w:adjustRightInd w:val="0"/>
      <w:snapToGrid w:val="0"/>
      <w:spacing w:line="560" w:lineRule="exact"/>
      <w:ind w:firstLine="880" w:firstLineChars="200"/>
      <w:jc w:val="both"/>
      <w:textAlignment w:val="baseline"/>
    </w:pPr>
    <w:rPr>
      <w:rFonts w:ascii="Times New Roman" w:hAnsi="Times New Roman" w:eastAsia="仿宋_GB2312" w:cs="Times New Roman"/>
      <w:snapToGrid w:val="0"/>
      <w:color w:val="000000"/>
      <w:kern w:val="0"/>
      <w:sz w:val="32"/>
      <w:szCs w:val="32"/>
      <w:lang w:val="en-US" w:eastAsia="en-US" w:bidi="ar-SA"/>
    </w:rPr>
  </w:style>
  <w:style w:type="paragraph" w:styleId="2">
    <w:name w:val="heading 1"/>
    <w:basedOn w:val="1"/>
    <w:next w:val="1"/>
    <w:autoRedefine/>
    <w:qFormat/>
    <w:uiPriority w:val="0"/>
    <w:pPr>
      <w:keepNext/>
      <w:keepLines/>
      <w:pageBreakBefore/>
      <w:spacing w:before="2300" w:beforeLines="2300" w:beforeAutospacing="0" w:after="50" w:afterLines="50" w:afterAutospacing="0" w:line="360" w:lineRule="auto"/>
      <w:ind w:firstLine="0" w:firstLineChars="0"/>
      <w:jc w:val="center"/>
      <w:outlineLvl w:val="0"/>
    </w:pPr>
    <w:rPr>
      <w:rFonts w:ascii="Times New Roman" w:hAnsi="Times New Roman" w:eastAsia="黑体"/>
      <w:b/>
      <w:kern w:val="44"/>
      <w:sz w:val="36"/>
    </w:rPr>
  </w:style>
  <w:style w:type="paragraph" w:styleId="3">
    <w:name w:val="heading 2"/>
    <w:basedOn w:val="1"/>
    <w:next w:val="1"/>
    <w:link w:val="36"/>
    <w:autoRedefine/>
    <w:unhideWhenUsed/>
    <w:qFormat/>
    <w:uiPriority w:val="0"/>
    <w:pPr>
      <w:keepNext w:val="0"/>
      <w:keepLines w:val="0"/>
      <w:pageBreakBefore w:val="0"/>
      <w:widowControl w:val="0"/>
      <w:autoSpaceDE/>
      <w:autoSpaceDN/>
      <w:spacing w:before="50" w:beforeLines="50" w:beforeAutospacing="0" w:after="50" w:afterLines="50" w:afterAutospacing="0" w:line="660" w:lineRule="exact"/>
      <w:ind w:firstLine="0" w:firstLineChars="0"/>
      <w:jc w:val="center"/>
      <w:outlineLvl w:val="1"/>
    </w:pPr>
    <w:rPr>
      <w:rFonts w:eastAsia="黑体"/>
      <w:sz w:val="36"/>
    </w:rPr>
  </w:style>
  <w:style w:type="paragraph" w:styleId="4">
    <w:name w:val="heading 3"/>
    <w:basedOn w:val="1"/>
    <w:next w:val="1"/>
    <w:link w:val="35"/>
    <w:autoRedefine/>
    <w:unhideWhenUsed/>
    <w:qFormat/>
    <w:uiPriority w:val="0"/>
    <w:pPr>
      <w:keepNext/>
      <w:autoSpaceDE/>
      <w:autoSpaceDN/>
      <w:spacing w:before="100" w:beforeLines="100" w:beforeAutospacing="0" w:afterAutospacing="0"/>
      <w:ind w:firstLine="0" w:firstLineChars="0"/>
      <w:jc w:val="center"/>
      <w:outlineLvl w:val="2"/>
    </w:pPr>
    <w:rPr>
      <w:rFonts w:hint="eastAsia" w:eastAsia="楷体_GB2312"/>
      <w:bCs/>
      <w:szCs w:val="27"/>
      <w:lang w:eastAsia="zh-CN" w:bidi="ar"/>
    </w:rPr>
  </w:style>
  <w:style w:type="paragraph" w:styleId="5">
    <w:name w:val="heading 4"/>
    <w:basedOn w:val="1"/>
    <w:next w:val="1"/>
    <w:link w:val="34"/>
    <w:autoRedefine/>
    <w:unhideWhenUsed/>
    <w:qFormat/>
    <w:uiPriority w:val="0"/>
    <w:pPr>
      <w:spacing w:before="0" w:beforeAutospacing="0" w:after="0" w:afterAutospacing="0"/>
      <w:jc w:val="left"/>
      <w:outlineLvl w:val="3"/>
    </w:pPr>
    <w:rPr>
      <w:rFonts w:hint="eastAsia" w:ascii="Times New Roman" w:hAnsi="Times New Roman" w:cs="Times New Roman"/>
      <w:b/>
      <w:bCs/>
      <w:sz w:val="30"/>
      <w:szCs w:val="30"/>
      <w:lang w:eastAsia="zh-CN" w:bidi="ar"/>
    </w:rPr>
  </w:style>
  <w:style w:type="paragraph" w:styleId="6">
    <w:name w:val="heading 5"/>
    <w:basedOn w:val="1"/>
    <w:next w:val="1"/>
    <w:autoRedefine/>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8">
    <w:name w:val="Default Paragraph Font"/>
    <w:autoRedefine/>
    <w:semiHidden/>
    <w:qFormat/>
    <w:uiPriority w:val="0"/>
  </w:style>
  <w:style w:type="table" w:default="1" w:styleId="26">
    <w:name w:val="Normal Table"/>
    <w:autoRedefine/>
    <w:semiHidden/>
    <w:qFormat/>
    <w:uiPriority w:val="0"/>
    <w:tblPr>
      <w:tblCellMar>
        <w:top w:w="0" w:type="dxa"/>
        <w:left w:w="108" w:type="dxa"/>
        <w:bottom w:w="0" w:type="dxa"/>
        <w:right w:w="108" w:type="dxa"/>
      </w:tblCellMar>
    </w:tblPr>
  </w:style>
  <w:style w:type="paragraph" w:styleId="7">
    <w:name w:val="table of authorities"/>
    <w:basedOn w:val="1"/>
    <w:next w:val="1"/>
    <w:autoRedefine/>
    <w:qFormat/>
    <w:uiPriority w:val="0"/>
    <w:pPr>
      <w:ind w:left="420" w:leftChars="200"/>
    </w:pPr>
    <w:rPr>
      <w:sz w:val="30"/>
      <w:szCs w:val="24"/>
    </w:rPr>
  </w:style>
  <w:style w:type="paragraph" w:styleId="8">
    <w:name w:val="Normal Indent"/>
    <w:basedOn w:val="1"/>
    <w:qFormat/>
    <w:uiPriority w:val="0"/>
    <w:pPr>
      <w:ind w:firstLine="420" w:firstLineChars="200"/>
    </w:pPr>
  </w:style>
  <w:style w:type="paragraph" w:styleId="9">
    <w:name w:val="annotation text"/>
    <w:basedOn w:val="1"/>
    <w:qFormat/>
    <w:uiPriority w:val="0"/>
    <w:pPr>
      <w:jc w:val="left"/>
    </w:pPr>
  </w:style>
  <w:style w:type="paragraph" w:styleId="10">
    <w:name w:val="Body Text"/>
    <w:basedOn w:val="1"/>
    <w:autoRedefine/>
    <w:qFormat/>
    <w:uiPriority w:val="0"/>
    <w:rPr>
      <w:rFonts w:ascii="Arial" w:hAnsi="Arial" w:eastAsia="Arial" w:cs="Arial"/>
      <w:sz w:val="21"/>
      <w:szCs w:val="21"/>
      <w:lang w:val="en-US" w:eastAsia="en-US" w:bidi="ar-SA"/>
    </w:rPr>
  </w:style>
  <w:style w:type="paragraph" w:styleId="11">
    <w:name w:val="Body Text Indent"/>
    <w:basedOn w:val="1"/>
    <w:next w:val="12"/>
    <w:unhideWhenUsed/>
    <w:qFormat/>
    <w:uiPriority w:val="0"/>
    <w:pPr>
      <w:spacing w:line="620" w:lineRule="exact"/>
      <w:ind w:firstLine="640"/>
    </w:pPr>
  </w:style>
  <w:style w:type="paragraph" w:styleId="12">
    <w:name w:val="Body Text First Indent 2"/>
    <w:basedOn w:val="11"/>
    <w:next w:val="1"/>
    <w:unhideWhenUsed/>
    <w:qFormat/>
    <w:uiPriority w:val="0"/>
    <w:pPr>
      <w:ind w:firstLine="420"/>
    </w:pPr>
    <w:rPr>
      <w:rFonts w:eastAsia="宋体"/>
    </w:rPr>
  </w:style>
  <w:style w:type="paragraph" w:styleId="13">
    <w:name w:val="toc 5"/>
    <w:basedOn w:val="1"/>
    <w:next w:val="1"/>
    <w:qFormat/>
    <w:uiPriority w:val="0"/>
    <w:pPr>
      <w:ind w:left="1680"/>
    </w:pPr>
  </w:style>
  <w:style w:type="paragraph" w:styleId="14">
    <w:name w:val="toc 3"/>
    <w:basedOn w:val="1"/>
    <w:next w:val="1"/>
    <w:qFormat/>
    <w:uiPriority w:val="0"/>
    <w:pPr>
      <w:spacing w:line="336" w:lineRule="auto"/>
      <w:ind w:left="600" w:leftChars="200" w:firstLine="0" w:firstLineChars="0"/>
    </w:pPr>
    <w:rPr>
      <w:rFonts w:ascii="Times New Roman" w:hAnsi="Times New Roman" w:eastAsia="楷体_GB2312"/>
    </w:rPr>
  </w:style>
  <w:style w:type="paragraph" w:styleId="15">
    <w:name w:val="Plain Text"/>
    <w:basedOn w:val="1"/>
    <w:autoRedefine/>
    <w:qFormat/>
    <w:uiPriority w:val="0"/>
    <w:rPr>
      <w:rFonts w:ascii="宋体" w:cs="金山简魏碑"/>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0"/>
    <w:pPr>
      <w:spacing w:line="336" w:lineRule="auto"/>
      <w:ind w:firstLine="0" w:firstLineChars="0"/>
    </w:pPr>
    <w:rPr>
      <w:rFonts w:ascii="Times New Roman" w:hAnsi="Times New Roman" w:eastAsia="黑体"/>
      <w:b/>
    </w:rPr>
  </w:style>
  <w:style w:type="paragraph" w:styleId="19">
    <w:name w:val="toc 4"/>
    <w:basedOn w:val="1"/>
    <w:next w:val="1"/>
    <w:qFormat/>
    <w:uiPriority w:val="0"/>
    <w:pPr>
      <w:ind w:left="900" w:leftChars="300"/>
    </w:pPr>
    <w:rPr>
      <w:rFonts w:ascii="Times New Roman" w:hAnsi="Times New Roman"/>
    </w:rPr>
  </w:style>
  <w:style w:type="paragraph" w:styleId="20">
    <w:name w:val="footnote text"/>
    <w:basedOn w:val="1"/>
    <w:unhideWhenUsed/>
    <w:qFormat/>
    <w:uiPriority w:val="0"/>
    <w:pPr>
      <w:jc w:val="left"/>
    </w:pPr>
    <w:rPr>
      <w:sz w:val="18"/>
      <w:szCs w:val="18"/>
    </w:rPr>
  </w:style>
  <w:style w:type="paragraph" w:styleId="21">
    <w:name w:val="toc 2"/>
    <w:basedOn w:val="1"/>
    <w:next w:val="1"/>
    <w:autoRedefine/>
    <w:qFormat/>
    <w:uiPriority w:val="0"/>
    <w:pPr>
      <w:spacing w:line="324" w:lineRule="auto"/>
      <w:ind w:left="0" w:leftChars="0" w:firstLine="0" w:firstLineChars="0"/>
    </w:pPr>
    <w:rPr>
      <w:rFonts w:ascii="Times New Roman" w:hAnsi="Times New Roman" w:eastAsia="黑体"/>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24">
    <w:name w:val="Title"/>
    <w:next w:val="1"/>
    <w:autoRedefine/>
    <w:qFormat/>
    <w:uiPriority w:val="0"/>
    <w:pPr>
      <w:widowControl w:val="0"/>
      <w:spacing w:before="240" w:beforeLines="0" w:after="60" w:afterLines="0" w:line="420" w:lineRule="exact"/>
      <w:ind w:firstLine="880" w:firstLineChars="200"/>
      <w:jc w:val="center"/>
      <w:outlineLvl w:val="0"/>
    </w:pPr>
    <w:rPr>
      <w:rFonts w:ascii="Cambria" w:hAnsi="Cambria" w:eastAsia="黑体" w:cs="Times New Roman"/>
      <w:bCs/>
      <w:kern w:val="2"/>
      <w:sz w:val="24"/>
      <w:szCs w:val="32"/>
      <w:lang w:val="en-US" w:eastAsia="zh-CN" w:bidi="ar-SA"/>
    </w:rPr>
  </w:style>
  <w:style w:type="paragraph" w:styleId="25">
    <w:name w:val="Body Text First Indent"/>
    <w:basedOn w:val="1"/>
    <w:qFormat/>
    <w:uiPriority w:val="0"/>
    <w:pPr>
      <w:ind w:firstLine="632" w:firstLineChars="200"/>
    </w:pPr>
  </w:style>
  <w:style w:type="table" w:styleId="27">
    <w:name w:val="Table Grid"/>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Emphasis"/>
    <w:basedOn w:val="28"/>
    <w:qFormat/>
    <w:uiPriority w:val="0"/>
    <w:rPr>
      <w:i/>
    </w:rPr>
  </w:style>
  <w:style w:type="character" w:styleId="31">
    <w:name w:val="Hyperlink"/>
    <w:basedOn w:val="28"/>
    <w:unhideWhenUsed/>
    <w:qFormat/>
    <w:uiPriority w:val="99"/>
    <w:rPr>
      <w:color w:val="0026E5" w:themeColor="hyperlink"/>
      <w:u w:val="single"/>
      <w14:textFill>
        <w14:solidFill>
          <w14:schemeClr w14:val="hlink"/>
        </w14:solidFill>
      </w14:textFill>
    </w:rPr>
  </w:style>
  <w:style w:type="character" w:styleId="32">
    <w:name w:val="annotation reference"/>
    <w:basedOn w:val="28"/>
    <w:unhideWhenUsed/>
    <w:qFormat/>
    <w:uiPriority w:val="0"/>
    <w:rPr>
      <w:sz w:val="21"/>
      <w:szCs w:val="21"/>
    </w:rPr>
  </w:style>
  <w:style w:type="character" w:styleId="33">
    <w:name w:val="footnote reference"/>
    <w:basedOn w:val="28"/>
    <w:unhideWhenUsed/>
    <w:qFormat/>
    <w:uiPriority w:val="0"/>
    <w:rPr>
      <w:vertAlign w:val="superscript"/>
    </w:rPr>
  </w:style>
  <w:style w:type="character" w:customStyle="1" w:styleId="34">
    <w:name w:val="标题 4 Char"/>
    <w:link w:val="5"/>
    <w:qFormat/>
    <w:uiPriority w:val="0"/>
    <w:rPr>
      <w:rFonts w:hint="eastAsia" w:ascii="Times New Roman" w:hAnsi="Times New Roman" w:cs="Times New Roman"/>
      <w:b/>
      <w:bCs/>
      <w:sz w:val="30"/>
      <w:szCs w:val="30"/>
      <w:lang w:eastAsia="zh-CN" w:bidi="ar"/>
    </w:rPr>
  </w:style>
  <w:style w:type="character" w:customStyle="1" w:styleId="35">
    <w:name w:val="标题 3 Char"/>
    <w:link w:val="4"/>
    <w:qFormat/>
    <w:uiPriority w:val="0"/>
    <w:rPr>
      <w:rFonts w:hint="eastAsia" w:ascii="Times New Roman" w:hAnsi="Times New Roman" w:eastAsia="楷体_GB2312"/>
      <w:bCs/>
      <w:szCs w:val="27"/>
      <w:lang w:eastAsia="zh-CN" w:bidi="ar"/>
    </w:rPr>
  </w:style>
  <w:style w:type="character" w:customStyle="1" w:styleId="36">
    <w:name w:val="标题 2 Char"/>
    <w:link w:val="3"/>
    <w:qFormat/>
    <w:uiPriority w:val="0"/>
    <w:rPr>
      <w:rFonts w:ascii="Times New Roman" w:hAnsi="Times New Roman" w:eastAsia="黑体"/>
      <w:sz w:val="36"/>
    </w:rPr>
  </w:style>
  <w:style w:type="paragraph" w:customStyle="1" w:styleId="37">
    <w:name w:val="Default"/>
    <w:basedOn w:val="38"/>
    <w:qFormat/>
    <w:uiPriority w:val="0"/>
    <w:pPr>
      <w:widowControl w:val="0"/>
      <w:autoSpaceDE w:val="0"/>
      <w:autoSpaceDN w:val="0"/>
      <w:adjustRightInd w:val="0"/>
    </w:pPr>
    <w:rPr>
      <w:rFonts w:ascii="方正仿宋" w:hAnsi="等线" w:eastAsia="方正仿宋" w:cs="方正仿宋"/>
      <w:color w:val="000000"/>
      <w:sz w:val="24"/>
      <w:szCs w:val="24"/>
      <w:lang w:val="en-US" w:eastAsia="zh-CN" w:bidi="ar-SA"/>
    </w:rPr>
  </w:style>
  <w:style w:type="paragraph" w:customStyle="1" w:styleId="38">
    <w:name w:val="纯文本1"/>
    <w:qFormat/>
    <w:uiPriority w:val="0"/>
    <w:pPr>
      <w:widowControl w:val="0"/>
      <w:jc w:val="both"/>
    </w:pPr>
    <w:rPr>
      <w:rFonts w:ascii="宋体" w:hAnsi="Courier New" w:eastAsia="仿宋_GB2312" w:cs="黑体"/>
      <w:kern w:val="2"/>
      <w:sz w:val="32"/>
      <w:szCs w:val="24"/>
      <w:lang w:val="en-US" w:eastAsia="zh-CN" w:bidi="ar-SA"/>
    </w:rPr>
  </w:style>
  <w:style w:type="paragraph" w:customStyle="1" w:styleId="39">
    <w:name w:val="Body Text First Indent 21"/>
    <w:basedOn w:val="40"/>
    <w:qFormat/>
    <w:uiPriority w:val="0"/>
    <w:pPr>
      <w:spacing w:line="360" w:lineRule="auto"/>
      <w:ind w:firstLine="420" w:firstLineChars="200"/>
      <w:textAlignment w:val="baseline"/>
    </w:pPr>
    <w:rPr>
      <w:rFonts w:ascii="Times New Roman" w:hAnsi="Times New Roman" w:eastAsia="宋体" w:cs="Times New Roman"/>
      <w:kern w:val="0"/>
      <w:sz w:val="24"/>
      <w:szCs w:val="24"/>
    </w:rPr>
  </w:style>
  <w:style w:type="paragraph" w:customStyle="1" w:styleId="40">
    <w:name w:val="Normal Indent1"/>
    <w:basedOn w:val="1"/>
    <w:qFormat/>
    <w:uiPriority w:val="0"/>
    <w:pPr>
      <w:ind w:firstLine="200"/>
    </w:pPr>
    <w:rPr>
      <w:sz w:val="24"/>
    </w:rPr>
  </w:style>
  <w:style w:type="paragraph" w:customStyle="1" w:styleId="41">
    <w:name w:val="Body Text Indent1"/>
    <w:basedOn w:val="1"/>
    <w:autoRedefine/>
    <w:qFormat/>
    <w:uiPriority w:val="0"/>
    <w:pPr>
      <w:spacing w:line="150" w:lineRule="atLeast"/>
      <w:ind w:firstLine="420" w:firstLineChars="200"/>
      <w:textAlignment w:val="baseline"/>
    </w:pPr>
  </w:style>
  <w:style w:type="table" w:customStyle="1" w:styleId="42">
    <w:name w:val="Table Normal"/>
    <w:semiHidden/>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rPr>
      <w:rFonts w:ascii="Times New Roman" w:hAnsi="Times New Roman" w:eastAsia="Times New Roman" w:cs="Times New Roman"/>
      <w:sz w:val="24"/>
      <w:szCs w:val="24"/>
      <w:lang w:val="en-US" w:eastAsia="en-US" w:bidi="ar-SA"/>
    </w:rPr>
  </w:style>
  <w:style w:type="paragraph" w:customStyle="1" w:styleId="44">
    <w:name w:val="样式1"/>
    <w:next w:val="10"/>
    <w:qFormat/>
    <w:uiPriority w:val="0"/>
    <w:pPr>
      <w:widowControl w:val="0"/>
      <w:spacing w:line="400" w:lineRule="exact"/>
      <w:ind w:firstLine="0" w:firstLineChars="0"/>
      <w:jc w:val="left"/>
    </w:pPr>
    <w:rPr>
      <w:rFonts w:hint="eastAsia" w:ascii="Times New Roman" w:hAnsi="Times New Roman" w:eastAsia="宋体" w:cs="Times New Roman"/>
      <w:kern w:val="2"/>
      <w:sz w:val="21"/>
      <w:szCs w:val="24"/>
      <w:lang w:val="en-US" w:eastAsia="zh-CN" w:bidi="ar-SA"/>
    </w:rPr>
  </w:style>
  <w:style w:type="paragraph" w:customStyle="1" w:styleId="45">
    <w:name w:val="WPSOffice手动目录 1"/>
    <w:qFormat/>
    <w:uiPriority w:val="0"/>
    <w:pPr>
      <w:spacing w:line="360" w:lineRule="auto"/>
      <w:ind w:leftChars="0"/>
    </w:pPr>
    <w:rPr>
      <w:rFonts w:ascii="Times New Roman" w:hAnsi="Times New Roman" w:eastAsia="黑体" w:cs="Times New Roman"/>
      <w:sz w:val="28"/>
      <w:szCs w:val="20"/>
    </w:rPr>
  </w:style>
  <w:style w:type="paragraph" w:customStyle="1" w:styleId="46">
    <w:name w:val="WPSOffice手动目录 2"/>
    <w:qFormat/>
    <w:uiPriority w:val="0"/>
    <w:pPr>
      <w:spacing w:line="360" w:lineRule="auto"/>
      <w:ind w:leftChars="200"/>
    </w:pPr>
    <w:rPr>
      <w:rFonts w:ascii="Times New Roman" w:hAnsi="Times New Roman" w:eastAsia="楷体" w:cs="Times New Roman"/>
      <w:sz w:val="28"/>
      <w:szCs w:val="20"/>
    </w:rPr>
  </w:style>
  <w:style w:type="paragraph" w:customStyle="1" w:styleId="47">
    <w:name w:val="WPSOffice手动目录 3"/>
    <w:qFormat/>
    <w:uiPriority w:val="0"/>
    <w:pPr>
      <w:spacing w:line="360" w:lineRule="auto"/>
      <w:ind w:leftChars="400"/>
    </w:pPr>
    <w:rPr>
      <w:rFonts w:ascii="Times New Roman" w:hAnsi="Times New Roman" w:eastAsia="仿宋" w:cs="Times New Roman"/>
      <w:sz w:val="28"/>
      <w:szCs w:val="20"/>
    </w:rPr>
  </w:style>
  <w:style w:type="paragraph" w:customStyle="1" w:styleId="48">
    <w:name w:val="表格内容"/>
    <w:basedOn w:val="10"/>
    <w:next w:val="1"/>
    <w:qFormat/>
    <w:uiPriority w:val="0"/>
    <w:pPr>
      <w:spacing w:line="500" w:lineRule="exact"/>
      <w:ind w:left="0" w:leftChars="0"/>
      <w:jc w:val="center"/>
    </w:pPr>
    <w:rPr>
      <w:rFonts w:ascii="Times New Roman" w:hAnsi="Times New Roman" w:eastAsia="仿宋" w:cs="Times New Roman"/>
      <w:sz w:val="21"/>
      <w:szCs w:val="20"/>
    </w:rPr>
  </w:style>
  <w:style w:type="paragraph" w:customStyle="1" w:styleId="49">
    <w:name w:val="正文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50">
    <w:name w:val="font161"/>
    <w:basedOn w:val="28"/>
    <w:qFormat/>
    <w:uiPriority w:val="0"/>
    <w:rPr>
      <w:rFonts w:hint="default" w:ascii="Times New Roman" w:hAnsi="Times New Roman" w:cs="Times New Roman"/>
      <w:b/>
      <w:bCs/>
      <w:color w:val="000000"/>
      <w:sz w:val="28"/>
      <w:szCs w:val="28"/>
      <w:u w:val="none"/>
    </w:rPr>
  </w:style>
  <w:style w:type="character" w:customStyle="1" w:styleId="51">
    <w:name w:val="font41"/>
    <w:basedOn w:val="28"/>
    <w:qFormat/>
    <w:uiPriority w:val="0"/>
    <w:rPr>
      <w:rFonts w:hint="eastAsia" w:ascii="宋体" w:hAnsi="宋体" w:eastAsia="宋体" w:cs="宋体"/>
      <w:b/>
      <w:bCs/>
      <w:color w:val="000000"/>
      <w:sz w:val="28"/>
      <w:szCs w:val="28"/>
      <w:u w:val="none"/>
    </w:rPr>
  </w:style>
  <w:style w:type="character" w:customStyle="1" w:styleId="52">
    <w:name w:val="font81"/>
    <w:basedOn w:val="28"/>
    <w:qFormat/>
    <w:uiPriority w:val="0"/>
    <w:rPr>
      <w:rFonts w:hint="eastAsia" w:ascii="仿宋_GB2312" w:eastAsia="仿宋_GB2312" w:cs="仿宋_GB2312"/>
      <w:color w:val="000000"/>
      <w:sz w:val="32"/>
      <w:szCs w:val="32"/>
      <w:u w:val="none"/>
    </w:rPr>
  </w:style>
  <w:style w:type="character" w:customStyle="1" w:styleId="53">
    <w:name w:val="font122"/>
    <w:basedOn w:val="28"/>
    <w:qFormat/>
    <w:uiPriority w:val="0"/>
    <w:rPr>
      <w:rFonts w:hint="eastAsia" w:ascii="宋体" w:hAnsi="宋体" w:eastAsia="宋体" w:cs="宋体"/>
      <w:color w:val="000000"/>
      <w:sz w:val="32"/>
      <w:szCs w:val="32"/>
      <w:u w:val="none"/>
    </w:rPr>
  </w:style>
  <w:style w:type="character" w:customStyle="1" w:styleId="54">
    <w:name w:val="font261"/>
    <w:basedOn w:val="28"/>
    <w:qFormat/>
    <w:uiPriority w:val="0"/>
    <w:rPr>
      <w:rFonts w:hint="default" w:ascii="Times New Roman" w:hAnsi="Times New Roman" w:cs="Times New Roman"/>
      <w:color w:val="000000"/>
      <w:sz w:val="32"/>
      <w:szCs w:val="32"/>
      <w:u w:val="none"/>
    </w:rPr>
  </w:style>
  <w:style w:type="character" w:customStyle="1" w:styleId="55">
    <w:name w:val="font151"/>
    <w:basedOn w:val="28"/>
    <w:qFormat/>
    <w:uiPriority w:val="0"/>
    <w:rPr>
      <w:rFonts w:ascii="Arial" w:hAnsi="Arial" w:cs="Arial"/>
      <w:color w:val="000000"/>
      <w:sz w:val="32"/>
      <w:szCs w:val="32"/>
      <w:u w:val="none"/>
    </w:rPr>
  </w:style>
  <w:style w:type="paragraph" w:customStyle="1" w:styleId="56">
    <w:name w:val="正文缩进1"/>
    <w:basedOn w:val="57"/>
    <w:qFormat/>
    <w:uiPriority w:val="0"/>
    <w:pPr>
      <w:widowControl/>
      <w:ind w:firstLine="420"/>
      <w:jc w:val="left"/>
    </w:pPr>
    <w:rPr>
      <w:kern w:val="0"/>
      <w:szCs w:val="20"/>
    </w:rPr>
  </w:style>
  <w:style w:type="paragraph" w:customStyle="1" w:styleId="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6"/>
    <w:qFormat/>
    <w:uiPriority w:val="0"/>
    <w:pPr>
      <w:widowControl w:val="0"/>
      <w:jc w:val="both"/>
    </w:pPr>
    <w:rPr>
      <w:rFonts w:ascii="Calibri" w:hAnsi="Calibri" w:eastAsia="宋体" w:cs="Times New Roman"/>
      <w:kern w:val="2"/>
      <w:sz w:val="21"/>
      <w:szCs w:val="24"/>
      <w:lang w:val="en-US" w:eastAsia="zh-CN" w:bidi="ar-SA"/>
    </w:rPr>
  </w:style>
  <w:style w:type="paragraph" w:customStyle="1" w:styleId="58">
    <w:name w:val=" 正文"/>
    <w:qFormat/>
    <w:uiPriority w:val="0"/>
    <w:pPr>
      <w:spacing w:line="555" w:lineRule="atLeast"/>
      <w:ind w:firstLine="623"/>
      <w:jc w:val="both"/>
      <w:textAlignment w:val="baseline"/>
    </w:pPr>
    <w:rPr>
      <w:rFonts w:ascii="Times New Roman" w:hAnsi="Times New Roman" w:eastAsia="仿宋_GB2312" w:cs="Times New Roman"/>
      <w:color w:val="000000"/>
      <w:sz w:val="31"/>
      <w:szCs w:val="22"/>
      <w:lang w:val="en-US" w:eastAsia="zh-CN" w:bidi="ar-SA"/>
    </w:rPr>
  </w:style>
  <w:style w:type="character" w:customStyle="1" w:styleId="59">
    <w:name w:val="font11"/>
    <w:basedOn w:val="28"/>
    <w:qFormat/>
    <w:uiPriority w:val="0"/>
    <w:rPr>
      <w:rFonts w:hint="eastAsia" w:ascii="宋体" w:hAnsi="宋体" w:eastAsia="宋体" w:cs="宋体"/>
      <w:b/>
      <w:bCs/>
      <w:color w:val="000000"/>
      <w:sz w:val="24"/>
      <w:szCs w:val="24"/>
      <w:u w:val="none"/>
    </w:rPr>
  </w:style>
  <w:style w:type="character" w:customStyle="1" w:styleId="60">
    <w:name w:val="font31"/>
    <w:basedOn w:val="28"/>
    <w:qFormat/>
    <w:uiPriority w:val="0"/>
    <w:rPr>
      <w:rFonts w:hint="default" w:ascii="Times New Roman" w:hAnsi="Times New Roman" w:cs="Times New Roman"/>
      <w:b/>
      <w:bCs/>
      <w:color w:val="000000"/>
      <w:sz w:val="24"/>
      <w:szCs w:val="24"/>
      <w:u w:val="none"/>
    </w:rPr>
  </w:style>
  <w:style w:type="paragraph" w:customStyle="1" w:styleId="61">
    <w:name w:val="样式 宋体 小四 行距: 22 磅"/>
    <w:basedOn w:val="1"/>
    <w:qFormat/>
    <w:uiPriority w:val="0"/>
    <w:pPr>
      <w:ind w:firstLine="560"/>
    </w:pPr>
    <w:rPr>
      <w:rFonts w:ascii="宋体" w:hAnsi="宋体" w:eastAsia="宋体" w:cs="Times New Roman"/>
      <w:szCs w:val="24"/>
    </w:rPr>
  </w:style>
  <w:style w:type="paragraph" w:customStyle="1" w:styleId="62">
    <w:name w:val="BodyText1I2"/>
    <w:basedOn w:val="63"/>
    <w:qFormat/>
    <w:uiPriority w:val="0"/>
    <w:pPr>
      <w:ind w:firstLine="420" w:firstLineChars="200"/>
    </w:pPr>
  </w:style>
  <w:style w:type="paragraph" w:customStyle="1" w:styleId="63">
    <w:name w:val="BodyTextIndent"/>
    <w:basedOn w:val="1"/>
    <w:qFormat/>
    <w:uiPriority w:val="0"/>
    <w:pPr>
      <w:ind w:firstLine="800" w:firstLineChars="250"/>
    </w:pPr>
    <w:rPr>
      <w:rFonts w:ascii="仿宋_GB2312" w:hAnsi="仿宋"/>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spacing w:line="600" w:lineRule="exact"/>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chart" Target="charts/chart7.xml"/><Relationship Id="rId23" Type="http://schemas.openxmlformats.org/officeDocument/2006/relationships/chart" Target="charts/chart6.xml"/><Relationship Id="rId22" Type="http://schemas.openxmlformats.org/officeDocument/2006/relationships/chart" Target="charts/chart5.xml"/><Relationship Id="rId21" Type="http://schemas.openxmlformats.org/officeDocument/2006/relationships/chart" Target="charts/chart4.xml"/><Relationship Id="rId20" Type="http://schemas.openxmlformats.org/officeDocument/2006/relationships/chart" Target="charts/chart3.xml"/><Relationship Id="rId2" Type="http://schemas.openxmlformats.org/officeDocument/2006/relationships/settings" Target="settings.xml"/><Relationship Id="rId19" Type="http://schemas.openxmlformats.org/officeDocument/2006/relationships/chart" Target="charts/chart2.xml"/><Relationship Id="rId18" Type="http://schemas.openxmlformats.org/officeDocument/2006/relationships/chart" Target="charts/chart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20013;&#31185;\Desktop\&#27976;&#27743;&#21313;&#20116;&#20116;\2026.1.28%20&#27976;&#27743;&#21306;&#21313;&#20116;&#20116;&#35268;&#21010;&#29992;&#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20013;&#31185;\Desktop\&#27976;&#27743;&#21313;&#20116;&#20116;\2026.1.28%20&#27976;&#27743;&#21306;&#21313;&#20116;&#20116;&#35268;&#21010;&#29992;&#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20013;&#31185;\Desktop\&#27976;&#27743;&#21313;&#20116;&#20116;\2026.1.28%20&#27976;&#27743;&#21306;&#21313;&#20116;&#20116;&#35268;&#21010;&#29992;&#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qiyu\Desktop\2026.1.25%20&#27976;&#27743;&#21306;&#21313;&#20116;&#20116;&#35268;&#21010;&#29992;&#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20013;&#31185;\Desktop\&#27976;&#27743;&#21313;&#20116;&#20116;\2026.1.28%20&#27976;&#27743;&#21306;&#21313;&#20116;&#20116;&#35268;&#21010;&#29992;&#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20013;&#31185;\Desktop\&#27976;&#27743;&#21313;&#20116;&#20116;\2026.1.28%20&#27976;&#27743;&#21306;&#21313;&#20116;&#20116;&#35268;&#21010;&#29992;&#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qiyu\Desktop\2026.1.25%20&#27976;&#27743;&#21306;&#21313;&#20116;&#20116;&#35268;&#21010;&#299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'[2026.1.28 浈江区十五五规划用图.xlsx]GDP'!$A$3</c:f>
              <c:strCache>
                <c:ptCount val="1"/>
                <c:pt idx="0">
                  <c:v>增速（%）</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浈江区十五五规划用图.xlsx]GDP'!$B$1:$G$1</c:f>
              <c:strCache>
                <c:ptCount val="6"/>
                <c:pt idx="0">
                  <c:v>2020年</c:v>
                </c:pt>
                <c:pt idx="1">
                  <c:v>2021年</c:v>
                </c:pt>
                <c:pt idx="2">
                  <c:v>2022年</c:v>
                </c:pt>
                <c:pt idx="3">
                  <c:v>2023年</c:v>
                </c:pt>
                <c:pt idx="4">
                  <c:v>2024年</c:v>
                </c:pt>
                <c:pt idx="5">
                  <c:v>2025年</c:v>
                </c:pt>
              </c:strCache>
            </c:strRef>
          </c:cat>
          <c:val>
            <c:numRef>
              <c:f>'[2026.1.28 浈江区十五五规划用图.xlsx]GDP'!$B$3:$G$3</c:f>
              <c:numCache>
                <c:formatCode>0.00_ </c:formatCode>
                <c:ptCount val="6"/>
                <c:pt idx="0">
                  <c:v>2.5</c:v>
                </c:pt>
                <c:pt idx="1">
                  <c:v>2.5</c:v>
                </c:pt>
                <c:pt idx="2">
                  <c:v>-0.4</c:v>
                </c:pt>
                <c:pt idx="3">
                  <c:v>4.5</c:v>
                </c:pt>
                <c:pt idx="4">
                  <c:v>1.5</c:v>
                </c:pt>
                <c:pt idx="5">
                  <c:v>2.9</c:v>
                </c:pt>
              </c:numCache>
            </c:numRef>
          </c:val>
          <c:smooth val="0"/>
        </c:ser>
        <c:dLbls>
          <c:showLegendKey val="0"/>
          <c:showVal val="0"/>
          <c:showCatName val="0"/>
          <c:showSerName val="0"/>
          <c:showPercent val="0"/>
          <c:showBubbleSize val="0"/>
        </c:dLbls>
        <c:marker val="0"/>
        <c:smooth val="0"/>
        <c:axId val="813985250"/>
        <c:axId val="446415951"/>
      </c:lineChart>
      <c:catAx>
        <c:axId val="81398525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46415951"/>
        <c:crosses val="autoZero"/>
        <c:auto val="1"/>
        <c:lblAlgn val="ctr"/>
        <c:lblOffset val="100"/>
        <c:noMultiLvlLbl val="0"/>
      </c:catAx>
      <c:valAx>
        <c:axId val="446415951"/>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1398525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4f3e73c8-0344-4752-9602-2395d4152fa3}"/>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'[2026.1.28 浈江区十五五规划用图.xlsx]人均地区生产总值'!$A$2</c:f>
              <c:strCache>
                <c:ptCount val="1"/>
                <c:pt idx="0">
                  <c:v>人均地区生产总值（万元）</c:v>
                </c:pt>
              </c:strCache>
            </c:strRef>
          </c:tx>
          <c:spPr>
            <a:ln w="28575" cap="rnd">
              <a:solidFill>
                <a:schemeClr val="accent1"/>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'[2026.1.25 浈江区十五五规划用图.xlsx]人均地区生产总值'!$B$1:$L$1</c:f>
              <c:strCache>
                <c:ptCount val="6"/>
                <c:pt idx="0">
                  <c:v>2020年</c:v>
                </c:pt>
                <c:pt idx="1">
                  <c:v>2021年</c:v>
                </c:pt>
                <c:pt idx="2">
                  <c:v>2022年</c:v>
                </c:pt>
                <c:pt idx="3">
                  <c:v>2023年</c:v>
                </c:pt>
                <c:pt idx="4">
                  <c:v>2024年</c:v>
                </c:pt>
                <c:pt idx="5">
                  <c:v>2025年</c:v>
                </c:pt>
              </c:strCache>
            </c:strRef>
          </c:cat>
          <c:val>
            <c:numRef>
              <c:f>'[2026.1.28 浈江区十五五规划用图.xlsx]人均地区生产总值'!$B$2:$L$2</c:f>
              <c:numCache>
                <c:formatCode>0.00_ </c:formatCode>
                <c:ptCount val="6"/>
                <c:pt idx="0">
                  <c:v>5.6882409012843</c:v>
                </c:pt>
                <c:pt idx="1">
                  <c:v>6.25204961945774</c:v>
                </c:pt>
                <c:pt idx="2">
                  <c:v>6.24215017498012</c:v>
                </c:pt>
                <c:pt idx="3">
                  <c:v>6.28525787557852</c:v>
                </c:pt>
                <c:pt idx="4">
                  <c:v>6.36804336886098</c:v>
                </c:pt>
                <c:pt idx="5">
                  <c:v>6.53927625823876</c:v>
                </c:pt>
              </c:numCache>
            </c:numRef>
          </c:val>
          <c:smooth val="0"/>
        </c:ser>
        <c:dLbls>
          <c:showLegendKey val="0"/>
          <c:showVal val="1"/>
          <c:showCatName val="0"/>
          <c:showSerName val="0"/>
          <c:showPercent val="0"/>
          <c:showBubbleSize val="0"/>
        </c:dLbls>
        <c:marker val="0"/>
        <c:smooth val="0"/>
        <c:axId val="28236113"/>
        <c:axId val="338376036"/>
      </c:lineChart>
      <c:catAx>
        <c:axId val="2823611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38376036"/>
        <c:crosses val="autoZero"/>
        <c:auto val="1"/>
        <c:lblAlgn val="ctr"/>
        <c:lblOffset val="100"/>
        <c:noMultiLvlLbl val="0"/>
      </c:catAx>
      <c:valAx>
        <c:axId val="338376036"/>
        <c:scaling>
          <c:orientation val="minMax"/>
          <c:max val="7"/>
          <c:min val="5.5"/>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8236113"/>
        <c:crosses val="autoZero"/>
        <c:crossBetween val="between"/>
        <c:majorUnit val="0.5"/>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dd1fe8a7-7400-4c3b-a235-f36b84775207}"/>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'[2026.1.28 浈江区十五五规划用图.xlsx]居民收入'!$A$3</c:f>
              <c:strCache>
                <c:ptCount val="1"/>
                <c:pt idx="0">
                  <c:v>总量（万元）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浈江区十五五规划用图.xlsx]居民收入'!$B$2:$L$2</c:f>
              <c:strCache>
                <c:ptCount val="6"/>
                <c:pt idx="0">
                  <c:v>2020年</c:v>
                </c:pt>
                <c:pt idx="1">
                  <c:v>2021年</c:v>
                </c:pt>
                <c:pt idx="2">
                  <c:v>2022年</c:v>
                </c:pt>
                <c:pt idx="3">
                  <c:v>2023年</c:v>
                </c:pt>
                <c:pt idx="4">
                  <c:v>2024年</c:v>
                </c:pt>
                <c:pt idx="5">
                  <c:v>2025年</c:v>
                </c:pt>
              </c:strCache>
            </c:strRef>
          </c:cat>
          <c:val>
            <c:numRef>
              <c:f>'[2026.1.28 浈江区十五五规划用图.xlsx]居民收入'!$B$3:$L$3</c:f>
              <c:numCache>
                <c:formatCode>0.00_ </c:formatCode>
                <c:ptCount val="6"/>
                <c:pt idx="0">
                  <c:v>3.84605</c:v>
                </c:pt>
                <c:pt idx="1">
                  <c:v>4.17210726006124</c:v>
                </c:pt>
                <c:pt idx="2">
                  <c:v>4.28596387816088</c:v>
                </c:pt>
                <c:pt idx="3">
                  <c:v>4.42998654157973</c:v>
                </c:pt>
                <c:pt idx="4">
                  <c:v>4.61323505828674</c:v>
                </c:pt>
                <c:pt idx="5">
                  <c:v>4.7978</c:v>
                </c:pt>
              </c:numCache>
            </c:numRef>
          </c:val>
        </c:ser>
        <c:dLbls>
          <c:showLegendKey val="0"/>
          <c:showVal val="0"/>
          <c:showCatName val="0"/>
          <c:showSerName val="0"/>
          <c:showPercent val="0"/>
          <c:showBubbleSize val="0"/>
        </c:dLbls>
        <c:gapWidth val="219"/>
        <c:overlap val="-27"/>
        <c:axId val="102436976"/>
        <c:axId val="574170422"/>
      </c:barChart>
      <c:lineChart>
        <c:grouping val="standard"/>
        <c:varyColors val="0"/>
        <c:ser>
          <c:idx val="1"/>
          <c:order val="1"/>
          <c:tx>
            <c:strRef>
              <c:f>'[2026.1.28 浈江区十五五规划用图.xlsx]居民收入'!$A$4</c:f>
              <c:strCache>
                <c:ptCount val="1"/>
                <c:pt idx="0">
                  <c:v>增速（%）</c:v>
                </c:pt>
              </c:strCache>
            </c:strRef>
          </c:tx>
          <c:spPr>
            <a:ln w="28575" cap="rnd">
              <a:solidFill>
                <a:schemeClr val="accent2"/>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浈江区十五五规划用图.xlsx]居民收入'!$B$2:$L$2</c:f>
              <c:strCache>
                <c:ptCount val="6"/>
                <c:pt idx="0">
                  <c:v>2020年</c:v>
                </c:pt>
                <c:pt idx="1">
                  <c:v>2021年</c:v>
                </c:pt>
                <c:pt idx="2">
                  <c:v>2022年</c:v>
                </c:pt>
                <c:pt idx="3">
                  <c:v>2023年</c:v>
                </c:pt>
                <c:pt idx="4">
                  <c:v>2024年</c:v>
                </c:pt>
                <c:pt idx="5">
                  <c:v>2025年</c:v>
                </c:pt>
              </c:strCache>
            </c:strRef>
          </c:cat>
          <c:val>
            <c:numRef>
              <c:f>'[2026.1.28 浈江区十五五规划用图.xlsx]居民收入'!$B$4:$L$4</c:f>
              <c:numCache>
                <c:formatCode>General</c:formatCode>
                <c:ptCount val="6"/>
                <c:pt idx="1" c:formatCode="0.00_ ">
                  <c:v>8.4778530664201</c:v>
                </c:pt>
                <c:pt idx="2" c:formatCode="0.00_ ">
                  <c:v>2.72899546925764</c:v>
                </c:pt>
                <c:pt idx="3" c:formatCode="0.00_ ">
                  <c:v>3.36033311322865</c:v>
                </c:pt>
                <c:pt idx="4" c:formatCode="0.00_ ">
                  <c:v>4.13654793275429</c:v>
                </c:pt>
                <c:pt idx="5" c:formatCode="0.00_ ">
                  <c:v>4</c:v>
                </c:pt>
              </c:numCache>
            </c:numRef>
          </c:val>
          <c:smooth val="0"/>
        </c:ser>
        <c:dLbls>
          <c:showLegendKey val="0"/>
          <c:showVal val="0"/>
          <c:showCatName val="0"/>
          <c:showSerName val="0"/>
          <c:showPercent val="0"/>
          <c:showBubbleSize val="0"/>
        </c:dLbls>
        <c:marker val="0"/>
        <c:smooth val="0"/>
        <c:axId val="773797303"/>
        <c:axId val="86704732"/>
      </c:lineChart>
      <c:catAx>
        <c:axId val="1024369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74170422"/>
        <c:crosses val="autoZero"/>
        <c:auto val="1"/>
        <c:lblAlgn val="ctr"/>
        <c:lblOffset val="100"/>
        <c:noMultiLvlLbl val="0"/>
      </c:catAx>
      <c:valAx>
        <c:axId val="574170422"/>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02436976"/>
        <c:crosses val="autoZero"/>
        <c:crossBetween val="between"/>
      </c:valAx>
      <c:catAx>
        <c:axId val="773797303"/>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6704732"/>
        <c:crosses val="autoZero"/>
        <c:auto val="1"/>
        <c:lblAlgn val="ctr"/>
        <c:lblOffset val="100"/>
        <c:noMultiLvlLbl val="0"/>
      </c:catAx>
      <c:valAx>
        <c:axId val="86704732"/>
        <c:scaling>
          <c:orientation val="minMax"/>
          <c:max val="12"/>
        </c:scaling>
        <c:delete val="0"/>
        <c:axPos val="r"/>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73797303"/>
        <c:crosses val="max"/>
        <c:crossBetween val="between"/>
        <c:majorUnit val="5"/>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78efb1b3-b3e8-4804-a6bd-9be912991546}"/>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'[2026.1.25 浈江区十五五规划用图.xlsx]财政预算'!$A$4</c:f>
              <c:strCache>
                <c:ptCount val="1"/>
                <c:pt idx="0">
                  <c:v>地方一般预算收入（亿元）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'[2026.1.25 浈江区十五五规划用图.xlsx]财政预算'!$B$3:$L$3</c:f>
              <c:strCache>
                <c:ptCount val="6"/>
                <c:pt idx="0">
                  <c:v>2020年</c:v>
                </c:pt>
                <c:pt idx="1">
                  <c:v>2021年</c:v>
                </c:pt>
                <c:pt idx="2">
                  <c:v>2022年</c:v>
                </c:pt>
                <c:pt idx="3">
                  <c:v>2023年</c:v>
                </c:pt>
                <c:pt idx="4">
                  <c:v>2024年</c:v>
                </c:pt>
                <c:pt idx="5">
                  <c:v>2025年</c:v>
                </c:pt>
              </c:strCache>
            </c:strRef>
          </c:cat>
          <c:val>
            <c:numRef>
              <c:f>[浈江区十五五规划用图.xlsx]财政预算!$B$4:$L$4</c:f>
              <c:numCache>
                <c:formatCode>0.00_ </c:formatCode>
                <c:ptCount val="6"/>
                <c:pt idx="0">
                  <c:v>4.4461</c:v>
                </c:pt>
                <c:pt idx="1">
                  <c:v>4.8975</c:v>
                </c:pt>
                <c:pt idx="2">
                  <c:v>3.93</c:v>
                </c:pt>
                <c:pt idx="3">
                  <c:v>4.27</c:v>
                </c:pt>
                <c:pt idx="4">
                  <c:v>4.5</c:v>
                </c:pt>
                <c:pt idx="5">
                  <c:v>6.76</c:v>
                </c:pt>
              </c:numCache>
            </c:numRef>
          </c:val>
        </c:ser>
        <c:ser>
          <c:idx val="2"/>
          <c:order val="2"/>
          <c:tx>
            <c:strRef>
              <c:f>'[2026.1.25 浈江区十五五规划用图.xlsx]财政预算'!$A$6</c:f>
              <c:strCache>
                <c:ptCount val="1"/>
                <c:pt idx="0">
                  <c:v>地方一般预算支出（亿元）</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'[2026.1.25 浈江区十五五规划用图.xlsx]财政预算'!$B$3:$L$3</c:f>
              <c:strCache>
                <c:ptCount val="6"/>
                <c:pt idx="0">
                  <c:v>2020年</c:v>
                </c:pt>
                <c:pt idx="1">
                  <c:v>2021年</c:v>
                </c:pt>
                <c:pt idx="2">
                  <c:v>2022年</c:v>
                </c:pt>
                <c:pt idx="3">
                  <c:v>2023年</c:v>
                </c:pt>
                <c:pt idx="4">
                  <c:v>2024年</c:v>
                </c:pt>
                <c:pt idx="5">
                  <c:v>2025年</c:v>
                </c:pt>
              </c:strCache>
            </c:strRef>
          </c:cat>
          <c:val>
            <c:numRef>
              <c:f>[浈江区十五五规划用图.xlsx]财政预算!$B$6:$L$6</c:f>
              <c:numCache>
                <c:formatCode>0.00_ </c:formatCode>
                <c:ptCount val="6"/>
                <c:pt idx="0">
                  <c:v>18.2113</c:v>
                </c:pt>
                <c:pt idx="1">
                  <c:v>19.2101</c:v>
                </c:pt>
                <c:pt idx="2">
                  <c:v>17.24</c:v>
                </c:pt>
                <c:pt idx="3">
                  <c:v>25.04</c:v>
                </c:pt>
                <c:pt idx="4">
                  <c:v>21.13</c:v>
                </c:pt>
                <c:pt idx="5">
                  <c:v>22.94</c:v>
                </c:pt>
              </c:numCache>
            </c:numRef>
          </c:val>
        </c:ser>
        <c:dLbls>
          <c:showLegendKey val="0"/>
          <c:showVal val="1"/>
          <c:showCatName val="0"/>
          <c:showSerName val="0"/>
          <c:showPercent val="0"/>
          <c:showBubbleSize val="0"/>
        </c:dLbls>
        <c:gapWidth val="219"/>
        <c:overlap val="-27"/>
        <c:axId val="283617302"/>
        <c:axId val="177736434"/>
      </c:barChart>
      <c:lineChart>
        <c:grouping val="standard"/>
        <c:varyColors val="0"/>
        <c:ser>
          <c:idx val="1"/>
          <c:order val="1"/>
          <c:tx>
            <c:strRef>
              <c:f>'[2026.1.25 浈江区十五五规划用图.xlsx]财政预算'!$A$5</c:f>
              <c:strCache>
                <c:ptCount val="1"/>
                <c:pt idx="0">
                  <c:v>地方一般预算收入增速（%）</c:v>
                </c:pt>
              </c:strCache>
            </c:strRef>
          </c:tx>
          <c:spPr>
            <a:ln w="28575" cap="rnd">
              <a:solidFill>
                <a:schemeClr val="accent2"/>
              </a:solidFill>
              <a:round/>
            </a:ln>
            <a:effectLst/>
          </c:spPr>
          <c:marker>
            <c:symbol val="none"/>
          </c:marker>
          <c:dLbls>
            <c:delete val="1"/>
          </c:dLbls>
          <c:cat>
            <c:strRef>
              <c:f>'[2026.1.25 浈江区十五五规划用图.xlsx]财政预算'!$B$3:$L$3</c:f>
              <c:strCache>
                <c:ptCount val="6"/>
                <c:pt idx="0">
                  <c:v>2020年</c:v>
                </c:pt>
                <c:pt idx="1">
                  <c:v>2021年</c:v>
                </c:pt>
                <c:pt idx="2">
                  <c:v>2022年</c:v>
                </c:pt>
                <c:pt idx="3">
                  <c:v>2023年</c:v>
                </c:pt>
                <c:pt idx="4">
                  <c:v>2024年</c:v>
                </c:pt>
                <c:pt idx="5">
                  <c:v>2025年</c:v>
                </c:pt>
              </c:strCache>
            </c:strRef>
          </c:cat>
          <c:val>
            <c:numRef>
              <c:f>[浈江区十五五规划用图.xlsx]财政预算!$B$5:$L$5</c:f>
              <c:numCache>
                <c:formatCode>0.00_ </c:formatCode>
                <c:ptCount val="6"/>
                <c:pt idx="0">
                  <c:v>10.2</c:v>
                </c:pt>
                <c:pt idx="1">
                  <c:v>3.93</c:v>
                </c:pt>
                <c:pt idx="2">
                  <c:v>-19.7</c:v>
                </c:pt>
                <c:pt idx="3">
                  <c:v>8.5</c:v>
                </c:pt>
                <c:pt idx="4">
                  <c:v>5.4</c:v>
                </c:pt>
                <c:pt idx="5">
                  <c:v>50.4</c:v>
                </c:pt>
              </c:numCache>
            </c:numRef>
          </c:val>
          <c:smooth val="0"/>
        </c:ser>
        <c:dLbls>
          <c:showLegendKey val="0"/>
          <c:showVal val="1"/>
          <c:showCatName val="0"/>
          <c:showSerName val="0"/>
          <c:showPercent val="0"/>
          <c:showBubbleSize val="0"/>
        </c:dLbls>
        <c:marker val="0"/>
        <c:smooth val="0"/>
        <c:axId val="251168892"/>
        <c:axId val="840351442"/>
      </c:lineChart>
      <c:catAx>
        <c:axId val="2836173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77736434"/>
        <c:crosses val="autoZero"/>
        <c:auto val="1"/>
        <c:lblAlgn val="ctr"/>
        <c:lblOffset val="100"/>
        <c:noMultiLvlLbl val="0"/>
      </c:catAx>
      <c:valAx>
        <c:axId val="177736434"/>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83617302"/>
        <c:crosses val="autoZero"/>
        <c:crossBetween val="between"/>
      </c:valAx>
      <c:catAx>
        <c:axId val="251168892"/>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40351442"/>
        <c:crosses val="autoZero"/>
        <c:auto val="1"/>
        <c:lblAlgn val="ctr"/>
        <c:lblOffset val="100"/>
        <c:noMultiLvlLbl val="0"/>
      </c:catAx>
      <c:valAx>
        <c:axId val="840351442"/>
        <c:scaling>
          <c:orientation val="minMax"/>
        </c:scaling>
        <c:delete val="0"/>
        <c:axPos val="r"/>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51168892"/>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5b094a69-f362-4f80-9b73-88a5443bf159}"/>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'[2026.1.28 浈江区十五五规划用图.xlsx]规上工业'!$A$3</c:f>
              <c:strCache>
                <c:ptCount val="1"/>
                <c:pt idx="0">
                  <c:v>规上工业增加值（亿元）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浈江区十五五规划用图.xlsx]规上工业'!$B$2:$L$2</c:f>
              <c:strCache>
                <c:ptCount val="6"/>
                <c:pt idx="0">
                  <c:v>2020年</c:v>
                </c:pt>
                <c:pt idx="1">
                  <c:v>2021年</c:v>
                </c:pt>
                <c:pt idx="2">
                  <c:v>2022年</c:v>
                </c:pt>
                <c:pt idx="3">
                  <c:v>2023年</c:v>
                </c:pt>
                <c:pt idx="4">
                  <c:v>2024年</c:v>
                </c:pt>
                <c:pt idx="5">
                  <c:v>2025年</c:v>
                </c:pt>
              </c:strCache>
            </c:strRef>
          </c:cat>
          <c:val>
            <c:numRef>
              <c:f>'[2026.1.28 浈江区十五五规划用图.xlsx]规上工业'!$B$3:$L$3</c:f>
              <c:numCache>
                <c:formatCode>0.00_ </c:formatCode>
                <c:ptCount val="6"/>
                <c:pt idx="0">
                  <c:v>27.5844</c:v>
                </c:pt>
                <c:pt idx="1">
                  <c:v>34.9142</c:v>
                </c:pt>
                <c:pt idx="2">
                  <c:v>33.0933</c:v>
                </c:pt>
                <c:pt idx="3">
                  <c:v>33.36427</c:v>
                </c:pt>
                <c:pt idx="4">
                  <c:v>31.45616</c:v>
                </c:pt>
                <c:pt idx="5">
                  <c:v>37.694853</c:v>
                </c:pt>
              </c:numCache>
            </c:numRef>
          </c:val>
        </c:ser>
        <c:dLbls>
          <c:showLegendKey val="0"/>
          <c:showVal val="1"/>
          <c:showCatName val="0"/>
          <c:showSerName val="0"/>
          <c:showPercent val="0"/>
          <c:showBubbleSize val="0"/>
        </c:dLbls>
        <c:gapWidth val="219"/>
        <c:overlap val="-27"/>
        <c:axId val="52997585"/>
        <c:axId val="157063833"/>
      </c:barChart>
      <c:lineChart>
        <c:grouping val="standard"/>
        <c:varyColors val="0"/>
        <c:ser>
          <c:idx val="1"/>
          <c:order val="1"/>
          <c:tx>
            <c:strRef>
              <c:f>'[2026.1.28 浈江区十五五规划用图.xlsx]规上工业'!$A$5</c:f>
              <c:strCache>
                <c:ptCount val="1"/>
                <c:pt idx="0">
                  <c:v>规上工业增速（%）</c:v>
                </c:pt>
              </c:strCache>
            </c:strRef>
          </c:tx>
          <c:spPr>
            <a:ln w="28575" cap="rnd">
              <a:solidFill>
                <a:schemeClr val="accent2"/>
              </a:solidFill>
              <a:round/>
            </a:ln>
            <a:effectLst/>
          </c:spPr>
          <c:marker>
            <c:symbol val="none"/>
          </c:marker>
          <c:dLbls>
            <c:dLbl>
              <c:idx val="1"/>
              <c:layout>
                <c:manualLayout>
                  <c:x val="0.00569022419483328"/>
                  <c:y val="0.0583657587548638"/>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浈江区十五五规划用图.xlsx]规上工业'!$B$2:$L$2</c:f>
              <c:strCache>
                <c:ptCount val="6"/>
                <c:pt idx="0">
                  <c:v>2020年</c:v>
                </c:pt>
                <c:pt idx="1">
                  <c:v>2021年</c:v>
                </c:pt>
                <c:pt idx="2">
                  <c:v>2022年</c:v>
                </c:pt>
                <c:pt idx="3">
                  <c:v>2023年</c:v>
                </c:pt>
                <c:pt idx="4">
                  <c:v>2024年</c:v>
                </c:pt>
                <c:pt idx="5">
                  <c:v>2025年</c:v>
                </c:pt>
              </c:strCache>
            </c:strRef>
          </c:cat>
          <c:val>
            <c:numRef>
              <c:f>'[2026.1.28 浈江区十五五规划用图.xlsx]规上工业'!$B$5:$L$5</c:f>
              <c:numCache>
                <c:formatCode>General</c:formatCode>
                <c:ptCount val="6"/>
                <c:pt idx="1" c:formatCode="0.00_ ">
                  <c:v>11.2</c:v>
                </c:pt>
                <c:pt idx="2" c:formatCode="0.00_ ">
                  <c:v>5.5</c:v>
                </c:pt>
                <c:pt idx="3" c:formatCode="0.00_ ">
                  <c:v>1.9</c:v>
                </c:pt>
                <c:pt idx="4" c:formatCode="0.00_ ">
                  <c:v>5.1</c:v>
                </c:pt>
                <c:pt idx="5" c:formatCode="0.00_ ">
                  <c:v>7.5</c:v>
                </c:pt>
              </c:numCache>
            </c:numRef>
          </c:val>
          <c:smooth val="0"/>
        </c:ser>
        <c:dLbls>
          <c:showLegendKey val="0"/>
          <c:showVal val="1"/>
          <c:showCatName val="0"/>
          <c:showSerName val="0"/>
          <c:showPercent val="0"/>
          <c:showBubbleSize val="0"/>
        </c:dLbls>
        <c:marker val="0"/>
        <c:smooth val="0"/>
        <c:axId val="925434358"/>
        <c:axId val="217181959"/>
      </c:lineChart>
      <c:catAx>
        <c:axId val="529975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57063833"/>
        <c:crosses val="autoZero"/>
        <c:auto val="1"/>
        <c:lblAlgn val="ctr"/>
        <c:lblOffset val="100"/>
        <c:noMultiLvlLbl val="0"/>
      </c:catAx>
      <c:valAx>
        <c:axId val="157063833"/>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52997585"/>
        <c:crosses val="autoZero"/>
        <c:crossBetween val="between"/>
      </c:valAx>
      <c:catAx>
        <c:axId val="925434358"/>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217181959"/>
        <c:crosses val="autoZero"/>
        <c:auto val="1"/>
        <c:lblAlgn val="ctr"/>
        <c:lblOffset val="100"/>
        <c:noMultiLvlLbl val="0"/>
      </c:catAx>
      <c:valAx>
        <c:axId val="217181959"/>
        <c:scaling>
          <c:orientation val="minMax"/>
        </c:scaling>
        <c:delete val="0"/>
        <c:axPos val="r"/>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925434358"/>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a79c1348-2b41-4ec7-93d4-32319ffcd1b8}"/>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'[2026.1.28 浈江区十五五规划用图.xlsx]先进制造'!$A$3</c:f>
              <c:strCache>
                <c:ptCount val="1"/>
                <c:pt idx="0">
                  <c:v>增加值（亿元）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浈江区十五五规划用图.xlsx]先进制造'!$B$2:$L$2</c:f>
              <c:strCache>
                <c:ptCount val="6"/>
                <c:pt idx="0">
                  <c:v>2020年</c:v>
                </c:pt>
                <c:pt idx="1">
                  <c:v>2021年</c:v>
                </c:pt>
                <c:pt idx="2">
                  <c:v>2022年</c:v>
                </c:pt>
                <c:pt idx="3">
                  <c:v>2023年</c:v>
                </c:pt>
                <c:pt idx="4">
                  <c:v>2024年</c:v>
                </c:pt>
                <c:pt idx="5">
                  <c:v>2025年</c:v>
                </c:pt>
              </c:strCache>
            </c:strRef>
          </c:cat>
          <c:val>
            <c:numRef>
              <c:f>'[2026.1.28 浈江区十五五规划用图.xlsx]先进制造'!$B$3:$L$3</c:f>
              <c:numCache>
                <c:formatCode>0.00_ </c:formatCode>
                <c:ptCount val="6"/>
                <c:pt idx="0">
                  <c:v>4.950981041268</c:v>
                </c:pt>
                <c:pt idx="1">
                  <c:v>5.6107</c:v>
                </c:pt>
                <c:pt idx="2">
                  <c:v>5.4098</c:v>
                </c:pt>
                <c:pt idx="3">
                  <c:v>6.35999</c:v>
                </c:pt>
                <c:pt idx="4">
                  <c:v>7.94274</c:v>
                </c:pt>
                <c:pt idx="5">
                  <c:v>8.731209</c:v>
                </c:pt>
              </c:numCache>
            </c:numRef>
          </c:val>
        </c:ser>
        <c:dLbls>
          <c:showLegendKey val="0"/>
          <c:showVal val="0"/>
          <c:showCatName val="0"/>
          <c:showSerName val="0"/>
          <c:showPercent val="0"/>
          <c:showBubbleSize val="0"/>
        </c:dLbls>
        <c:gapWidth val="219"/>
        <c:overlap val="-27"/>
        <c:axId val="15585109"/>
        <c:axId val="922885012"/>
      </c:barChart>
      <c:lineChart>
        <c:grouping val="standard"/>
        <c:varyColors val="0"/>
        <c:ser>
          <c:idx val="1"/>
          <c:order val="1"/>
          <c:tx>
            <c:strRef>
              <c:f>'[2026.1.28 浈江区十五五规划用图.xlsx]先进制造'!$A$4</c:f>
              <c:strCache>
                <c:ptCount val="1"/>
                <c:pt idx="0">
                  <c:v>增速（%）</c:v>
                </c:pt>
              </c:strCache>
            </c:strRef>
          </c:tx>
          <c:spPr>
            <a:ln w="28575" cap="rnd">
              <a:solidFill>
                <a:schemeClr val="accent2"/>
              </a:solidFill>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'[2026.1.28 浈江区十五五规划用图.xlsx]先进制造'!$B$2:$L$2</c:f>
              <c:strCache>
                <c:ptCount val="6"/>
                <c:pt idx="0">
                  <c:v>2020年</c:v>
                </c:pt>
                <c:pt idx="1">
                  <c:v>2021年</c:v>
                </c:pt>
                <c:pt idx="2">
                  <c:v>2022年</c:v>
                </c:pt>
                <c:pt idx="3">
                  <c:v>2023年</c:v>
                </c:pt>
                <c:pt idx="4">
                  <c:v>2024年</c:v>
                </c:pt>
                <c:pt idx="5">
                  <c:v>2025年</c:v>
                </c:pt>
              </c:strCache>
            </c:strRef>
          </c:cat>
          <c:val>
            <c:numRef>
              <c:f>'[2026.1.28 浈江区十五五规划用图.xlsx]先进制造'!$B$4:$L$4</c:f>
              <c:numCache>
                <c:formatCode>General</c:formatCode>
                <c:ptCount val="6"/>
                <c:pt idx="1" c:formatCode="0.00_ ">
                  <c:v>10.6</c:v>
                </c:pt>
                <c:pt idx="2" c:formatCode="0.00_ ">
                  <c:v>-5.5</c:v>
                </c:pt>
                <c:pt idx="3" c:formatCode="0.00_ ">
                  <c:v>19.1</c:v>
                </c:pt>
                <c:pt idx="4" c:formatCode="0.00_ ">
                  <c:v>40.6</c:v>
                </c:pt>
                <c:pt idx="5" c:formatCode="0.00_ ">
                  <c:v>25.7505950254809</c:v>
                </c:pt>
              </c:numCache>
            </c:numRef>
          </c:val>
          <c:smooth val="0"/>
        </c:ser>
        <c:dLbls>
          <c:showLegendKey val="0"/>
          <c:showVal val="0"/>
          <c:showCatName val="0"/>
          <c:showSerName val="0"/>
          <c:showPercent val="0"/>
          <c:showBubbleSize val="0"/>
        </c:dLbls>
        <c:marker val="0"/>
        <c:smooth val="0"/>
        <c:axId val="349316747"/>
        <c:axId val="755170364"/>
      </c:lineChart>
      <c:catAx>
        <c:axId val="155851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922885012"/>
        <c:crosses val="autoZero"/>
        <c:auto val="1"/>
        <c:lblAlgn val="ctr"/>
        <c:lblOffset val="100"/>
        <c:noMultiLvlLbl val="0"/>
      </c:catAx>
      <c:valAx>
        <c:axId val="922885012"/>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5585109"/>
        <c:crosses val="autoZero"/>
        <c:crossBetween val="between"/>
      </c:valAx>
      <c:catAx>
        <c:axId val="349316747"/>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55170364"/>
        <c:crosses val="autoZero"/>
        <c:auto val="1"/>
        <c:lblAlgn val="ctr"/>
        <c:lblOffset val="100"/>
        <c:noMultiLvlLbl val="0"/>
      </c:catAx>
      <c:valAx>
        <c:axId val="755170364"/>
        <c:scaling>
          <c:orientation val="minMax"/>
          <c:max val="55"/>
        </c:scaling>
        <c:delete val="0"/>
        <c:axPos val="r"/>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49316747"/>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1a32293c-5a85-4ed3-b045-ec02f4a821ea}"/>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'[2026.1.25 浈江区十五五规划用图.xlsx]城镇化率'!$A$3</c:f>
              <c:strCache>
                <c:ptCount val="1"/>
                <c:pt idx="0">
                  <c:v>常住人口城镇化率</c:v>
                </c:pt>
              </c:strCache>
            </c:strRef>
          </c:tx>
          <c:spPr>
            <a:ln w="28575" cap="rnd">
              <a:solidFill>
                <a:schemeClr val="accent1"/>
              </a:solidFill>
              <a:round/>
            </a:ln>
            <a:effectLst/>
          </c:spPr>
          <c:marker>
            <c:symbol val="none"/>
          </c:marker>
          <c:dLbls>
            <c:dLbl>
              <c:idx val="5"/>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t>87.20（预计）</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'[2026.1.25 浈江区十五五规划用图.xlsx]城镇化率'!$B$2:$L$2</c:f>
              <c:strCache>
                <c:ptCount val="6"/>
                <c:pt idx="0">
                  <c:v>2020年</c:v>
                </c:pt>
                <c:pt idx="1">
                  <c:v>2021年</c:v>
                </c:pt>
                <c:pt idx="2">
                  <c:v>2022年</c:v>
                </c:pt>
                <c:pt idx="3">
                  <c:v>2023年</c:v>
                </c:pt>
                <c:pt idx="4">
                  <c:v>2024年</c:v>
                </c:pt>
                <c:pt idx="5">
                  <c:v>2025年</c:v>
                </c:pt>
              </c:strCache>
            </c:strRef>
          </c:cat>
          <c:val>
            <c:numRef>
              <c:f>[浈江区十五五规划用图.xlsx]城镇化率!$B$3:$L$3</c:f>
              <c:numCache>
                <c:formatCode>0.00_ </c:formatCode>
                <c:ptCount val="6"/>
                <c:pt idx="0">
                  <c:v>85.53</c:v>
                </c:pt>
                <c:pt idx="1">
                  <c:v>86.14</c:v>
                </c:pt>
                <c:pt idx="2">
                  <c:v>86.25</c:v>
                </c:pt>
                <c:pt idx="3">
                  <c:v>86.93</c:v>
                </c:pt>
                <c:pt idx="4">
                  <c:v>87.13</c:v>
                </c:pt>
                <c:pt idx="5">
                  <c:v>87.2</c:v>
                </c:pt>
              </c:numCache>
            </c:numRef>
          </c:val>
          <c:smooth val="0"/>
        </c:ser>
        <c:dLbls>
          <c:showLegendKey val="0"/>
          <c:showVal val="0"/>
          <c:showCatName val="0"/>
          <c:showSerName val="0"/>
          <c:showPercent val="0"/>
          <c:showBubbleSize val="0"/>
        </c:dLbls>
        <c:marker val="0"/>
        <c:smooth val="0"/>
        <c:axId val="386602030"/>
        <c:axId val="361049808"/>
      </c:lineChart>
      <c:catAx>
        <c:axId val="38660203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61049808"/>
        <c:crosses val="autoZero"/>
        <c:auto val="1"/>
        <c:lblAlgn val="ctr"/>
        <c:lblOffset val="100"/>
        <c:noMultiLvlLbl val="0"/>
      </c:catAx>
      <c:valAx>
        <c:axId val="361049808"/>
        <c:scaling>
          <c:orientation val="minMax"/>
          <c:min val="85"/>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38660203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73783a12-02d9-480d-9e97-13b2928b7c6f}"/>
      </c:ext>
    </c:extLst>
  </c:chart>
  <c:spPr>
    <a:solidFill>
      <a:schemeClr val="bg1"/>
    </a:solidFill>
    <a:ln w="9525" cap="flat" cmpd="sng" algn="ctr">
      <a:solidFill>
        <a:schemeClr val="tx1">
          <a:lumMod val="15000"/>
          <a:lumOff val="85000"/>
        </a:schemeClr>
      </a:solidFill>
      <a:round/>
    </a:ln>
    <a:effectLst/>
  </c:spPr>
  <c:txPr>
    <a:bodyPr/>
    <a:lstStyle/>
    <a:p>
      <a:pPr>
        <a:defRPr lang="zh-CN" sz="9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107</Pages>
  <Words>48543</Words>
  <Characters>49696</Characters>
  <Lines>1</Lines>
  <Paragraphs>1</Paragraphs>
  <TotalTime>2</TotalTime>
  <ScaleCrop>false</ScaleCrop>
  <LinksUpToDate>false</LinksUpToDate>
  <CharactersWithSpaces>49915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2025-06-17T07:05:00Z</dcterms:created>
  <dc:creator>子牙</dc:creator>
  <cp:lastModifiedBy>BBSI2008</cp:lastModifiedBy>
  <cp:lastPrinted>2026-06-22T08:08:00Z</cp:lastPrinted>
  <dcterms:modified xsi:type="dcterms:W3CDTF">2026-07-07T00:58:24Z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EFC88CB9DB774CF2BBFF489A14AE36D3_13</vt:lpwstr>
  </property>
  <property fmtid="{D5CDD505-2E9C-101B-9397-08002B2CF9AE}" pid="4" name="KSOTemplateDocerSaveRecord">
    <vt:lpwstr>eyJoZGlkIjoiZjk5Nzk5MDkxMDIxMTA1YzNiYzU3ZmFlZDYyZDc4MGQifQ==</vt:lpwstr>
  </property>
</Properties>
</file>