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A2B19">
      <w:pPr>
        <w:spacing w:line="560" w:lineRule="exact"/>
        <w:ind w:firstLine="480" w:firstLineChars="200"/>
        <w:rPr>
          <w:rFonts w:hint="eastAsia" w:ascii="宋体" w:hAnsi="宋体" w:cs="宋体"/>
          <w:bCs/>
          <w:sz w:val="24"/>
          <w:szCs w:val="24"/>
        </w:rPr>
      </w:pPr>
      <w:bookmarkStart w:id="1" w:name="_GoBack"/>
      <w:bookmarkEnd w:id="1"/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综合</w:t>
      </w:r>
      <w:r>
        <w:rPr>
          <w:rFonts w:hint="eastAsia" w:ascii="宋体" w:hAnsi="宋体" w:cs="宋体"/>
          <w:bCs/>
          <w:sz w:val="24"/>
          <w:szCs w:val="24"/>
        </w:rPr>
        <w:t>评审细则（100分）</w:t>
      </w:r>
    </w:p>
    <w:tbl>
      <w:tblPr>
        <w:tblStyle w:val="3"/>
        <w:tblW w:w="87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84"/>
        <w:gridCol w:w="851"/>
        <w:gridCol w:w="5109"/>
      </w:tblGrid>
      <w:tr w14:paraId="78E0D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846" w:type="dxa"/>
            <w:vAlign w:val="center"/>
          </w:tcPr>
          <w:p w14:paraId="4BEB760B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bookmarkStart w:id="0" w:name="_Hlk214973096"/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14:paraId="12328478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评审内容</w:t>
            </w:r>
          </w:p>
        </w:tc>
        <w:tc>
          <w:tcPr>
            <w:tcW w:w="851" w:type="dxa"/>
            <w:vAlign w:val="center"/>
          </w:tcPr>
          <w:p w14:paraId="32162D87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5109" w:type="dxa"/>
            <w:vAlign w:val="center"/>
          </w:tcPr>
          <w:p w14:paraId="725EDFF8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评审标准</w:t>
            </w:r>
          </w:p>
        </w:tc>
      </w:tr>
      <w:tr w14:paraId="387B6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846" w:type="dxa"/>
            <w:vAlign w:val="center"/>
          </w:tcPr>
          <w:p w14:paraId="1DE4EC0C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3D47C47A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企业认证体系</w:t>
            </w:r>
          </w:p>
        </w:tc>
        <w:tc>
          <w:tcPr>
            <w:tcW w:w="851" w:type="dxa"/>
            <w:vAlign w:val="center"/>
          </w:tcPr>
          <w:p w14:paraId="5203097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9分</w:t>
            </w:r>
          </w:p>
        </w:tc>
        <w:tc>
          <w:tcPr>
            <w:tcW w:w="5109" w:type="dxa"/>
            <w:vAlign w:val="top"/>
          </w:tcPr>
          <w:p w14:paraId="6A24A31F">
            <w:pPr>
              <w:snapToGrid w:val="0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根据响应投标人企业管理体系：具有有效期内的质量管理体系认证书、职业健康安全管理体系认证证书、环境管理体系认证证书，每个证书得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分，满分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分。</w:t>
            </w:r>
          </w:p>
          <w:p w14:paraId="0992073A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【注：须提供有效的证书复印件并加盖公章，不提供不得分。】</w:t>
            </w:r>
          </w:p>
        </w:tc>
      </w:tr>
      <w:tr w14:paraId="68551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846" w:type="dxa"/>
            <w:vAlign w:val="center"/>
          </w:tcPr>
          <w:p w14:paraId="434486C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84" w:type="dxa"/>
            <w:vAlign w:val="center"/>
          </w:tcPr>
          <w:p w14:paraId="4DA4377A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服务便捷性</w:t>
            </w:r>
          </w:p>
        </w:tc>
        <w:tc>
          <w:tcPr>
            <w:tcW w:w="851" w:type="dxa"/>
            <w:vAlign w:val="center"/>
          </w:tcPr>
          <w:p w14:paraId="40B2FFC2">
            <w:pPr>
              <w:pStyle w:val="5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6分</w:t>
            </w:r>
          </w:p>
        </w:tc>
        <w:tc>
          <w:tcPr>
            <w:tcW w:w="5109" w:type="dxa"/>
            <w:vAlign w:val="center"/>
          </w:tcPr>
          <w:p w14:paraId="5EE5FFF8">
            <w:pPr>
              <w:snapToGrid w:val="0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根据各投标人服务机构所在地进行评分：</w:t>
            </w:r>
          </w:p>
          <w:p w14:paraId="11B7845C">
            <w:pPr>
              <w:snapToGrid w:val="0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1.投标人在韶关市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注册或设有分支机构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或承诺中标后1个月内在韶关市设立得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分；</w:t>
            </w:r>
          </w:p>
          <w:p w14:paraId="2958C712">
            <w:pPr>
              <w:snapToGrid w:val="0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2.投标人在广东省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注册或设有分支机构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或承诺中标后1个月内在广东省设立服务机构得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分；</w:t>
            </w:r>
          </w:p>
          <w:p w14:paraId="5FC0CBED">
            <w:pPr>
              <w:snapToGrid w:val="0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3.投标人在广东省外设有服务机构得1分。</w:t>
            </w:r>
          </w:p>
          <w:p w14:paraId="2C5521EA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【注：以提供的服务机构营业执照或承诺函为准。】</w:t>
            </w:r>
          </w:p>
        </w:tc>
      </w:tr>
      <w:tr w14:paraId="37E88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846" w:type="dxa"/>
            <w:vAlign w:val="center"/>
          </w:tcPr>
          <w:p w14:paraId="485F853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84" w:type="dxa"/>
            <w:vAlign w:val="center"/>
          </w:tcPr>
          <w:p w14:paraId="5E3281B5">
            <w:pPr>
              <w:pStyle w:val="6"/>
              <w:spacing w:before="68"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整体服务方案</w:t>
            </w:r>
          </w:p>
        </w:tc>
        <w:tc>
          <w:tcPr>
            <w:tcW w:w="851" w:type="dxa"/>
            <w:vAlign w:val="center"/>
          </w:tcPr>
          <w:p w14:paraId="524CD81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5109" w:type="dxa"/>
            <w:vAlign w:val="center"/>
          </w:tcPr>
          <w:p w14:paraId="325E10AC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根据各投标人提供的整体服务方案（包括但不限于①对项目要求的理解程度；②服务内容响应方案；③服务响应时间进行评审：</w:t>
            </w:r>
          </w:p>
          <w:p w14:paraId="091DA5DA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1、方案中每提供一项上述内容得1分，最高得3分；</w:t>
            </w:r>
          </w:p>
          <w:p w14:paraId="7A3458E1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2、在此基础上对方案具体内容进行评审：</w:t>
            </w:r>
          </w:p>
          <w:p w14:paraId="359B3949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（1）对本项目的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有正确深刻理解与充分认识，，服务内容响应方案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详细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、清晰，服务响应时间快的，得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24D6D99A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（2）对本项目的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有正确理解与认识，服务内容响应方案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基本详细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，服务响应时间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符合招标要求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的，得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3F114AFC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（3）对本项目的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没有正确理解与认识，服务内容响应方案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不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详细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，服务响应时间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不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符合招标要求的，得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分。</w:t>
            </w:r>
          </w:p>
          <w:p w14:paraId="61AB0D5D">
            <w:pPr>
              <w:spacing w:line="36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（4）未提供或其他情况，不得分。</w:t>
            </w:r>
          </w:p>
        </w:tc>
      </w:tr>
      <w:tr w14:paraId="67760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846" w:type="dxa"/>
            <w:vAlign w:val="center"/>
          </w:tcPr>
          <w:p w14:paraId="6DB2311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84" w:type="dxa"/>
            <w:vAlign w:val="center"/>
          </w:tcPr>
          <w:p w14:paraId="77CF9B7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管理制度及业务流程专业性</w:t>
            </w:r>
          </w:p>
        </w:tc>
        <w:tc>
          <w:tcPr>
            <w:tcW w:w="851" w:type="dxa"/>
            <w:vAlign w:val="center"/>
          </w:tcPr>
          <w:p w14:paraId="33E89B5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5109" w:type="dxa"/>
            <w:vAlign w:val="center"/>
          </w:tcPr>
          <w:p w14:paraId="1C38B4E8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根据各投标人提供的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管理制度及业务流程专业性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（包括但不限于①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经营管理制度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；②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业务操作流程等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）进行评审：</w:t>
            </w:r>
          </w:p>
          <w:p w14:paraId="0DD617AE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1、方案中每提供一项上述内容得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分，最高得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20FF7838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2、在此基础上对方案具体内容进行评审：</w:t>
            </w:r>
          </w:p>
          <w:p w14:paraId="57B98FBA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（1）管理制度及业务流程专业性内容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详细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完整的，得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分； </w:t>
            </w:r>
          </w:p>
          <w:p w14:paraId="5EFF3378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（2）管理制度及业务流程专业性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内容基本完整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的，得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3A5BF7D4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（3）管理制度及业务流程专业性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内容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不够完整的，得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47A5DBC2">
            <w:pPr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（4）未提供或其他情况，不得分。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</w:tr>
      <w:tr w14:paraId="6412B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46" w:type="dxa"/>
            <w:vAlign w:val="center"/>
          </w:tcPr>
          <w:p w14:paraId="44A607A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84" w:type="dxa"/>
            <w:vAlign w:val="center"/>
          </w:tcPr>
          <w:p w14:paraId="1011751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询问、异议、投诉处理能力</w:t>
            </w:r>
          </w:p>
        </w:tc>
        <w:tc>
          <w:tcPr>
            <w:tcW w:w="851" w:type="dxa"/>
            <w:vAlign w:val="center"/>
          </w:tcPr>
          <w:p w14:paraId="40B45909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5109" w:type="dxa"/>
            <w:vAlign w:val="center"/>
          </w:tcPr>
          <w:p w14:paraId="191D39BE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根据各投标人提供的询问、异议、投诉处理能力方案（包括但不限于①针对询问、异议、投诉的应对方案；②处理询问、异议、投诉流程；③团队人员配置；④处理原则；⑤处理方法；⑥处理技巧等）进行评审：</w:t>
            </w:r>
          </w:p>
          <w:p w14:paraId="08E4073B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1、方案中每提供一项上述内容得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分，最高得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13657430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2、在此基础上对方案具体内容进行评审：</w:t>
            </w:r>
          </w:p>
          <w:p w14:paraId="583072F0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（1）方案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内容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完整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详细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、可行性高的，得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20E13F20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（2）方案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内容基本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完整、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可行性的，得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22258A9A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（3）方案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内容不够完整，不够详细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不具备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可行性的，得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69A840DA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（4）未提供或其他情况，不得分。</w:t>
            </w:r>
          </w:p>
        </w:tc>
      </w:tr>
      <w:tr w14:paraId="7F17F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885CA1C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84" w:type="dxa"/>
            <w:vAlign w:val="center"/>
          </w:tcPr>
          <w:p w14:paraId="433E222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en-US"/>
              </w:rPr>
              <w:t>档案规范</w:t>
            </w:r>
          </w:p>
        </w:tc>
        <w:tc>
          <w:tcPr>
            <w:tcW w:w="851" w:type="dxa"/>
            <w:vAlign w:val="center"/>
          </w:tcPr>
          <w:p w14:paraId="118AD2F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  <w:t>分</w:t>
            </w:r>
          </w:p>
        </w:tc>
        <w:tc>
          <w:tcPr>
            <w:tcW w:w="5109" w:type="dxa"/>
            <w:vAlign w:val="center"/>
          </w:tcPr>
          <w:p w14:paraId="222B7ABD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根据各投标人提供的档案规范方案（包括但不限于①档案内部管理规定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档案管理制度；②档案存放的场地情况等）进行评审：</w:t>
            </w:r>
          </w:p>
          <w:p w14:paraId="30DA67AB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1、方案中每提供一项上述内容得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分，最高得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5128153A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2、在此基础上对方案具体内容进行评审：</w:t>
            </w:r>
          </w:p>
          <w:p w14:paraId="3C609387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（1）档案内部管理规定完善，管理制度完整具体、内容详细、可行性高，档案存放科学规范、库房安全性高和场地宽阔的，得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67B56DAD">
            <w:pPr>
              <w:spacing w:line="360" w:lineRule="auto"/>
              <w:ind w:left="240" w:hanging="240" w:hangingChars="10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（2）档案内部管理规定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完善，管理制度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完整、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可行性，档案存放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科学规范、库房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安全性和场地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宽阔的，得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453C8712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（3）档案内部管理规定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不够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完善，管理制度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不够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完整，档案存放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不够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科学规范、库房安全性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不高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和场地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不够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宽阔的，得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6DFC1DD7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（4）未提供或其他情况，不得分。</w:t>
            </w:r>
          </w:p>
        </w:tc>
      </w:tr>
      <w:tr w14:paraId="71F2F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846" w:type="dxa"/>
            <w:vMerge w:val="restart"/>
            <w:vAlign w:val="center"/>
          </w:tcPr>
          <w:p w14:paraId="211D062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84" w:type="dxa"/>
            <w:vMerge w:val="restart"/>
            <w:vAlign w:val="center"/>
          </w:tcPr>
          <w:p w14:paraId="59CF5E3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人员配置方案</w:t>
            </w:r>
          </w:p>
          <w:p w14:paraId="3EB35FD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2EC882A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vAlign w:val="center"/>
          </w:tcPr>
          <w:p w14:paraId="31E138F5">
            <w:pPr>
              <w:snapToGrid w:val="0"/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9分</w:t>
            </w:r>
          </w:p>
        </w:tc>
        <w:tc>
          <w:tcPr>
            <w:tcW w:w="5109" w:type="dxa"/>
            <w:vAlign w:val="center"/>
          </w:tcPr>
          <w:p w14:paraId="76226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项目负责人要求：</w:t>
            </w:r>
          </w:p>
          <w:p w14:paraId="5AE6B73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拥有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招标师证书或注册造价师证书或注册咨询工程师证书，提供一项得3分，本项满分3分；其他未满足以上要求的得0分。</w:t>
            </w:r>
          </w:p>
          <w:p w14:paraId="5F7C22D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具备10年或以上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招标代理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工作经验得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3分；具备5年或以上工作经验得2分；具备5年以下工作经验得1分；其他未满足以上要求的得0分。</w:t>
            </w:r>
          </w:p>
          <w:p w14:paraId="1B06DA7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3.拥有高级工程师职称证书得3分，中级工程职称证书的得1分，其他未满足以上要求的得0分。</w:t>
            </w:r>
          </w:p>
          <w:p w14:paraId="341B4200">
            <w:pPr>
              <w:snapToGrid w:val="0"/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（提供截标前3个月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内任意1个月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的项目负责人社保情况、相关证书复印件及个人工作履历申报）</w:t>
            </w:r>
          </w:p>
        </w:tc>
      </w:tr>
      <w:tr w14:paraId="2D5E0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846" w:type="dxa"/>
            <w:vMerge w:val="continue"/>
            <w:vAlign w:val="center"/>
          </w:tcPr>
          <w:p w14:paraId="709611C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 w14:paraId="5B95056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B5E897">
            <w:pPr>
              <w:snapToGrid w:val="0"/>
              <w:spacing w:line="360" w:lineRule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8分</w:t>
            </w:r>
          </w:p>
        </w:tc>
        <w:tc>
          <w:tcPr>
            <w:tcW w:w="5109" w:type="dxa"/>
            <w:shd w:val="clear" w:color="auto" w:fill="auto"/>
            <w:vAlign w:val="center"/>
          </w:tcPr>
          <w:p w14:paraId="638F0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服务团队人员（除项目负责人外）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具有中级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或以上技术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职称的资格的每个得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分，最高得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分。</w:t>
            </w:r>
          </w:p>
          <w:p w14:paraId="6C9707F7">
            <w:pPr>
              <w:snapToGrid w:val="0"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（提供截标前3个月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内任意1个月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人员社保情况及相关证书复印件，加盖单位公章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一人多证不重复计分。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）</w:t>
            </w:r>
          </w:p>
        </w:tc>
      </w:tr>
      <w:tr w14:paraId="36C4E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846" w:type="dxa"/>
            <w:vMerge w:val="continue"/>
            <w:vAlign w:val="center"/>
          </w:tcPr>
          <w:p w14:paraId="635903E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 w14:paraId="665A184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2BD26C">
            <w:pPr>
              <w:snapToGrid w:val="0"/>
              <w:spacing w:line="36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10分</w:t>
            </w:r>
          </w:p>
        </w:tc>
        <w:tc>
          <w:tcPr>
            <w:tcW w:w="5109" w:type="dxa"/>
            <w:shd w:val="clear" w:color="auto" w:fill="auto"/>
            <w:vAlign w:val="center"/>
          </w:tcPr>
          <w:p w14:paraId="13C0F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根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据供应商提供的人员组织架构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方案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包括但不限于①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专业配置，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②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岗位配置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；③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人员数量，人员工作经验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④分工、职责的配备方案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等）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进行评审：</w:t>
            </w:r>
          </w:p>
          <w:p w14:paraId="066FA1EF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1、方案中每提供一项上述内容得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分，最高得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685BB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2、在此基础上对方案具体内容进行评审：</w:t>
            </w:r>
          </w:p>
          <w:p w14:paraId="3E2FF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提供的人员组织架构方案科学完善、人员分工明确合理、人员职责清晰全面，得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分；</w:t>
            </w:r>
          </w:p>
          <w:p w14:paraId="17835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提供的人员组织架构方案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完善、人员分工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明确合理、人员职责清晰，得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分；</w:t>
            </w:r>
          </w:p>
          <w:p w14:paraId="0ED9F4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提供的人员组织架构方案不科学完善、人员分工不明确合理、人员职责不清晰，得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分；</w:t>
            </w:r>
          </w:p>
          <w:p w14:paraId="6E816A67">
            <w:pPr>
              <w:snapToGrid w:val="0"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未提供不得分。</w:t>
            </w:r>
          </w:p>
        </w:tc>
      </w:tr>
      <w:tr w14:paraId="6C9B5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846" w:type="dxa"/>
            <w:vAlign w:val="center"/>
          </w:tcPr>
          <w:p w14:paraId="5182159C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E5DBB2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保障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措施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50AE3C">
            <w:pPr>
              <w:spacing w:line="36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5109" w:type="dxa"/>
            <w:shd w:val="clear" w:color="auto" w:fill="auto"/>
            <w:vAlign w:val="center"/>
          </w:tcPr>
          <w:p w14:paraId="7C4CE391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根据各投标人提供的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保障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措施方案（包括但不限于①质量保证措施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②进度控制措施；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③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风险措施等）进行评审：</w:t>
            </w:r>
          </w:p>
          <w:p w14:paraId="47E7ACCD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1、方案中每提供一项上述内容得1分，最高得3分；</w:t>
            </w:r>
          </w:p>
          <w:p w14:paraId="3B03F412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2、在此基础上对方案具体内容进行评审：</w:t>
            </w:r>
          </w:p>
          <w:p w14:paraId="16640955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（1）有详细、周全的质量保证措施、进度控制措施和风险措施，措施合理、操作性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强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的，得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2E633315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（2）质量保证措施、进度控制措施和风险措施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齐全和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完善，措施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合理、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操作性的，得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3EA9209A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（3）质量保证措施、进度控制措施和风险措施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不够完善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不具有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操作性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的，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分；</w:t>
            </w:r>
          </w:p>
          <w:p w14:paraId="63EAE74B">
            <w:pPr>
              <w:spacing w:line="36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（4）未提供或其他情况，不得分。</w:t>
            </w:r>
          </w:p>
        </w:tc>
      </w:tr>
      <w:bookmarkEnd w:id="0"/>
    </w:tbl>
    <w:p w14:paraId="2FC3315A">
      <w:pPr>
        <w:rPr>
          <w:rFonts w:hint="eastAsia" w:ascii="宋体" w:hAnsi="宋体" w:cs="宋体"/>
          <w:bCs/>
          <w:sz w:val="24"/>
          <w:szCs w:val="24"/>
        </w:rPr>
      </w:pPr>
    </w:p>
    <w:p w14:paraId="676BC899">
      <w:pPr>
        <w:rPr>
          <w:rFonts w:hint="eastAsia" w:ascii="宋体" w:hAnsi="宋体" w:cs="宋体"/>
          <w:bCs/>
          <w:sz w:val="24"/>
          <w:szCs w:val="24"/>
        </w:rPr>
      </w:pPr>
    </w:p>
    <w:p w14:paraId="68A80A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9174E"/>
    <w:rsid w:val="0FCC69C1"/>
    <w:rsid w:val="1B3C158C"/>
    <w:rsid w:val="2541365B"/>
    <w:rsid w:val="2C4E41E4"/>
    <w:rsid w:val="2F432A92"/>
    <w:rsid w:val="30332322"/>
    <w:rsid w:val="3044003E"/>
    <w:rsid w:val="429617A9"/>
    <w:rsid w:val="6DAD7761"/>
    <w:rsid w:val="7325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cs="宋体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2099</Words>
  <Characters>2114</Characters>
  <Lines>0</Lines>
  <Paragraphs>0</Paragraphs>
  <TotalTime>13</TotalTime>
  <ScaleCrop>false</ScaleCrop>
  <LinksUpToDate>false</LinksUpToDate>
  <CharactersWithSpaces>2119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2025-02-13T03:24:00Z</dcterms:created>
  <dc:creator>lvyb</dc:creator>
  <cp:lastModifiedBy>玲℃</cp:lastModifiedBy>
  <dcterms:modified xsi:type="dcterms:W3CDTF">2026-04-30T02:37:51Z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275ABA59085A454CBE4E51809DBEE62E_13</vt:lpwstr>
  </property>
  <property fmtid="{D5CDD505-2E9C-101B-9397-08002B2CF9AE}" pid="4" name="KSOTemplateDocerSaveRecord">
    <vt:lpwstr>eyJoZGlkIjoiODNhZGUxMGZhNzBlNmE1ZjhlMTk0MGQxM2FhMjI4MWMiLCJ1c2VySWQiOiI2OTYzMjAxOTUifQ==</vt:lpwstr>
  </property>
</Properties>
</file>