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FD178">
      <w:pPr>
        <w:widowControl w:val="0"/>
        <w:kinsoku/>
        <w:autoSpaceDE/>
        <w:autoSpaceDN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bCs/>
          <w:snapToGrid/>
          <w:color w:val="000000"/>
          <w:kern w:val="2"/>
          <w:sz w:val="44"/>
          <w:szCs w:val="44"/>
          <w:lang w:eastAsia="zh-CN"/>
        </w:rPr>
      </w:pPr>
    </w:p>
    <w:p w14:paraId="312434C9">
      <w:pPr>
        <w:pStyle w:val="2"/>
        <w:rPr>
          <w:rFonts w:hint="eastAsia"/>
          <w:lang w:eastAsia="zh-CN"/>
        </w:rPr>
      </w:pPr>
      <w:bookmarkStart w:id="0" w:name="_GoBack"/>
      <w:bookmarkEnd w:id="0"/>
    </w:p>
    <w:p w14:paraId="7D0720B2">
      <w:pPr>
        <w:widowControl w:val="0"/>
        <w:kinsoku/>
        <w:autoSpaceDE/>
        <w:autoSpaceDN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napToGrid/>
          <w:color w:val="000000"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napToGrid/>
          <w:color w:val="000000"/>
          <w:kern w:val="2"/>
          <w:sz w:val="44"/>
          <w:szCs w:val="44"/>
          <w:lang w:eastAsia="zh-CN"/>
        </w:rPr>
        <w:t>韶关市浈江区自然资源局关于国道G323线仁化丹霞出口至小观园段公路改建工程</w:t>
      </w:r>
    </w:p>
    <w:p w14:paraId="5E7D0AAB">
      <w:pPr>
        <w:widowControl w:val="0"/>
        <w:kinsoku/>
        <w:autoSpaceDE/>
        <w:autoSpaceDN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napToGrid/>
          <w:color w:val="000000"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napToGrid/>
          <w:color w:val="000000"/>
          <w:kern w:val="2"/>
          <w:sz w:val="44"/>
          <w:szCs w:val="44"/>
          <w:lang w:eastAsia="zh-CN"/>
        </w:rPr>
        <w:t>（浈江段）</w:t>
      </w:r>
      <w:r>
        <w:rPr>
          <w:rFonts w:hint="eastAsia" w:ascii="方正小标宋简体" w:hAnsi="方正小标宋简体" w:eastAsia="方正小标宋简体" w:cs="方正小标宋简体"/>
          <w:bCs/>
          <w:snapToGrid/>
          <w:color w:val="000000"/>
          <w:kern w:val="2"/>
          <w:sz w:val="44"/>
          <w:szCs w:val="44"/>
          <w:lang w:val="en-US"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bCs/>
          <w:snapToGrid/>
          <w:color w:val="000000"/>
          <w:kern w:val="2"/>
          <w:sz w:val="44"/>
          <w:szCs w:val="44"/>
          <w:lang w:eastAsia="zh-CN"/>
        </w:rPr>
        <w:t>征地补偿安置</w:t>
      </w:r>
    </w:p>
    <w:p w14:paraId="1D532F14">
      <w:pPr>
        <w:widowControl w:val="0"/>
        <w:kinsoku/>
        <w:autoSpaceDE/>
        <w:autoSpaceDN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napToGrid/>
          <w:color w:val="000000"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napToGrid/>
          <w:color w:val="000000"/>
          <w:kern w:val="2"/>
          <w:sz w:val="44"/>
          <w:szCs w:val="44"/>
          <w:lang w:eastAsia="zh-CN"/>
        </w:rPr>
        <w:t>方案的公告</w:t>
      </w:r>
    </w:p>
    <w:p w14:paraId="54B1CBD0">
      <w:pPr>
        <w:spacing w:line="460" w:lineRule="auto"/>
        <w:rPr>
          <w:rFonts w:ascii="Arial"/>
          <w:sz w:val="21"/>
        </w:rPr>
      </w:pPr>
    </w:p>
    <w:p w14:paraId="0DEA670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 w:themeColor="text1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napToGrid/>
          <w:color w:val="000000" w:themeColor="text1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国道G323线仁化丹霞出口至小观园段公路改建工程（浈江段）已经广东省人民政府</w:t>
      </w:r>
      <w:r>
        <w:rPr>
          <w:rFonts w:hint="eastAsia" w:ascii="仿宋_GB2312" w:hAnsi="宋体" w:eastAsia="仿宋_GB2312" w:cs="仿宋_GB2312"/>
          <w:snapToGrid/>
          <w:color w:val="000000" w:themeColor="text1"/>
          <w:kern w:val="0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粤府土审（</w:t>
      </w:r>
      <w:r>
        <w:rPr>
          <w:rFonts w:hint="eastAsia" w:ascii="仿宋_GB2312" w:hAnsi="宋体" w:eastAsia="仿宋_GB2312" w:cs="仿宋_GB2312"/>
          <w:snapToGrid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授</w:t>
      </w:r>
      <w:r>
        <w:rPr>
          <w:rFonts w:hint="eastAsia" w:ascii="仿宋_GB2312" w:hAnsi="宋体" w:eastAsia="仿宋_GB2312" w:cs="仿宋_GB2312"/>
          <w:snapToGrid/>
          <w:color w:val="000000" w:themeColor="text1"/>
          <w:kern w:val="0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）(07)〔202</w:t>
      </w:r>
      <w:r>
        <w:rPr>
          <w:rFonts w:hint="eastAsia" w:ascii="仿宋_GB2312" w:hAnsi="宋体" w:eastAsia="仿宋_GB2312" w:cs="仿宋_GB2312"/>
          <w:snapToGrid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宋体" w:eastAsia="仿宋_GB2312" w:cs="仿宋_GB2312"/>
          <w:snapToGrid/>
          <w:color w:val="000000" w:themeColor="text1"/>
          <w:kern w:val="0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仿宋_GB2312" w:hAnsi="宋体" w:eastAsia="仿宋_GB2312" w:cs="仿宋_GB2312"/>
          <w:snapToGrid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194</w:t>
      </w:r>
      <w:r>
        <w:rPr>
          <w:rFonts w:hint="eastAsia" w:ascii="仿宋_GB2312" w:hAnsi="宋体" w:eastAsia="仿宋_GB2312" w:cs="仿宋_GB2312"/>
          <w:snapToGrid/>
          <w:color w:val="000000" w:themeColor="text1"/>
          <w:kern w:val="0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号文</w:t>
      </w:r>
      <w:r>
        <w:rPr>
          <w:rFonts w:hint="eastAsia" w:ascii="仿宋_GB2312" w:hAnsi="仿宋_GB2312" w:eastAsia="仿宋_GB2312" w:cs="仿宋_GB2312"/>
          <w:snapToGrid/>
          <w:color w:val="000000" w:themeColor="text1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批准，经韶关市人民政府同意，现将征地补偿安置事项公告如下：</w:t>
      </w:r>
    </w:p>
    <w:p w14:paraId="7F2CA623">
      <w:pPr>
        <w:keepNext w:val="0"/>
        <w:keepLines w:val="0"/>
        <w:pageBreakBefore w:val="0"/>
        <w:wordWrap/>
        <w:overflowPunct/>
        <w:topLinePunct w:val="0"/>
        <w:bidi w:val="0"/>
        <w:spacing w:before="79" w:line="360" w:lineRule="auto"/>
        <w:ind w:firstLine="635" w:firstLineChars="200"/>
        <w:outlineLvl w:val="0"/>
        <w:rPr>
          <w:rFonts w:hint="eastAsia" w:ascii="黑体" w:hAnsi="黑体" w:eastAsia="黑体" w:cs="黑体"/>
          <w:b/>
          <w:bCs/>
          <w:snapToGrid w:val="0"/>
          <w:color w:val="000000"/>
          <w:spacing w:val="-2"/>
          <w:kern w:val="0"/>
          <w:sz w:val="32"/>
          <w:szCs w:val="32"/>
          <w:lang w:val="en-US" w:eastAsia="en-US" w:bidi="ar-SA"/>
        </w:rPr>
      </w:pPr>
      <w:r>
        <w:rPr>
          <w:rFonts w:hint="eastAsia" w:ascii="黑体" w:hAnsi="黑体" w:eastAsia="黑体" w:cs="黑体"/>
          <w:b/>
          <w:bCs/>
          <w:snapToGrid w:val="0"/>
          <w:color w:val="000000"/>
          <w:spacing w:val="-2"/>
          <w:kern w:val="0"/>
          <w:sz w:val="32"/>
          <w:szCs w:val="32"/>
          <w:lang w:val="en-US" w:eastAsia="en-US" w:bidi="ar-SA"/>
        </w:rPr>
        <w:t>一、被征地村组(单位)及面积</w:t>
      </w:r>
    </w:p>
    <w:p w14:paraId="5BC421E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国道G323线仁化丹霞出口至小观园段公路改建工程（浈江段）项目拟征收韶关市浈江区十里亭镇湾头第一经济合作社，韶关市浈江区十里亭镇湾头第三经济合作社，韶关市浈江区十里亭镇湾头第四经济合作社/韶关市浈江区十里亭镇湾头第十经济合作社，韶关市浈江区十里亭镇湾头第五经济合作社，韶关市浈江区十里亭镇湾头第六经济合作社，韶关市浈江区十里亭镇湾头第七经济合作社，韶关市浈江区十里亭镇湾头第八经济合作社，韶关市浈江区十里亭镇湾头第九经济合作社，韶关市浈江区十里亭镇湾头第十一经济合作社，韶关市浈江区十里亭镇湾头经济联合社，韶关市浈江区新韶镇水口村水塘1组经济合作社，韶关市浈江区新韶镇水口村新村6组经济合作社，韶关市浈江区新韶镇水口村新留塘2组经济合作社，韶关市浈江区新韶镇水口村新留塘3组经济合作社，韶关市浈江区新韶镇水口村新留塘4组经济合作社，韶关市浈江区新韶镇水口村新留塘2组经济合作社/韶关市浈江区新韶镇水口村新留塘3组经济合作社/韶关市浈江区新韶镇水口村新留塘4组经济合作社属下的集体土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4.4764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公顷，其中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农用地</w:t>
      </w:r>
      <w:r>
        <w:rPr>
          <w:rFonts w:hint="eastAsia" w:ascii="仿宋_GB2312" w:hAnsi="宋体" w:eastAsia="仿宋_GB2312" w:cs="宋体"/>
          <w:bCs/>
          <w:sz w:val="32"/>
          <w:szCs w:val="32"/>
          <w:lang w:val="zh-CN"/>
        </w:rPr>
        <w:t>4.1462公顷（耕地0.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>8228</w:t>
      </w:r>
      <w:r>
        <w:rPr>
          <w:rFonts w:hint="eastAsia" w:ascii="仿宋_GB2312" w:hAnsi="宋体" w:eastAsia="仿宋_GB2312" w:cs="宋体"/>
          <w:bCs/>
          <w:sz w:val="32"/>
          <w:szCs w:val="32"/>
          <w:lang w:val="zh-CN"/>
        </w:rPr>
        <w:t>公顷、园地0.1931公顷、林地1.6330公顷、草地0.3888公顷、养殖水面0.9864公顷、其他农用地（不含养殖水面）0.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>1221</w:t>
      </w:r>
      <w:r>
        <w:rPr>
          <w:rFonts w:hint="eastAsia" w:ascii="仿宋_GB2312" w:hAnsi="宋体" w:eastAsia="仿宋_GB2312" w:cs="宋体"/>
          <w:bCs/>
          <w:sz w:val="32"/>
          <w:szCs w:val="32"/>
          <w:lang w:val="zh-CN"/>
        </w:rPr>
        <w:t>公顷）、建设用地0.3241公顷、未利用地0.0061公顷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。</w:t>
      </w:r>
    </w:p>
    <w:p w14:paraId="689A4D80">
      <w:pPr>
        <w:keepNext w:val="0"/>
        <w:keepLines w:val="0"/>
        <w:pageBreakBefore w:val="0"/>
        <w:wordWrap/>
        <w:overflowPunct/>
        <w:topLinePunct w:val="0"/>
        <w:bidi w:val="0"/>
        <w:spacing w:before="79" w:line="360" w:lineRule="auto"/>
        <w:ind w:firstLine="635" w:firstLineChars="200"/>
        <w:outlineLvl w:val="0"/>
        <w:rPr>
          <w:rFonts w:hint="eastAsia" w:ascii="黑体" w:hAnsi="黑体" w:eastAsia="黑体" w:cs="黑体"/>
          <w:b/>
          <w:bCs/>
          <w:snapToGrid w:val="0"/>
          <w:color w:val="000000"/>
          <w:spacing w:val="-2"/>
          <w:kern w:val="0"/>
          <w:sz w:val="32"/>
          <w:szCs w:val="32"/>
          <w:lang w:val="en-US" w:eastAsia="en-US" w:bidi="ar-SA"/>
        </w:rPr>
      </w:pPr>
      <w:r>
        <w:rPr>
          <w:rFonts w:hint="eastAsia" w:ascii="黑体" w:hAnsi="黑体" w:eastAsia="黑体" w:cs="黑体"/>
          <w:b/>
          <w:bCs/>
          <w:snapToGrid w:val="0"/>
          <w:color w:val="000000"/>
          <w:spacing w:val="-2"/>
          <w:kern w:val="0"/>
          <w:sz w:val="32"/>
          <w:szCs w:val="32"/>
          <w:lang w:val="en-US" w:eastAsia="en-US" w:bidi="ar-SA"/>
        </w:rPr>
        <w:t>二、补偿标准</w:t>
      </w:r>
    </w:p>
    <w:p w14:paraId="1F1F9BB9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根据《中华人民共和国土地管理法》、《广东省土地管理条例》、《中华人民共和国土地管理法实施条例》、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highlight w:val="none"/>
          <w:lang w:eastAsia="zh-CN"/>
        </w:rPr>
        <w:t>《广东省自然资源厅关于韶关市征收农用地区片综合地价成果的批复》（粤自然资函〔2024〕109号）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和《韶关市人民政府办公室关于印发韶关市浈江区、武江区集体土地征地拆迁补偿标准的通知》(韶府办〔2016〕76号)文件精神，土地补偿费及安置补助费的标准如下：</w:t>
      </w:r>
    </w:p>
    <w:p w14:paraId="23EF22FC">
      <w:pP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br w:type="page"/>
      </w:r>
    </w:p>
    <w:tbl>
      <w:tblPr>
        <w:tblStyle w:val="6"/>
        <w:tblW w:w="979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0"/>
        <w:gridCol w:w="1142"/>
        <w:gridCol w:w="679"/>
        <w:gridCol w:w="296"/>
        <w:gridCol w:w="966"/>
        <w:gridCol w:w="984"/>
        <w:gridCol w:w="379"/>
        <w:gridCol w:w="675"/>
        <w:gridCol w:w="1068"/>
        <w:gridCol w:w="1257"/>
      </w:tblGrid>
      <w:tr w14:paraId="732DDA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796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0118F7">
            <w:pPr>
              <w:widowControl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单位：公顷、万元</w:t>
            </w:r>
          </w:p>
        </w:tc>
      </w:tr>
      <w:tr w14:paraId="47CC50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3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D20DEC">
            <w:pPr>
              <w:widowControl/>
              <w:jc w:val="center"/>
              <w:textAlignment w:val="center"/>
              <w:rPr>
                <w:rFonts w:hint="eastAsia" w:ascii="仿宋_GB2312" w:hAnsi="黑体" w:eastAsia="仿宋_GB2312" w:cs="黑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11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8BF5B8">
            <w:pPr>
              <w:widowControl/>
              <w:jc w:val="center"/>
              <w:textAlignment w:val="center"/>
              <w:rPr>
                <w:rFonts w:hint="eastAsia" w:ascii="仿宋_GB2312" w:hAnsi="黑体" w:eastAsia="仿宋_GB2312" w:cs="黑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0"/>
                <w:sz w:val="22"/>
                <w:szCs w:val="22"/>
                <w:lang w:bidi="ar"/>
              </w:rPr>
              <w:t>土地类别</w:t>
            </w:r>
          </w:p>
        </w:tc>
        <w:tc>
          <w:tcPr>
            <w:tcW w:w="97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DD1830">
            <w:pPr>
              <w:widowControl/>
              <w:jc w:val="center"/>
              <w:textAlignment w:val="center"/>
              <w:rPr>
                <w:rFonts w:hint="eastAsia" w:ascii="仿宋_GB2312" w:hAnsi="黑体" w:eastAsia="仿宋_GB2312" w:cs="黑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0"/>
                <w:sz w:val="22"/>
                <w:szCs w:val="22"/>
                <w:lang w:bidi="ar"/>
              </w:rPr>
              <w:t>面积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DE5D51">
            <w:pPr>
              <w:widowControl/>
              <w:jc w:val="center"/>
              <w:textAlignment w:val="center"/>
              <w:rPr>
                <w:rFonts w:hint="eastAsia" w:ascii="仿宋_GB2312" w:hAnsi="黑体" w:eastAsia="仿宋_GB2312" w:cs="黑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0"/>
                <w:sz w:val="22"/>
                <w:szCs w:val="22"/>
                <w:lang w:bidi="ar"/>
              </w:rPr>
              <w:t>土地补偿费</w:t>
            </w:r>
          </w:p>
        </w:tc>
        <w:tc>
          <w:tcPr>
            <w:tcW w:w="2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83B545">
            <w:pPr>
              <w:widowControl/>
              <w:jc w:val="center"/>
              <w:textAlignment w:val="center"/>
              <w:rPr>
                <w:rFonts w:hint="eastAsia" w:ascii="仿宋_GB2312" w:hAnsi="黑体" w:eastAsia="仿宋_GB2312" w:cs="黑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0"/>
                <w:sz w:val="22"/>
                <w:szCs w:val="22"/>
                <w:lang w:bidi="ar"/>
              </w:rPr>
              <w:t>安置补助费</w:t>
            </w:r>
          </w:p>
        </w:tc>
        <w:tc>
          <w:tcPr>
            <w:tcW w:w="1257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16C73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0"/>
                <w:sz w:val="22"/>
                <w:szCs w:val="22"/>
                <w:lang w:bidi="ar"/>
              </w:rPr>
              <w:t>小计</w:t>
            </w:r>
          </w:p>
        </w:tc>
      </w:tr>
      <w:tr w14:paraId="7F26CE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2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E78624">
            <w:pPr>
              <w:jc w:val="center"/>
              <w:rPr>
                <w:rFonts w:hint="eastAsia" w:ascii="仿宋_GB2312" w:hAnsi="黑体" w:eastAsia="仿宋_GB2312" w:cs="黑体"/>
                <w:color w:val="000000"/>
                <w:sz w:val="22"/>
                <w:szCs w:val="22"/>
              </w:rPr>
            </w:pPr>
          </w:p>
        </w:tc>
        <w:tc>
          <w:tcPr>
            <w:tcW w:w="11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3248B6">
            <w:pPr>
              <w:jc w:val="center"/>
              <w:rPr>
                <w:rFonts w:hint="eastAsia" w:ascii="仿宋_GB2312" w:hAnsi="黑体" w:eastAsia="仿宋_GB2312" w:cs="黑体"/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8114C4">
            <w:pPr>
              <w:jc w:val="center"/>
              <w:rPr>
                <w:rFonts w:hint="eastAsia" w:ascii="仿宋_GB2312" w:hAnsi="黑体" w:eastAsia="仿宋_GB2312" w:cs="黑体"/>
                <w:color w:val="000000"/>
                <w:sz w:val="22"/>
                <w:szCs w:val="22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302D2D">
            <w:pPr>
              <w:widowControl/>
              <w:jc w:val="center"/>
              <w:textAlignment w:val="center"/>
              <w:rPr>
                <w:rFonts w:hint="eastAsia" w:ascii="仿宋_GB2312" w:hAnsi="黑体" w:eastAsia="仿宋_GB2312" w:cs="黑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0"/>
                <w:sz w:val="22"/>
                <w:szCs w:val="22"/>
                <w:lang w:bidi="ar"/>
              </w:rPr>
              <w:t>补偿标准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76D776">
            <w:pPr>
              <w:widowControl/>
              <w:jc w:val="center"/>
              <w:textAlignment w:val="center"/>
              <w:rPr>
                <w:rFonts w:hint="eastAsia" w:ascii="仿宋_GB2312" w:hAnsi="黑体" w:eastAsia="仿宋_GB2312" w:cs="黑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0"/>
                <w:sz w:val="22"/>
                <w:szCs w:val="22"/>
                <w:lang w:bidi="ar"/>
              </w:rPr>
              <w:t>补偿金额</w:t>
            </w: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61FCC3">
            <w:pPr>
              <w:widowControl/>
              <w:jc w:val="center"/>
              <w:textAlignment w:val="center"/>
              <w:rPr>
                <w:rFonts w:hint="eastAsia" w:ascii="仿宋_GB2312" w:hAnsi="黑体" w:eastAsia="仿宋_GB2312" w:cs="黑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0"/>
                <w:sz w:val="22"/>
                <w:szCs w:val="22"/>
                <w:lang w:bidi="ar"/>
              </w:rPr>
              <w:t>补偿标准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506E4B">
            <w:pPr>
              <w:widowControl/>
              <w:jc w:val="center"/>
              <w:textAlignment w:val="center"/>
              <w:rPr>
                <w:rFonts w:hint="eastAsia" w:ascii="仿宋_GB2312" w:hAnsi="黑体" w:eastAsia="仿宋_GB2312" w:cs="黑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0"/>
                <w:sz w:val="22"/>
                <w:szCs w:val="22"/>
                <w:lang w:bidi="ar"/>
              </w:rPr>
              <w:t>补偿金额</w:t>
            </w:r>
          </w:p>
        </w:tc>
        <w:tc>
          <w:tcPr>
            <w:tcW w:w="1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5AE4F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 w14:paraId="17DCBB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23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0F253A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韶关市浈江区十里亭镇湾头第一经济合作社，韶关市浈江区十里亭镇湾头第三经济合作社，韶关市浈江区十里亭镇湾头第四经济合作社/韶关市浈江区十里亭镇湾头第十经济合作社，韶关市浈江区十里亭镇湾头第五经济合作社，韶关市浈江区十里亭镇湾头第六经济合作社，韶关市浈江区十里亭镇湾头第七经济合作社，韶关市浈江区十里亭镇湾头第八经济合作社，韶关市浈江区十里亭镇湾头第九经济合作社，韶关市浈江区十里亭镇湾头第十一经济合作社，韶关市浈江区十里亭镇湾头经济联合社，韶关市浈江区新韶镇水口村水塘1组经济合作社，韶关市浈江区新韶镇水口村新村6组经济合作社，韶关市浈江区新韶镇水口村新留塘2组经济合作社，韶关市浈江区新韶镇水口村新留塘3组经济合作社，韶关市浈江区新韶镇水口村新留塘4组经济合作社，韶关市浈江区新韶镇水口村新留塘2组经济合作社/韶关市浈江区新韶镇水口村新留塘3组经济合作社/韶关市浈江区新韶镇水口村新留塘4组经济合作社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1B2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耕地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C41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0.8228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559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48.45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593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39.8647</w:t>
            </w: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F45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48.6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C8E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39.9881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479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79.8528</w:t>
            </w:r>
          </w:p>
        </w:tc>
      </w:tr>
      <w:tr w14:paraId="4E9C19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AE5E91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FF3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园地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53F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0.1931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335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36.3375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67F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7.0168</w:t>
            </w: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27D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36.45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82C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7.0385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2FD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14.0553</w:t>
            </w:r>
          </w:p>
        </w:tc>
      </w:tr>
      <w:tr w14:paraId="4843E6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2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048B9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0E2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林地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F82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1.633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C34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21.8025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FEE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35.6035</w:t>
            </w: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0E6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21.87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850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35.7137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E7E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71.3172</w:t>
            </w:r>
          </w:p>
        </w:tc>
      </w:tr>
      <w:tr w14:paraId="5C3D6F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2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C9460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FED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草地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C8C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0.3888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0C9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21.8025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7B1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8.4768</w:t>
            </w: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A4E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21.87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44F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8.5031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E73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16.9799</w:t>
            </w:r>
          </w:p>
        </w:tc>
      </w:tr>
      <w:tr w14:paraId="7EDC6E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2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2D7B6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96C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养殖水面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8AC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0.9864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E9C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48.45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E24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47.7911</w:t>
            </w: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27E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48.6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6D2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47.939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EAE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95.7301</w:t>
            </w:r>
          </w:p>
        </w:tc>
      </w:tr>
      <w:tr w14:paraId="285B17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2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FEF55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A98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其他农用地（不含养殖水面）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230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0.1221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12B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21.8025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527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2.6621</w:t>
            </w: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43E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21.87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3AC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2.6703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6F7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5.3324</w:t>
            </w:r>
          </w:p>
        </w:tc>
      </w:tr>
      <w:tr w14:paraId="0E0CB3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2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FDC15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4E53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建设用地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63C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0.3241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584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48.45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468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15.7026</w:t>
            </w: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4D7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48.6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A0A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15.7513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F57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31.4539</w:t>
            </w:r>
          </w:p>
        </w:tc>
      </w:tr>
      <w:tr w14:paraId="7F4C61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2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D5D1D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AF2E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未利用地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CEE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0.0061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B67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19.38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5FF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0.1182</w:t>
            </w: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2F8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19.44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60D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0.1186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E1E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0.2368</w:t>
            </w:r>
          </w:p>
        </w:tc>
      </w:tr>
      <w:tr w14:paraId="7A56CE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184D3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AC9BE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土地补偿费与安置补助费</w:t>
            </w:r>
          </w:p>
        </w:tc>
        <w:tc>
          <w:tcPr>
            <w:tcW w:w="26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3A2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314.9584</w:t>
            </w:r>
          </w:p>
        </w:tc>
        <w:tc>
          <w:tcPr>
            <w:tcW w:w="3000" w:type="dxa"/>
            <w:gridSpan w:val="3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06F205"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补偿方式为货币，土地补偿费补偿支付对象为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韶关市浈江区十里亭镇湾头第一经济合作社，韶关市浈江区十里亭镇湾头第三经济合作社，韶关市浈江区十里亭镇湾头第四经济合作社/韶关市浈江区十里亭镇湾头第十经济合作社，韶关市浈江区十里亭镇湾头第五经济合作社，韶关市浈江区十里亭镇湾头第六经济合作社，韶关市浈江区十里亭镇湾头第七经济合作社，韶关市浈江区十里亭镇湾头第八经济合作社，韶关市浈江区十里亭镇湾头第九经济合作社，韶关市浈江区十里亭镇湾头第十一经济合作社，韶关市浈江区十里亭镇湾头经济联合社，韶关市浈江区新韶镇水口村水塘1组经济合作社，韶关市浈江区新韶镇水口村新村6组经济合作社，韶关市浈江区新韶镇水口村新留塘2组经济合作社，韶关市浈江区新韶镇水口村新留塘3组经济合作社，韶关市浈江区新韶镇水口村新留塘4组经济合作社，韶关市浈江区新韶镇水口村新留塘2组经济合作社/韶关市浈江区新韶镇水口村新留塘3组经济合作社/韶关市浈江区新韶镇水口村新留塘4组经济合作社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，其余补偿费用由被征地村委或村小组转付需安置补偿对象。</w:t>
            </w:r>
          </w:p>
        </w:tc>
      </w:tr>
      <w:tr w14:paraId="36B2AD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2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0790A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02293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青苗补偿费</w:t>
            </w:r>
          </w:p>
        </w:tc>
        <w:tc>
          <w:tcPr>
            <w:tcW w:w="26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F0E3CC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青苗补偿以实际清点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为准</w:t>
            </w:r>
          </w:p>
        </w:tc>
        <w:tc>
          <w:tcPr>
            <w:tcW w:w="3000" w:type="dxa"/>
            <w:gridSpan w:val="3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F94B0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 w14:paraId="7F5EE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E00E4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AD1C4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地上附着物补偿</w:t>
            </w:r>
          </w:p>
        </w:tc>
        <w:tc>
          <w:tcPr>
            <w:tcW w:w="26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47C092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经现场踏勘，该项目用地无地上附着物，不涉及地上附着物补偿</w:t>
            </w:r>
          </w:p>
        </w:tc>
        <w:tc>
          <w:tcPr>
            <w:tcW w:w="3000" w:type="dxa"/>
            <w:gridSpan w:val="3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F0776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 w14:paraId="15B7EA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2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4DB1F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ED920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以上土地面积合计</w:t>
            </w:r>
          </w:p>
        </w:tc>
        <w:tc>
          <w:tcPr>
            <w:tcW w:w="26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4764B0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4.4764</w:t>
            </w:r>
          </w:p>
        </w:tc>
        <w:tc>
          <w:tcPr>
            <w:tcW w:w="3000" w:type="dxa"/>
            <w:gridSpan w:val="3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6DE94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 w14:paraId="7604A9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2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88871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AF684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以上补偿金额合计</w:t>
            </w:r>
          </w:p>
        </w:tc>
        <w:tc>
          <w:tcPr>
            <w:tcW w:w="26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819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314.9584</w:t>
            </w:r>
          </w:p>
        </w:tc>
        <w:tc>
          <w:tcPr>
            <w:tcW w:w="3000" w:type="dxa"/>
            <w:gridSpan w:val="3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8FC08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</w:tbl>
    <w:p w14:paraId="7602826C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1" w:line="360" w:lineRule="auto"/>
        <w:ind w:firstLine="635" w:firstLineChars="200"/>
        <w:textAlignment w:val="baseline"/>
        <w:outlineLvl w:val="1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-2"/>
          <w:sz w:val="32"/>
          <w:szCs w:val="32"/>
        </w:rPr>
        <w:t>三、安置情况说明</w:t>
      </w:r>
    </w:p>
    <w:p w14:paraId="5A602FA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(一)将安置补助款足额支付给土地承包者；</w:t>
      </w:r>
    </w:p>
    <w:p w14:paraId="5BACFE0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(二)根据《韶关市人民政府办公室关于加强韶关市浈江区、武江区征收农村集体土地留用地安置管理工作的意见》(韶府办〔2016〕82号)精神，在建设用地批准后按征地面积15%的比例以折算货币方式进行留用地安置。</w:t>
      </w:r>
    </w:p>
    <w:p w14:paraId="3F8355C9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1" w:line="360" w:lineRule="auto"/>
        <w:ind w:firstLine="635" w:firstLineChars="200"/>
        <w:textAlignment w:val="baseline"/>
        <w:outlineLvl w:val="1"/>
        <w:rPr>
          <w:rFonts w:hint="eastAsia" w:ascii="黑体" w:hAnsi="黑体" w:eastAsia="黑体" w:cs="黑体"/>
          <w:b/>
          <w:bCs/>
          <w:spacing w:val="-2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-2"/>
          <w:sz w:val="32"/>
          <w:szCs w:val="32"/>
        </w:rPr>
        <w:t>四、对违章建筑物和超过批准使用期限的临时建筑物不作补偿。</w:t>
      </w:r>
    </w:p>
    <w:p w14:paraId="585158B5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2" w:line="360" w:lineRule="auto"/>
        <w:ind w:firstLine="596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特此公告。</w:t>
      </w:r>
    </w:p>
    <w:p w14:paraId="3DCF7832">
      <w:pPr>
        <w:spacing w:line="271" w:lineRule="auto"/>
        <w:rPr>
          <w:rFonts w:ascii="Arial"/>
          <w:sz w:val="21"/>
        </w:rPr>
      </w:pPr>
    </w:p>
    <w:p w14:paraId="5EE0DCA3">
      <w:pPr>
        <w:spacing w:line="271" w:lineRule="auto"/>
        <w:rPr>
          <w:rFonts w:ascii="Arial"/>
          <w:sz w:val="21"/>
        </w:rPr>
      </w:pPr>
    </w:p>
    <w:p w14:paraId="22C2B835">
      <w:pPr>
        <w:spacing w:line="271" w:lineRule="auto"/>
        <w:rPr>
          <w:rFonts w:ascii="Arial"/>
          <w:sz w:val="21"/>
        </w:rPr>
      </w:pPr>
    </w:p>
    <w:p w14:paraId="62CA233F">
      <w:pPr>
        <w:pStyle w:val="4"/>
        <w:spacing w:before="104" w:line="222" w:lineRule="auto"/>
        <w:ind w:firstLine="5056" w:firstLineChars="1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韶关市浈江区自然资源局</w:t>
      </w:r>
    </w:p>
    <w:p w14:paraId="11723456">
      <w:pPr>
        <w:pStyle w:val="4"/>
        <w:spacing w:before="216" w:line="222" w:lineRule="auto"/>
        <w:ind w:firstLine="5538" w:firstLineChars="13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45"/>
          <w:w w:val="105"/>
          <w:sz w:val="32"/>
          <w:szCs w:val="32"/>
          <w:lang w:val="en-US" w:eastAsia="zh-CN"/>
        </w:rPr>
        <w:t>2025年10月9日</w:t>
      </w:r>
    </w:p>
    <w:sectPr>
      <w:footerReference r:id="rId5" w:type="default"/>
      <w:pgSz w:w="11900" w:h="16830"/>
      <w:pgMar w:top="2098" w:right="1474" w:bottom="1984" w:left="1587" w:header="0" w:footer="69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3B2F3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mRkZDZiYTE5MjQwOTI0Y2E5Njg2ZDc1YjJlY2JkMDMifQ=="/>
  </w:docVars>
  <w:rsids>
    <w:rsidRoot w:val="00000000"/>
    <w:rsid w:val="09F23FA5"/>
    <w:rsid w:val="1C4D782D"/>
    <w:rsid w:val="28AA5020"/>
    <w:rsid w:val="3D3F7C2D"/>
    <w:rsid w:val="3F291EAA"/>
    <w:rsid w:val="43BE451C"/>
    <w:rsid w:val="46506E63"/>
    <w:rsid w:val="4E683ECB"/>
    <w:rsid w:val="79D517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widowControl w:val="0"/>
      <w:ind w:firstLine="420" w:firstLineChars="200"/>
    </w:pPr>
    <w:rPr>
      <w:sz w:val="24"/>
    </w:r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8"/>
      <w:szCs w:val="38"/>
      <w:lang w:val="en-US" w:eastAsia="en-US" w:bidi="ar-SA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2059</Words>
  <Characters>2406</Characters>
  <TotalTime>8</TotalTime>
  <ScaleCrop>false</ScaleCrop>
  <LinksUpToDate>false</LinksUpToDate>
  <CharactersWithSpaces>2406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2024-08-20T10:26:00Z</dcterms:created>
  <dc:creator>Kingsoft-PDF</dc:creator>
  <cp:lastModifiedBy>WPS_1567646321</cp:lastModifiedBy>
  <dcterms:modified xsi:type="dcterms:W3CDTF">2025-11-02T05:38:36Z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2024-08-20T10:26:41Z</vt:filetime>
  </property>
  <property fmtid="{D5CDD505-2E9C-101B-9397-08002B2CF9AE}" pid="4" name="UsrData">
    <vt:lpwstr>66c3fedf9cf694001f20b5e0wl</vt:lpwstr>
  </property>
  <property fmtid="{D5CDD505-2E9C-101B-9397-08002B2CF9AE}" pid="5" name="KSOProductBuildVer">
    <vt:lpwstr>2052-12.1.0.23125</vt:lpwstr>
  </property>
  <property fmtid="{D5CDD505-2E9C-101B-9397-08002B2CF9AE}" pid="6" name="ICV">
    <vt:lpwstr>C2F9EB9FF38244CEB7347EFDB90D5238_12</vt:lpwstr>
  </property>
  <property fmtid="{D5CDD505-2E9C-101B-9397-08002B2CF9AE}" pid="7" name="KSOTemplateDocerSaveRecord">
    <vt:lpwstr>eyJoZGlkIjoiZWZhMjNmMzZjODEzNjYxNDMzMjMzYWVjMDUyYjBjMGIiLCJ1c2VySWQiOiI2NTI1MjU5NjIifQ==</vt:lpwstr>
  </property>
</Properties>
</file>