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pacing w:before="0" w:line="360" w:lineRule="atLeast"/>
        <w:ind w:firstLine="630"/>
        <w:jc w:val="center"/>
        <w:rPr>
          <w:rFonts w:ascii="华文中宋" w:hAnsi="华文中宋" w:eastAsia="华文中宋" w:cs="华文中宋"/>
          <w:b w:val="0"/>
          <w:bCs w:val="0"/>
          <w:kern w:val="0"/>
          <w:sz w:val="36"/>
          <w:szCs w:val="36"/>
        </w:rPr>
      </w:pPr>
      <w:bookmarkStart w:id="0" w:name="a000"/>
    </w:p>
    <w:p>
      <w:pPr>
        <w:pStyle w:val="2"/>
        <w:keepNext w:val="0"/>
        <w:keepLines w:val="0"/>
        <w:widowControl/>
        <w:spacing w:before="0" w:line="360" w:lineRule="atLeast"/>
        <w:ind w:firstLine="630"/>
        <w:jc w:val="center"/>
        <w:rPr>
          <w:rFonts w:ascii="华文中宋" w:hAnsi="华文中宋" w:eastAsia="华文中宋" w:cs="华文中宋"/>
          <w:b w:val="0"/>
          <w:bCs w:val="0"/>
          <w:kern w:val="0"/>
          <w:sz w:val="36"/>
          <w:szCs w:val="36"/>
        </w:rPr>
      </w:pPr>
      <w:r>
        <w:rPr>
          <w:rFonts w:ascii="华文中宋" w:hAnsi="华文中宋" w:eastAsia="华文中宋" w:cs="华文中宋"/>
          <w:b w:val="0"/>
          <w:bCs w:val="0"/>
          <w:color w:val="auto"/>
          <w:kern w:val="36"/>
          <w:sz w:val="36"/>
          <w:szCs w:val="36"/>
        </w:rPr>
        <w:t>2023年度部门决算分析报告</w:t>
      </w:r>
    </w:p>
    <w:p>
      <w:pPr>
        <w:pStyle w:val="2"/>
        <w:keepNext w:val="0"/>
        <w:keepLines w:val="0"/>
        <w:widowControl/>
        <w:spacing w:before="0" w:line="360" w:lineRule="atLeast"/>
        <w:ind w:firstLine="630"/>
        <w:jc w:val="center"/>
        <w:rPr>
          <w:rFonts w:ascii="华文中宋" w:hAnsi="华文中宋" w:eastAsia="华文中宋" w:cs="华文中宋"/>
          <w:b w:val="0"/>
          <w:bCs w:val="0"/>
          <w:kern w:val="0"/>
          <w:sz w:val="36"/>
          <w:szCs w:val="36"/>
        </w:rPr>
      </w:pPr>
      <w:r>
        <w:rPr>
          <w:rFonts w:ascii="华文中宋" w:hAnsi="华文中宋" w:eastAsia="华文中宋" w:cs="华文中宋"/>
          <w:b w:val="0"/>
          <w:bCs w:val="0"/>
          <w:color w:val="auto"/>
          <w:kern w:val="36"/>
          <w:sz w:val="36"/>
          <w:szCs w:val="36"/>
        </w:rPr>
        <w:t>（</w:t>
      </w:r>
      <w:r>
        <w:rPr>
          <w:rFonts w:hint="eastAsia" w:ascii="华文中宋" w:hAnsi="华文中宋" w:eastAsia="华文中宋" w:cs="华文中宋"/>
          <w:b w:val="0"/>
          <w:bCs w:val="0"/>
          <w:color w:val="auto"/>
          <w:kern w:val="36"/>
          <w:sz w:val="36"/>
          <w:szCs w:val="36"/>
          <w:lang w:eastAsia="zh-CN"/>
        </w:rPr>
        <w:t>韶关市浈江区社会福利院</w:t>
      </w:r>
      <w:r>
        <w:rPr>
          <w:rFonts w:ascii="华文中宋" w:hAnsi="华文中宋" w:eastAsia="华文中宋" w:cs="华文中宋"/>
          <w:b w:val="0"/>
          <w:bCs w:val="0"/>
          <w:color w:val="auto"/>
          <w:kern w:val="36"/>
          <w:sz w:val="36"/>
          <w:szCs w:val="36"/>
        </w:rPr>
        <w:t>）</w:t>
      </w:r>
      <w:bookmarkStart w:id="1" w:name="_GoBack"/>
      <w:bookmarkEnd w:id="1"/>
    </w:p>
    <w:p>
      <w:pPr>
        <w:widowControl/>
        <w:spacing w:before="0" w:after="0" w:line="315" w:lineRule="atLeast"/>
        <w:ind w:firstLine="630"/>
        <w:jc w:val="left"/>
        <w:rPr>
          <w:rFonts w:ascii="仿宋" w:hAnsi="仿宋" w:eastAsia="仿宋" w:cs="仿宋"/>
          <w:kern w:val="0"/>
          <w:sz w:val="32"/>
          <w:szCs w:val="32"/>
        </w:rPr>
      </w:pPr>
    </w:p>
    <w:p>
      <w:pPr>
        <w:pStyle w:val="3"/>
        <w:keepNext w:val="0"/>
        <w:keepLines w:val="0"/>
        <w:widowControl/>
        <w:spacing w:before="0" w:line="315" w:lineRule="atLeast"/>
        <w:ind w:firstLine="630"/>
        <w:jc w:val="left"/>
        <w:rPr>
          <w:rFonts w:ascii="黑体" w:hAnsi="黑体" w:eastAsia="黑体" w:cs="黑体"/>
          <w:b w:val="0"/>
          <w:bCs w:val="0"/>
          <w:kern w:val="0"/>
          <w:sz w:val="32"/>
          <w:szCs w:val="32"/>
        </w:rPr>
      </w:pPr>
      <w:r>
        <w:rPr>
          <w:rFonts w:ascii="黑体" w:hAnsi="黑体" w:eastAsia="黑体" w:cs="黑体"/>
          <w:b w:val="0"/>
          <w:bCs w:val="0"/>
          <w:color w:val="auto"/>
          <w:kern w:val="0"/>
          <w:sz w:val="32"/>
          <w:szCs w:val="32"/>
        </w:rPr>
        <w:t>一、单位情况</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（一）基本情况。</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1．主要职能。</w:t>
      </w:r>
    </w:p>
    <w:p>
      <w:pPr>
        <w:widowControl/>
        <w:spacing w:before="0" w:after="0" w:line="315" w:lineRule="atLeast"/>
        <w:ind w:firstLine="630"/>
        <w:jc w:val="left"/>
        <w:rPr>
          <w:rFonts w:hint="eastAsia" w:ascii="仿宋" w:hAnsi="仿宋" w:eastAsia="仿宋" w:cs="仿宋"/>
          <w:kern w:val="0"/>
          <w:sz w:val="32"/>
          <w:szCs w:val="32"/>
        </w:rPr>
      </w:pPr>
      <w:r>
        <w:rPr>
          <w:rFonts w:hint="eastAsia" w:ascii="仿宋" w:hAnsi="仿宋" w:eastAsia="仿宋" w:cs="仿宋"/>
          <w:kern w:val="0"/>
          <w:sz w:val="32"/>
          <w:szCs w:val="32"/>
        </w:rPr>
        <w:t>（一）依照国家有关法律、法规，保障老年人、残疾人和孤儿的合法权益，面向社会开展托养业务，并按照《广东省社会救济条例》规定的精神，负责本区范围内：城市无依无靠、无劳动能力、无生活来源的孤寡老人、农村五保户老人、孤儿（含弃婴）、残疾人员的集中供养工作；</w:t>
      </w:r>
    </w:p>
    <w:p>
      <w:pPr>
        <w:widowControl/>
        <w:spacing w:before="0" w:after="0" w:line="315" w:lineRule="atLeast"/>
        <w:ind w:firstLine="630"/>
        <w:jc w:val="left"/>
        <w:rPr>
          <w:rFonts w:ascii="仿宋" w:hAnsi="仿宋" w:eastAsia="仿宋" w:cs="仿宋"/>
          <w:kern w:val="0"/>
          <w:sz w:val="32"/>
          <w:szCs w:val="32"/>
        </w:rPr>
      </w:pPr>
      <w:r>
        <w:rPr>
          <w:rFonts w:hint="eastAsia" w:ascii="仿宋" w:hAnsi="仿宋" w:eastAsia="仿宋" w:cs="仿宋"/>
          <w:kern w:val="0"/>
          <w:sz w:val="32"/>
          <w:szCs w:val="32"/>
        </w:rPr>
        <w:t>（二）面向社会提供托老服务、收养家庭无能力照顾的瘫痪老人、重残人员和痴呆患者。</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2．机构情况，本单位韶关市浈江区社会福利院</w:t>
      </w:r>
      <w:r>
        <w:rPr>
          <w:rFonts w:hint="eastAsia" w:ascii="仿宋" w:hAnsi="仿宋" w:eastAsia="仿宋" w:cs="仿宋"/>
          <w:kern w:val="0"/>
          <w:sz w:val="32"/>
          <w:szCs w:val="32"/>
        </w:rPr>
        <w:t>含下列内设机构：人秘和后勤保障股、护理和社会工作股。</w:t>
      </w:r>
    </w:p>
    <w:p>
      <w:pPr>
        <w:snapToGrid w:val="0"/>
        <w:spacing w:line="520" w:lineRule="exact"/>
        <w:ind w:firstLine="640" w:firstLineChars="200"/>
        <w:rPr>
          <w:rFonts w:hint="eastAsia" w:ascii="仿宋" w:hAnsi="仿宋" w:eastAsia="仿宋" w:cs="仿宋"/>
          <w:kern w:val="0"/>
          <w:sz w:val="32"/>
          <w:szCs w:val="32"/>
          <w:lang w:eastAsia="zh-CN"/>
        </w:rPr>
      </w:pPr>
      <w:r>
        <w:rPr>
          <w:rFonts w:ascii="仿宋" w:hAnsi="仿宋" w:eastAsia="仿宋" w:cs="仿宋"/>
          <w:kern w:val="0"/>
          <w:sz w:val="32"/>
          <w:szCs w:val="32"/>
        </w:rPr>
        <w:t>3．人员情况，本单位年末独立核算机构数1个，在职人员3人，离退休人员合计 3人，其中由养老保险基金发放养老金的3人，年末遗属人员0人，</w:t>
      </w:r>
      <w:r>
        <w:rPr>
          <w:rFonts w:hint="eastAsia" w:ascii="仿宋" w:hAnsi="仿宋" w:eastAsia="仿宋" w:cs="仿宋"/>
          <w:kern w:val="0"/>
          <w:sz w:val="32"/>
          <w:szCs w:val="32"/>
          <w:lang w:val="en-US" w:eastAsia="zh-CN"/>
        </w:rPr>
        <w:t>2023</w:t>
      </w:r>
      <w:r>
        <w:rPr>
          <w:rFonts w:hint="eastAsia" w:ascii="仿宋" w:hAnsi="仿宋" w:eastAsia="仿宋" w:cs="仿宋"/>
          <w:kern w:val="0"/>
          <w:sz w:val="32"/>
          <w:szCs w:val="32"/>
        </w:rPr>
        <w:t>年本单位年</w:t>
      </w:r>
      <w:r>
        <w:rPr>
          <w:rFonts w:hint="eastAsia" w:ascii="仿宋" w:hAnsi="仿宋" w:eastAsia="仿宋" w:cs="仿宋"/>
          <w:kern w:val="0"/>
          <w:sz w:val="32"/>
          <w:szCs w:val="32"/>
          <w:lang w:val="en-US" w:eastAsia="zh-CN"/>
        </w:rPr>
        <w:t>末</w:t>
      </w:r>
      <w:r>
        <w:rPr>
          <w:rFonts w:hint="eastAsia" w:ascii="仿宋" w:hAnsi="仿宋" w:eastAsia="仿宋" w:cs="仿宋"/>
          <w:kern w:val="0"/>
          <w:sz w:val="32"/>
          <w:szCs w:val="32"/>
        </w:rPr>
        <w:t>实有人数</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人</w:t>
      </w:r>
      <w:r>
        <w:rPr>
          <w:rFonts w:hint="eastAsia" w:ascii="仿宋" w:hAnsi="仿宋" w:eastAsia="仿宋" w:cs="仿宋"/>
          <w:kern w:val="0"/>
          <w:sz w:val="32"/>
          <w:szCs w:val="32"/>
          <w:lang w:eastAsia="zh-CN"/>
        </w:rPr>
        <w:t>。</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（二）当年取得的主要事业成效。</w:t>
      </w:r>
    </w:p>
    <w:p>
      <w:pPr>
        <w:snapToGrid w:val="0"/>
        <w:spacing w:line="520" w:lineRule="exact"/>
        <w:ind w:firstLine="640" w:firstLineChars="200"/>
        <w:rPr>
          <w:rFonts w:hint="eastAsia" w:ascii="仿宋" w:hAnsi="仿宋" w:eastAsia="仿宋" w:cs="仿宋"/>
          <w:kern w:val="0"/>
          <w:sz w:val="32"/>
          <w:szCs w:val="32"/>
          <w:lang w:val="zh-TW"/>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加强管理，为老人提供优质服务</w:t>
      </w:r>
      <w:r>
        <w:rPr>
          <w:rFonts w:hint="eastAsia" w:ascii="仿宋" w:hAnsi="仿宋" w:eastAsia="仿宋" w:cs="仿宋"/>
          <w:kern w:val="0"/>
          <w:sz w:val="32"/>
          <w:szCs w:val="32"/>
          <w:lang w:val="zh-TW"/>
        </w:rPr>
        <w:t>。</w:t>
      </w:r>
    </w:p>
    <w:p>
      <w:pPr>
        <w:snapToGrid w:val="0"/>
        <w:spacing w:line="520" w:lineRule="exact"/>
        <w:ind w:firstLine="640" w:firstLineChars="200"/>
        <w:rPr>
          <w:rFonts w:hint="eastAsia" w:ascii="仿宋" w:hAnsi="仿宋" w:eastAsia="仿宋" w:cs="仿宋"/>
          <w:kern w:val="0"/>
          <w:sz w:val="32"/>
          <w:szCs w:val="32"/>
          <w:lang w:val="zh-TW"/>
        </w:rPr>
      </w:pPr>
      <w:r>
        <w:rPr>
          <w:rFonts w:hint="eastAsia" w:ascii="仿宋" w:hAnsi="仿宋" w:eastAsia="仿宋" w:cs="仿宋"/>
          <w:kern w:val="0"/>
          <w:sz w:val="32"/>
          <w:szCs w:val="32"/>
          <w:lang w:val="en-US" w:eastAsia="zh-CN"/>
        </w:rPr>
        <w:t>2、注重院风建设，为老人提供</w:t>
      </w:r>
      <w:r>
        <w:rPr>
          <w:rFonts w:hint="eastAsia" w:ascii="仿宋" w:hAnsi="仿宋" w:eastAsia="仿宋" w:cs="仿宋"/>
          <w:kern w:val="0"/>
          <w:sz w:val="32"/>
          <w:szCs w:val="32"/>
        </w:rPr>
        <w:t>安全、卫生</w:t>
      </w:r>
      <w:r>
        <w:rPr>
          <w:rFonts w:hint="eastAsia" w:ascii="仿宋" w:hAnsi="仿宋" w:eastAsia="仿宋" w:cs="仿宋"/>
          <w:kern w:val="0"/>
          <w:sz w:val="32"/>
          <w:szCs w:val="32"/>
          <w:lang w:val="en-US" w:eastAsia="zh-CN"/>
        </w:rPr>
        <w:t>的居住环境</w:t>
      </w:r>
      <w:r>
        <w:rPr>
          <w:rFonts w:hint="eastAsia" w:ascii="仿宋" w:hAnsi="仿宋" w:eastAsia="仿宋" w:cs="仿宋"/>
          <w:kern w:val="0"/>
          <w:sz w:val="32"/>
          <w:szCs w:val="32"/>
          <w:lang w:val="zh-TW"/>
        </w:rPr>
        <w:t>。</w:t>
      </w:r>
    </w:p>
    <w:p>
      <w:pPr>
        <w:snapToGrid w:val="0"/>
        <w:spacing w:line="520" w:lineRule="exact"/>
        <w:ind w:firstLine="640" w:firstLineChars="200"/>
        <w:rPr>
          <w:rFonts w:hint="eastAsia" w:ascii="仿宋" w:hAnsi="仿宋" w:eastAsia="仿宋" w:cs="仿宋"/>
          <w:kern w:val="0"/>
          <w:sz w:val="32"/>
          <w:szCs w:val="32"/>
          <w:lang w:val="zh-TW"/>
        </w:rPr>
      </w:pPr>
      <w:r>
        <w:rPr>
          <w:rFonts w:hint="eastAsia" w:ascii="仿宋" w:hAnsi="仿宋" w:eastAsia="仿宋" w:cs="仿宋"/>
          <w:kern w:val="0"/>
          <w:sz w:val="32"/>
          <w:szCs w:val="32"/>
          <w:lang w:val="en-US" w:eastAsia="zh-CN"/>
        </w:rPr>
        <w:t>3、积极执行，</w:t>
      </w:r>
      <w:r>
        <w:rPr>
          <w:rFonts w:hint="eastAsia" w:ascii="仿宋" w:hAnsi="仿宋" w:eastAsia="仿宋" w:cs="仿宋"/>
          <w:kern w:val="0"/>
          <w:sz w:val="32"/>
          <w:szCs w:val="32"/>
        </w:rPr>
        <w:t>严格落实疫情防控工作</w:t>
      </w:r>
      <w:r>
        <w:rPr>
          <w:rFonts w:hint="eastAsia" w:ascii="仿宋" w:hAnsi="仿宋" w:eastAsia="仿宋" w:cs="仿宋"/>
          <w:kern w:val="0"/>
          <w:sz w:val="32"/>
          <w:szCs w:val="32"/>
          <w:lang w:val="zh-TW"/>
        </w:rPr>
        <w:t>。</w:t>
      </w:r>
    </w:p>
    <w:p>
      <w:pPr>
        <w:pStyle w:val="3"/>
        <w:keepNext w:val="0"/>
        <w:keepLines w:val="0"/>
        <w:widowControl/>
        <w:spacing w:before="0" w:line="315" w:lineRule="atLeast"/>
        <w:ind w:firstLine="630"/>
        <w:jc w:val="left"/>
        <w:rPr>
          <w:rFonts w:ascii="黑体" w:hAnsi="黑体" w:eastAsia="黑体" w:cs="黑体"/>
          <w:b w:val="0"/>
          <w:bCs w:val="0"/>
          <w:kern w:val="0"/>
          <w:sz w:val="32"/>
          <w:szCs w:val="32"/>
        </w:rPr>
      </w:pPr>
      <w:r>
        <w:rPr>
          <w:rFonts w:ascii="黑体" w:hAnsi="黑体" w:eastAsia="黑体" w:cs="黑体"/>
          <w:b w:val="0"/>
          <w:bCs w:val="0"/>
          <w:color w:val="auto"/>
          <w:kern w:val="0"/>
          <w:sz w:val="32"/>
          <w:szCs w:val="32"/>
        </w:rPr>
        <w:t>二、收入支出预算执行情况分析</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（一）收入支出预算安排情况。</w:t>
      </w:r>
    </w:p>
    <w:p>
      <w:pPr>
        <w:widowControl/>
        <w:spacing w:before="0" w:after="0" w:line="315" w:lineRule="atLeast"/>
        <w:ind w:firstLine="630"/>
        <w:jc w:val="left"/>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lang w:val="en-US" w:eastAsia="zh-CN"/>
        </w:rPr>
        <w:t>2023年</w:t>
      </w:r>
      <w:r>
        <w:rPr>
          <w:rFonts w:hint="eastAsia" w:ascii="仿宋_GB2312" w:hAnsi="仿宋" w:eastAsia="仿宋_GB2312" w:cs="Times New Roman"/>
          <w:sz w:val="32"/>
          <w:szCs w:val="32"/>
          <w:lang w:eastAsia="zh-CN"/>
        </w:rPr>
        <w:t>福利院无单独编制预算收入支出。</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（二）收入支出预算执行情况。</w:t>
      </w:r>
    </w:p>
    <w:p>
      <w:pPr>
        <w:widowControl/>
        <w:spacing w:before="0" w:after="0" w:line="315" w:lineRule="atLeast"/>
        <w:ind w:firstLine="630"/>
        <w:jc w:val="left"/>
        <w:rPr>
          <w:rFonts w:hint="eastAsia" w:ascii="仿宋_GB2312" w:hAnsi="宋体" w:eastAsia="仿宋_GB2312" w:cs="宋体"/>
          <w:sz w:val="32"/>
          <w:szCs w:val="32"/>
        </w:rPr>
      </w:pPr>
      <w:r>
        <w:rPr>
          <w:rFonts w:ascii="仿宋_GB2312" w:hAnsi="宋体" w:eastAsia="仿宋_GB2312" w:cs="宋体"/>
          <w:sz w:val="32"/>
          <w:szCs w:val="32"/>
        </w:rPr>
        <w:t>202</w:t>
      </w:r>
      <w:r>
        <w:rPr>
          <w:rFonts w:hint="eastAsia" w:ascii="仿宋_GB2312" w:hAnsi="宋体" w:eastAsia="仿宋_GB2312" w:cs="宋体"/>
          <w:sz w:val="32"/>
          <w:szCs w:val="32"/>
          <w:lang w:val="en-US" w:eastAsia="zh-CN"/>
        </w:rPr>
        <w:t>3</w:t>
      </w:r>
      <w:r>
        <w:rPr>
          <w:rFonts w:hint="eastAsia" w:ascii="仿宋_GB2312" w:hAnsi="宋体" w:eastAsia="仿宋_GB2312" w:cs="宋体"/>
          <w:sz w:val="32"/>
          <w:szCs w:val="32"/>
        </w:rPr>
        <w:t>年度总收入</w:t>
      </w:r>
      <w:r>
        <w:rPr>
          <w:rFonts w:hint="eastAsia" w:ascii="仿宋_GB2312" w:hAnsi="仿宋" w:eastAsia="仿宋_GB2312" w:cs="Times New Roman"/>
          <w:sz w:val="32"/>
          <w:szCs w:val="32"/>
          <w:lang w:val="en-US" w:eastAsia="zh-CN"/>
        </w:rPr>
        <w:t>48.69</w:t>
      </w:r>
      <w:r>
        <w:rPr>
          <w:rFonts w:hint="eastAsia" w:ascii="仿宋_GB2312" w:hAnsi="宋体" w:eastAsia="仿宋_GB2312" w:cs="宋体"/>
          <w:sz w:val="32"/>
          <w:szCs w:val="32"/>
          <w:lang w:eastAsia="zh-CN"/>
        </w:rPr>
        <w:t>万元</w:t>
      </w:r>
      <w:r>
        <w:rPr>
          <w:rFonts w:hint="eastAsia" w:ascii="仿宋_GB2312" w:hAnsi="宋体" w:eastAsia="仿宋_GB2312" w:cs="宋体"/>
          <w:sz w:val="32"/>
          <w:szCs w:val="32"/>
        </w:rPr>
        <w:t>，总支出</w:t>
      </w:r>
      <w:r>
        <w:rPr>
          <w:rFonts w:hint="eastAsia" w:ascii="仿宋_GB2312" w:hAnsi="仿宋" w:eastAsia="仿宋_GB2312" w:cs="Times New Roman"/>
          <w:sz w:val="32"/>
          <w:szCs w:val="32"/>
          <w:lang w:val="en-US" w:eastAsia="zh-CN"/>
        </w:rPr>
        <w:t>48.69</w:t>
      </w:r>
      <w:r>
        <w:rPr>
          <w:rFonts w:hint="eastAsia" w:ascii="仿宋_GB2312" w:hAnsi="宋体" w:eastAsia="仿宋_GB2312" w:cs="宋体"/>
          <w:sz w:val="32"/>
          <w:szCs w:val="32"/>
          <w:lang w:eastAsia="zh-CN"/>
        </w:rPr>
        <w:t>万元</w:t>
      </w:r>
      <w:r>
        <w:rPr>
          <w:rFonts w:hint="eastAsia" w:ascii="仿宋_GB2312" w:hAnsi="宋体" w:eastAsia="仿宋_GB2312" w:cs="宋体"/>
          <w:sz w:val="32"/>
          <w:szCs w:val="32"/>
        </w:rPr>
        <w:t>，比上年决算数增加</w:t>
      </w:r>
      <w:r>
        <w:rPr>
          <w:rFonts w:hint="eastAsia" w:ascii="仿宋_GB2312" w:hAnsi="仿宋" w:eastAsia="仿宋_GB2312" w:cs="Times New Roman"/>
          <w:sz w:val="32"/>
          <w:szCs w:val="32"/>
          <w:lang w:val="en-US" w:eastAsia="zh-CN"/>
        </w:rPr>
        <w:t>20.07</w:t>
      </w:r>
      <w:r>
        <w:rPr>
          <w:rFonts w:hint="eastAsia" w:ascii="仿宋_GB2312" w:hAnsi="宋体" w:eastAsia="仿宋_GB2312" w:cs="宋体"/>
          <w:sz w:val="32"/>
          <w:szCs w:val="32"/>
          <w:lang w:eastAsia="zh-CN"/>
        </w:rPr>
        <w:t>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70.13</w:t>
      </w:r>
      <w:r>
        <w:rPr>
          <w:rFonts w:ascii="仿宋_GB2312" w:hAnsi="宋体" w:eastAsia="仿宋_GB2312" w:cs="宋体"/>
          <w:sz w:val="32"/>
          <w:szCs w:val="32"/>
        </w:rPr>
        <w:t>%。主要变动情况：</w:t>
      </w:r>
      <w:r>
        <w:rPr>
          <w:rFonts w:hint="eastAsia" w:ascii="仿宋_GB2312" w:hAnsi="宋体" w:eastAsia="仿宋_GB2312" w:cs="宋体"/>
          <w:sz w:val="32"/>
          <w:szCs w:val="32"/>
        </w:rPr>
        <w:t>增加了人员经费及绩效奖励。</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1．收入支出与预算对比分析。</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（1）预、决算差异情况，可分收入支出功能科目、分单位、分收入支出具体项目逐项对比（可列表）。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640"/>
        <w:jc w:val="both"/>
        <w:rPr>
          <w:rFonts w:hint="default" w:ascii="仿宋_GB2312" w:hAnsi="宋体" w:eastAsia="仿宋_GB2312" w:cs="宋体"/>
          <w:kern w:val="2"/>
          <w:sz w:val="32"/>
          <w:szCs w:val="32"/>
          <w:lang w:val="en-US" w:eastAsia="zh-CN" w:bidi="ar-SA"/>
        </w:rPr>
      </w:pPr>
      <w:r>
        <w:rPr>
          <w:rFonts w:hint="eastAsia" w:ascii="仿宋_GB2312" w:hAnsi="宋体" w:eastAsia="仿宋_GB2312" w:cs="宋体"/>
          <w:kern w:val="2"/>
          <w:sz w:val="32"/>
          <w:szCs w:val="32"/>
          <w:lang w:val="en-US" w:eastAsia="zh-CN" w:bidi="ar-SA"/>
        </w:rPr>
        <w:t>2023年浈江区</w:t>
      </w:r>
      <w:r>
        <w:rPr>
          <w:rFonts w:hint="eastAsia" w:ascii="仿宋_GB2312" w:hAnsi="仿宋" w:eastAsia="仿宋_GB2312" w:cs="Times New Roman"/>
          <w:sz w:val="32"/>
          <w:szCs w:val="32"/>
          <w:lang w:eastAsia="zh-CN"/>
        </w:rPr>
        <w:t>福利院无单独编制预算收入支出。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640"/>
        <w:jc w:val="both"/>
        <w:rPr>
          <w:rFonts w:hint="default" w:ascii="仿宋_GB2312" w:hAnsi="宋体" w:eastAsia="仿宋_GB2312" w:cs="宋体"/>
          <w:kern w:val="2"/>
          <w:sz w:val="32"/>
          <w:szCs w:val="32"/>
          <w:lang w:val="en-US" w:eastAsia="zh-CN" w:bidi="ar-SA"/>
        </w:rPr>
      </w:pPr>
      <w:r>
        <w:rPr>
          <w:rFonts w:hint="eastAsia" w:ascii="仿宋_GB2312" w:hAnsi="宋体" w:eastAsia="仿宋_GB2312" w:cs="宋体"/>
          <w:kern w:val="2"/>
          <w:sz w:val="32"/>
          <w:szCs w:val="32"/>
          <w:lang w:val="en-US" w:eastAsia="zh-CN" w:bidi="ar-SA"/>
        </w:rPr>
        <w:t>2023年收入实际完成48.69万元，</w:t>
      </w:r>
      <w:r>
        <w:rPr>
          <w:rFonts w:hint="eastAsia" w:ascii="仿宋_GB2312" w:hAnsi="宋体" w:eastAsia="仿宋_GB2312" w:cs="宋体"/>
          <w:sz w:val="32"/>
          <w:szCs w:val="32"/>
        </w:rPr>
        <w:t>比上年决算数增加</w:t>
      </w:r>
      <w:r>
        <w:rPr>
          <w:rFonts w:hint="eastAsia" w:ascii="仿宋_GB2312" w:hAnsi="仿宋" w:eastAsia="仿宋_GB2312" w:cs="Times New Roman"/>
          <w:sz w:val="32"/>
          <w:szCs w:val="32"/>
          <w:lang w:val="en-US" w:eastAsia="zh-CN"/>
        </w:rPr>
        <w:t>20.07</w:t>
      </w:r>
      <w:r>
        <w:rPr>
          <w:rFonts w:hint="eastAsia" w:ascii="仿宋_GB2312" w:hAnsi="宋体" w:eastAsia="仿宋_GB2312" w:cs="宋体"/>
          <w:sz w:val="32"/>
          <w:szCs w:val="32"/>
          <w:lang w:eastAsia="zh-CN"/>
        </w:rPr>
        <w:t>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70.13</w:t>
      </w:r>
      <w:r>
        <w:rPr>
          <w:rFonts w:ascii="仿宋_GB2312" w:hAnsi="宋体" w:eastAsia="仿宋_GB2312" w:cs="宋体"/>
          <w:sz w:val="32"/>
          <w:szCs w:val="32"/>
        </w:rPr>
        <w:t>%</w:t>
      </w:r>
      <w:r>
        <w:rPr>
          <w:rFonts w:hint="eastAsia" w:ascii="仿宋_GB2312" w:hAnsi="宋体" w:eastAsia="仿宋_GB2312" w:cs="宋体"/>
          <w:kern w:val="2"/>
          <w:sz w:val="32"/>
          <w:szCs w:val="32"/>
          <w:lang w:val="en-US" w:eastAsia="zh-CN" w:bidi="ar-SA"/>
        </w:rPr>
        <w:t>。其中：一般公共预算财政拨款收入完成48.69万元，</w:t>
      </w:r>
      <w:r>
        <w:rPr>
          <w:rFonts w:hint="eastAsia" w:ascii="仿宋_GB2312" w:hAnsi="宋体" w:eastAsia="仿宋_GB2312" w:cs="宋体"/>
          <w:sz w:val="32"/>
          <w:szCs w:val="32"/>
        </w:rPr>
        <w:t>比上年决算数增加</w:t>
      </w:r>
      <w:r>
        <w:rPr>
          <w:rFonts w:hint="eastAsia" w:ascii="仿宋_GB2312" w:hAnsi="宋体" w:eastAsia="仿宋_GB2312" w:cs="宋体"/>
          <w:sz w:val="32"/>
          <w:szCs w:val="32"/>
          <w:lang w:val="en-US" w:eastAsia="zh-CN"/>
        </w:rPr>
        <w:t>,20.07</w:t>
      </w:r>
      <w:r>
        <w:rPr>
          <w:rFonts w:hint="eastAsia" w:ascii="仿宋_GB2312" w:hAnsi="宋体" w:eastAsia="仿宋_GB2312" w:cs="宋体"/>
          <w:sz w:val="32"/>
          <w:szCs w:val="32"/>
          <w:lang w:eastAsia="zh-CN"/>
        </w:rPr>
        <w:t>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70.13</w:t>
      </w:r>
      <w:r>
        <w:rPr>
          <w:rFonts w:ascii="仿宋_GB2312" w:hAnsi="宋体" w:eastAsia="仿宋_GB2312" w:cs="宋体"/>
          <w:sz w:val="32"/>
          <w:szCs w:val="32"/>
        </w:rPr>
        <w:t>%</w:t>
      </w:r>
      <w:r>
        <w:rPr>
          <w:rFonts w:hint="eastAsia" w:ascii="仿宋_GB2312" w:hAnsi="宋体" w:eastAsia="仿宋_GB2312" w:cs="宋体"/>
          <w:kern w:val="2"/>
          <w:sz w:val="32"/>
          <w:szCs w:val="32"/>
          <w:lang w:val="en-US" w:eastAsia="zh-CN" w:bidi="ar-SA"/>
        </w:rPr>
        <w:t>。上级补助收入完成0万元，比上年0万元；事业收入完成0万元，比上年减少0万元；经营收入完成0万元，比上年0万元,增长0%；附属单位上缴收入完成0万元，比上年0万元；其他收入完成0万元，比上年减少0万元，下降0%。</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643"/>
        <w:jc w:val="both"/>
        <w:rPr>
          <w:rFonts w:ascii="仿宋" w:hAnsi="仿宋" w:eastAsia="仿宋" w:cs="仿宋"/>
          <w:kern w:val="0"/>
          <w:sz w:val="32"/>
          <w:szCs w:val="32"/>
        </w:rPr>
      </w:pPr>
      <w:r>
        <w:rPr>
          <w:rFonts w:hint="eastAsia" w:ascii="仿宋_GB2312" w:hAnsi="宋体" w:eastAsia="仿宋_GB2312" w:cs="宋体"/>
          <w:kern w:val="2"/>
          <w:sz w:val="32"/>
          <w:szCs w:val="32"/>
          <w:lang w:val="en-US" w:eastAsia="zh-CN" w:bidi="ar-SA"/>
        </w:rPr>
        <w:t>2023年，本部门支出48.69万元，比上年增加20.07万元，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70.13</w:t>
      </w:r>
      <w:r>
        <w:rPr>
          <w:rFonts w:ascii="仿宋_GB2312" w:hAnsi="宋体" w:eastAsia="仿宋_GB2312" w:cs="宋体"/>
          <w:sz w:val="32"/>
          <w:szCs w:val="32"/>
        </w:rPr>
        <w:t>%</w:t>
      </w:r>
      <w:r>
        <w:rPr>
          <w:rFonts w:hint="eastAsia" w:ascii="仿宋_GB2312" w:hAnsi="宋体" w:eastAsia="仿宋_GB2312" w:cs="宋体"/>
          <w:kern w:val="2"/>
          <w:sz w:val="32"/>
          <w:szCs w:val="32"/>
          <w:lang w:val="en-US" w:eastAsia="zh-CN" w:bidi="ar-SA"/>
        </w:rPr>
        <w:t>；其中：基本支出完成48.69万元，比上年增加20.07万元，</w:t>
      </w:r>
      <w:r>
        <w:rPr>
          <w:rFonts w:ascii="仿宋_GB2312" w:hAnsi="宋体" w:eastAsia="仿宋_GB2312" w:cs="宋体"/>
          <w:sz w:val="32"/>
          <w:szCs w:val="32"/>
        </w:rPr>
        <w:t>增长</w:t>
      </w:r>
      <w:r>
        <w:rPr>
          <w:rFonts w:hint="eastAsia" w:ascii="仿宋_GB2312" w:hAnsi="宋体" w:eastAsia="仿宋_GB2312" w:cs="宋体"/>
          <w:sz w:val="32"/>
          <w:szCs w:val="32"/>
          <w:lang w:val="en-US" w:eastAsia="zh-CN"/>
        </w:rPr>
        <w:t>70.13</w:t>
      </w:r>
      <w:r>
        <w:rPr>
          <w:rFonts w:ascii="仿宋_GB2312" w:hAnsi="宋体" w:eastAsia="仿宋_GB2312" w:cs="宋体"/>
          <w:sz w:val="32"/>
          <w:szCs w:val="32"/>
        </w:rPr>
        <w:t>%</w:t>
      </w:r>
      <w:r>
        <w:rPr>
          <w:rFonts w:hint="eastAsia" w:ascii="仿宋_GB2312" w:hAnsi="宋体" w:eastAsia="仿宋_GB2312" w:cs="宋体"/>
          <w:kern w:val="2"/>
          <w:sz w:val="32"/>
          <w:szCs w:val="32"/>
          <w:lang w:val="en-US" w:eastAsia="zh-CN" w:bidi="ar-SA"/>
        </w:rPr>
        <w:t>；项目支出0万元；人员经费完成46.85万元，比上年增加20.92万元，增长80.68%，公用经费完成1.84万元，比上年下降0.84万元，下降31.34%。</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（2）差异原因分析。</w:t>
      </w:r>
      <w:r>
        <w:rPr>
          <w:rFonts w:hint="eastAsia" w:ascii="仿宋_GB2312" w:hAnsi="仿宋" w:eastAsia="仿宋_GB2312"/>
          <w:sz w:val="32"/>
          <w:szCs w:val="32"/>
          <w:lang w:val="en-US" w:eastAsia="zh-CN"/>
        </w:rPr>
        <w:t>2023年福利院新增2名事业编人员，导致工资绩效等人员经费增加</w:t>
      </w:r>
      <w:r>
        <w:rPr>
          <w:rFonts w:hint="eastAsia" w:ascii="仿宋_GB2312" w:hAnsi="仿宋" w:eastAsia="仿宋_GB2312"/>
          <w:sz w:val="32"/>
          <w:szCs w:val="32"/>
          <w:lang w:eastAsia="zh-CN"/>
        </w:rPr>
        <w:t>，所以</w:t>
      </w:r>
      <w:r>
        <w:rPr>
          <w:rFonts w:hint="eastAsia" w:ascii="仿宋_GB2312" w:hAnsi="仿宋" w:eastAsia="仿宋_GB2312"/>
          <w:sz w:val="32"/>
          <w:szCs w:val="32"/>
        </w:rPr>
        <w:t>差异较大</w:t>
      </w:r>
      <w:r>
        <w:rPr>
          <w:rFonts w:hint="eastAsia" w:ascii="仿宋_GB2312" w:hAnsi="仿宋" w:eastAsia="仿宋_GB2312"/>
          <w:sz w:val="32"/>
          <w:szCs w:val="32"/>
          <w:lang w:eastAsia="zh-CN"/>
        </w:rPr>
        <w:t>。</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2．收入支出结构分析。</w:t>
      </w:r>
    </w:p>
    <w:p>
      <w:pPr>
        <w:widowControl/>
        <w:spacing w:before="0" w:after="0" w:line="315" w:lineRule="atLeast"/>
        <w:ind w:firstLine="630"/>
        <w:jc w:val="left"/>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（1）收入中，一般公共预算财政拨款收入占总收入100%，其中：基本支出占总收入的100%，项目支出占总收入的0%。</w:t>
      </w:r>
    </w:p>
    <w:p>
      <w:pPr>
        <w:widowControl/>
        <w:spacing w:before="0" w:after="0" w:line="315" w:lineRule="atLeast"/>
        <w:ind w:firstLine="630"/>
        <w:jc w:val="left"/>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（2）支出中，一般公共预算财政拨款支出占总支出100%。其中，基本支出占总支出的100%，项目支出占总支出的0%。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3．支出按经济分类科目分析。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640"/>
        <w:jc w:val="both"/>
        <w:rPr>
          <w:rFonts w:hint="default" w:ascii="仿宋" w:hAnsi="仿宋" w:eastAsia="仿宋" w:cs="仿宋"/>
          <w:kern w:val="2"/>
          <w:sz w:val="32"/>
          <w:szCs w:val="32"/>
          <w:lang w:val="en-US" w:eastAsia="zh-CN" w:bidi="ar-SA"/>
        </w:rPr>
      </w:pPr>
      <w:r>
        <w:rPr>
          <w:rFonts w:hint="eastAsia" w:ascii="仿宋_GB2312" w:hAnsi="仿宋" w:eastAsia="仿宋_GB2312"/>
          <w:sz w:val="32"/>
          <w:szCs w:val="32"/>
        </w:rPr>
        <w:t>（1）“三公”经费支出情况：</w:t>
      </w:r>
      <w:r>
        <w:rPr>
          <w:rFonts w:ascii="仿宋" w:hAnsi="仿宋" w:eastAsia="仿宋" w:cs="仿宋"/>
          <w:i w:val="0"/>
          <w:iCs w:val="0"/>
          <w:caps w:val="0"/>
          <w:color w:val="333333"/>
          <w:spacing w:val="0"/>
          <w:sz w:val="32"/>
          <w:szCs w:val="32"/>
          <w:shd w:val="clear" w:color="auto" w:fill="FFFFFF"/>
        </w:rPr>
        <w:t>2</w:t>
      </w:r>
      <w:r>
        <w:rPr>
          <w:rFonts w:hint="eastAsia" w:ascii="仿宋" w:hAnsi="仿宋" w:eastAsia="仿宋" w:cs="仿宋"/>
          <w:kern w:val="2"/>
          <w:sz w:val="32"/>
          <w:szCs w:val="32"/>
          <w:lang w:val="en-US" w:eastAsia="zh-CN" w:bidi="ar-SA"/>
        </w:rPr>
        <w:t>023年，“三公”经费完成0万元，比上年增加0万元，增长0%。其中：公务接待费完成0万元，比上年减少0万元，公务用车购置及运行维护费完成0万元，比上年增加0万元，增长0%。公务用车保有量为1、因公出国（境）团组数及人数为零，公务接待批次0批及人数0人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560"/>
        <w:jc w:val="both"/>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（2）会议费支出情况：2023年会议费完成0万元，与上年持平。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560"/>
        <w:jc w:val="both"/>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（3）培训费支出情况：2023年培训费完成0万元，与上年持平。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560"/>
        <w:jc w:val="both"/>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（4）其他对单位影响较大的支出情况。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560"/>
        <w:jc w:val="both"/>
        <w:rPr>
          <w:rFonts w:hint="default" w:ascii="仿宋_GB2312" w:hAnsi="仿宋" w:eastAsia="仿宋_GB2312"/>
          <w:sz w:val="32"/>
          <w:szCs w:val="32"/>
          <w:lang w:val="en-US"/>
        </w:rPr>
      </w:pPr>
      <w:r>
        <w:rPr>
          <w:rFonts w:hint="eastAsia" w:ascii="仿宋" w:hAnsi="仿宋" w:eastAsia="仿宋" w:cs="仿宋"/>
          <w:kern w:val="2"/>
          <w:sz w:val="32"/>
          <w:szCs w:val="32"/>
          <w:lang w:val="en-US" w:eastAsia="zh-CN" w:bidi="ar-SA"/>
        </w:rPr>
        <w:t>无。</w:t>
      </w:r>
    </w:p>
    <w:p>
      <w:pPr>
        <w:widowControl/>
        <w:numPr>
          <w:ilvl w:val="0"/>
          <w:numId w:val="1"/>
        </w:numPr>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重点经济分类支出中存在的问题及改进措施。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560"/>
        <w:jc w:val="both"/>
        <w:rPr>
          <w:rFonts w:ascii="仿宋" w:hAnsi="仿宋" w:eastAsia="仿宋" w:cs="仿宋"/>
          <w:kern w:val="0"/>
          <w:sz w:val="32"/>
          <w:szCs w:val="32"/>
        </w:rPr>
      </w:pPr>
      <w:r>
        <w:rPr>
          <w:rFonts w:hint="eastAsia" w:ascii="仿宋" w:hAnsi="仿宋" w:eastAsia="仿宋" w:cs="仿宋"/>
          <w:kern w:val="2"/>
          <w:sz w:val="32"/>
          <w:szCs w:val="32"/>
          <w:lang w:val="en-US" w:eastAsia="zh-CN" w:bidi="ar-SA"/>
        </w:rPr>
        <w:t>无。</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4.财政拨款收入、支出分析。</w:t>
      </w:r>
    </w:p>
    <w:p>
      <w:pPr>
        <w:widowControl/>
        <w:spacing w:before="0" w:after="0" w:line="315" w:lineRule="atLeast"/>
        <w:ind w:firstLine="63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⑴本年度收入48.69万元，均为财政拨款收入。</w:t>
      </w:r>
    </w:p>
    <w:p>
      <w:pPr>
        <w:widowControl/>
        <w:spacing w:before="0" w:after="0" w:line="315" w:lineRule="atLeast"/>
        <w:ind w:firstLine="630"/>
        <w:jc w:val="left"/>
        <w:rPr>
          <w:rFonts w:hint="eastAsia" w:ascii="仿宋" w:hAnsi="仿宋" w:eastAsia="仿宋" w:cs="仿宋"/>
          <w:kern w:val="2"/>
          <w:sz w:val="32"/>
          <w:szCs w:val="32"/>
          <w:lang w:val="en-US" w:eastAsia="zh-CN" w:bidi="ar-SA"/>
        </w:rPr>
      </w:pPr>
      <w:r>
        <w:rPr>
          <w:rFonts w:hint="eastAsia" w:ascii="仿宋" w:hAnsi="仿宋" w:eastAsia="仿宋" w:cs="仿宋"/>
          <w:kern w:val="0"/>
          <w:sz w:val="32"/>
          <w:szCs w:val="32"/>
          <w:lang w:val="en-US" w:eastAsia="zh-CN"/>
        </w:rPr>
        <w:t>⑵本年度支出48.69万元。其中基本支出48.69万元（人员经费46.85万元，日常公用经费1.84万元），项目支出0万元。</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b/>
          <w:bCs/>
          <w:kern w:val="0"/>
          <w:sz w:val="32"/>
          <w:szCs w:val="32"/>
        </w:rPr>
        <w:t>5.非财政拨款收入分析。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560"/>
        <w:jc w:val="both"/>
        <w:rPr>
          <w:rFonts w:ascii="仿宋" w:hAnsi="仿宋" w:eastAsia="仿宋" w:cs="仿宋"/>
          <w:kern w:val="0"/>
          <w:sz w:val="32"/>
          <w:szCs w:val="32"/>
        </w:rPr>
      </w:pPr>
      <w:r>
        <w:rPr>
          <w:rFonts w:ascii="仿宋" w:hAnsi="仿宋" w:eastAsia="仿宋" w:cs="仿宋"/>
          <w:kern w:val="0"/>
          <w:sz w:val="32"/>
          <w:szCs w:val="32"/>
        </w:rPr>
        <w:t>根据报表项目分析非财政拨款收入情况，按照事业收入、经营收入和其他收入等分析具体构成和特点。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560"/>
        <w:jc w:val="both"/>
        <w:rPr>
          <w:rFonts w:ascii="仿宋" w:hAnsi="仿宋" w:eastAsia="仿宋" w:cs="仿宋"/>
          <w:kern w:val="0"/>
          <w:sz w:val="32"/>
          <w:szCs w:val="32"/>
        </w:rPr>
      </w:pPr>
      <w:r>
        <w:rPr>
          <w:rFonts w:hint="eastAsia" w:ascii="仿宋" w:hAnsi="仿宋" w:eastAsia="仿宋" w:cs="仿宋"/>
          <w:kern w:val="2"/>
          <w:sz w:val="32"/>
          <w:szCs w:val="32"/>
          <w:lang w:val="en-US" w:eastAsia="zh-CN" w:bidi="ar-SA"/>
        </w:rPr>
        <w:t>无。</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（三）年末结转和结余情况。</w:t>
      </w:r>
    </w:p>
    <w:p>
      <w:pPr>
        <w:widowControl/>
        <w:spacing w:before="0" w:after="0" w:line="315" w:lineRule="atLeast"/>
        <w:ind w:firstLine="630"/>
        <w:jc w:val="left"/>
        <w:rPr>
          <w:rFonts w:ascii="仿宋" w:hAnsi="仿宋" w:eastAsia="仿宋" w:cs="仿宋"/>
          <w:kern w:val="0"/>
          <w:sz w:val="32"/>
          <w:szCs w:val="32"/>
        </w:rPr>
      </w:pPr>
      <w:r>
        <w:rPr>
          <w:rFonts w:hint="eastAsia" w:ascii="仿宋" w:hAnsi="仿宋" w:eastAsia="仿宋" w:cs="仿宋"/>
          <w:sz w:val="32"/>
          <w:szCs w:val="32"/>
          <w:lang w:eastAsia="zh-CN"/>
        </w:rPr>
        <w:t>本年度无结转和结余情况。</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（四）与预算支出相关的其他指标分析。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560"/>
        <w:jc w:val="both"/>
        <w:rPr>
          <w:rFonts w:ascii="仿宋" w:hAnsi="仿宋" w:eastAsia="仿宋" w:cs="仿宋"/>
          <w:kern w:val="0"/>
          <w:sz w:val="32"/>
          <w:szCs w:val="32"/>
        </w:rPr>
      </w:pPr>
      <w:r>
        <w:rPr>
          <w:rFonts w:hint="eastAsia" w:ascii="仿宋" w:hAnsi="仿宋" w:eastAsia="仿宋" w:cs="仿宋"/>
          <w:kern w:val="2"/>
          <w:sz w:val="32"/>
          <w:szCs w:val="32"/>
          <w:lang w:val="en-US" w:eastAsia="zh-CN" w:bidi="ar-SA"/>
        </w:rPr>
        <w:t>无。</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b/>
          <w:bCs/>
          <w:kern w:val="0"/>
          <w:sz w:val="32"/>
          <w:szCs w:val="32"/>
        </w:rPr>
        <w:t>（五）绩效目标完成情况。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560"/>
        <w:jc w:val="both"/>
        <w:rPr>
          <w:rFonts w:hint="default" w:ascii="仿宋_GB2312" w:hAnsi="仿宋" w:eastAsia="仿宋_GB2312"/>
          <w:sz w:val="32"/>
          <w:szCs w:val="32"/>
          <w:lang w:val="en-US"/>
        </w:rPr>
      </w:pPr>
      <w:r>
        <w:rPr>
          <w:rFonts w:hint="eastAsia" w:ascii="仿宋" w:hAnsi="仿宋" w:eastAsia="仿宋" w:cs="仿宋"/>
          <w:kern w:val="2"/>
          <w:sz w:val="32"/>
          <w:szCs w:val="32"/>
          <w:lang w:val="en-US" w:eastAsia="zh-CN" w:bidi="ar-SA"/>
        </w:rPr>
        <w:t>无。</w:t>
      </w:r>
    </w:p>
    <w:p>
      <w:pPr>
        <w:widowControl/>
        <w:numPr>
          <w:ilvl w:val="0"/>
          <w:numId w:val="2"/>
        </w:numPr>
        <w:spacing w:before="0" w:after="0" w:line="315" w:lineRule="atLeast"/>
        <w:ind w:firstLine="630"/>
        <w:jc w:val="left"/>
        <w:rPr>
          <w:rFonts w:ascii="楷体" w:hAnsi="楷体" w:eastAsia="楷体" w:cs="楷体"/>
          <w:b/>
          <w:bCs/>
          <w:kern w:val="0"/>
          <w:sz w:val="32"/>
          <w:szCs w:val="32"/>
        </w:rPr>
      </w:pPr>
      <w:r>
        <w:rPr>
          <w:rFonts w:ascii="楷体" w:hAnsi="楷体" w:eastAsia="楷体" w:cs="楷体"/>
          <w:b/>
          <w:bCs/>
          <w:kern w:val="0"/>
          <w:sz w:val="32"/>
          <w:szCs w:val="32"/>
        </w:rPr>
        <w:t>当年预算执行及绩效管理中存在问题、原因及改进措施。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20" w:lineRule="atLeast"/>
        <w:ind w:left="0" w:right="0" w:firstLine="560"/>
        <w:jc w:val="both"/>
        <w:rPr>
          <w:rFonts w:ascii="楷体" w:hAnsi="楷体" w:eastAsia="楷体" w:cs="楷体"/>
          <w:b/>
          <w:bCs/>
          <w:kern w:val="0"/>
          <w:sz w:val="32"/>
          <w:szCs w:val="32"/>
        </w:rPr>
      </w:pPr>
      <w:r>
        <w:rPr>
          <w:rFonts w:hint="eastAsia" w:ascii="仿宋" w:hAnsi="仿宋" w:eastAsia="仿宋" w:cs="仿宋"/>
          <w:kern w:val="2"/>
          <w:sz w:val="32"/>
          <w:szCs w:val="32"/>
          <w:lang w:val="en-US" w:eastAsia="zh-CN" w:bidi="ar-SA"/>
        </w:rPr>
        <w:t>无。</w:t>
      </w:r>
    </w:p>
    <w:p>
      <w:pPr>
        <w:pStyle w:val="3"/>
        <w:keepNext w:val="0"/>
        <w:keepLines w:val="0"/>
        <w:widowControl/>
        <w:spacing w:before="0" w:line="315" w:lineRule="atLeast"/>
        <w:ind w:firstLine="630"/>
        <w:jc w:val="left"/>
        <w:rPr>
          <w:rFonts w:ascii="黑体" w:hAnsi="黑体" w:eastAsia="黑体" w:cs="黑体"/>
          <w:b w:val="0"/>
          <w:bCs w:val="0"/>
          <w:kern w:val="0"/>
          <w:sz w:val="32"/>
          <w:szCs w:val="32"/>
        </w:rPr>
      </w:pPr>
      <w:r>
        <w:rPr>
          <w:rFonts w:ascii="黑体" w:hAnsi="黑体" w:eastAsia="黑体" w:cs="黑体"/>
          <w:b w:val="0"/>
          <w:bCs w:val="0"/>
          <w:color w:val="auto"/>
          <w:kern w:val="0"/>
          <w:sz w:val="32"/>
          <w:szCs w:val="32"/>
        </w:rPr>
        <w:t>三、本年度部门决算等财务工作开展情况</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（一）本单位财务管理、绩效管理、决算组织、编报、审核情况。</w:t>
      </w:r>
    </w:p>
    <w:p>
      <w:pPr>
        <w:snapToGrid w:val="0"/>
        <w:spacing w:line="520" w:lineRule="exact"/>
        <w:ind w:firstLine="640" w:firstLineChars="200"/>
        <w:rPr>
          <w:rFonts w:ascii="仿宋" w:hAnsi="仿宋" w:eastAsia="仿宋" w:cs="仿宋"/>
          <w:kern w:val="0"/>
          <w:sz w:val="32"/>
          <w:szCs w:val="32"/>
        </w:rPr>
      </w:pPr>
      <w:r>
        <w:rPr>
          <w:rFonts w:hint="eastAsia" w:ascii="仿宋" w:hAnsi="仿宋" w:eastAsia="仿宋" w:cs="仿宋"/>
          <w:sz w:val="32"/>
          <w:szCs w:val="32"/>
          <w:lang w:eastAsia="zh-CN"/>
        </w:rPr>
        <w:t>本单位</w:t>
      </w:r>
      <w:r>
        <w:rPr>
          <w:rFonts w:hint="eastAsia" w:ascii="仿宋" w:hAnsi="仿宋" w:eastAsia="仿宋" w:cs="仿宋"/>
          <w:sz w:val="32"/>
          <w:szCs w:val="32"/>
        </w:rPr>
        <w:t>对财务进行规范化管理</w:t>
      </w:r>
      <w:r>
        <w:rPr>
          <w:rFonts w:hint="eastAsia" w:ascii="仿宋" w:hAnsi="仿宋" w:eastAsia="仿宋" w:cs="仿宋"/>
          <w:i w:val="0"/>
          <w:caps w:val="0"/>
          <w:color w:val="333333"/>
          <w:spacing w:val="0"/>
          <w:sz w:val="32"/>
          <w:szCs w:val="32"/>
          <w:shd w:val="clear" w:color="auto" w:fill="FFFFFF"/>
        </w:rPr>
        <w:t>，</w:t>
      </w:r>
      <w:r>
        <w:rPr>
          <w:rFonts w:hint="eastAsia" w:ascii="仿宋" w:hAnsi="仿宋" w:eastAsia="仿宋" w:cs="仿宋"/>
          <w:sz w:val="32"/>
          <w:szCs w:val="32"/>
        </w:rPr>
        <w:t>同财政部门及时沟通学习，积极进行决算、编报、审核等方面工作按时完成</w:t>
      </w:r>
      <w:r>
        <w:rPr>
          <w:rFonts w:hint="eastAsia" w:ascii="仿宋" w:hAnsi="仿宋" w:eastAsia="仿宋" w:cs="仿宋"/>
          <w:i w:val="0"/>
          <w:caps w:val="0"/>
          <w:color w:val="333333"/>
          <w:spacing w:val="0"/>
          <w:sz w:val="32"/>
          <w:szCs w:val="32"/>
          <w:shd w:val="clear" w:color="auto" w:fill="FFFFFF"/>
        </w:rPr>
        <w:t>，</w:t>
      </w:r>
      <w:r>
        <w:rPr>
          <w:rFonts w:hint="eastAsia" w:ascii="仿宋" w:hAnsi="仿宋" w:eastAsia="仿宋" w:cs="仿宋"/>
          <w:sz w:val="32"/>
          <w:szCs w:val="32"/>
        </w:rPr>
        <w:t>认真如实填报。</w:t>
      </w:r>
    </w:p>
    <w:p>
      <w:pPr>
        <w:widowControl/>
        <w:numPr>
          <w:ilvl w:val="0"/>
          <w:numId w:val="3"/>
        </w:numPr>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本单位决算及绩效信息公开工作开展情况。</w:t>
      </w:r>
    </w:p>
    <w:p>
      <w:pPr>
        <w:snapToGrid w:val="0"/>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本单位对预算和决算公开工作按规定认真执行，该填制及时填制，该公开及时公开，该上报及时上报。</w:t>
      </w:r>
      <w:r>
        <w:rPr>
          <w:rFonts w:hint="eastAsia" w:ascii="仿宋" w:hAnsi="仿宋" w:eastAsia="仿宋" w:cs="仿宋"/>
          <w:sz w:val="32"/>
          <w:szCs w:val="32"/>
          <w:lang w:eastAsia="zh-CN"/>
        </w:rPr>
        <w:t>各</w:t>
      </w:r>
      <w:r>
        <w:rPr>
          <w:rFonts w:hint="eastAsia" w:ascii="仿宋" w:hAnsi="仿宋" w:eastAsia="仿宋" w:cs="仿宋"/>
          <w:sz w:val="32"/>
          <w:szCs w:val="32"/>
        </w:rPr>
        <w:t>年</w:t>
      </w:r>
      <w:r>
        <w:rPr>
          <w:rFonts w:hint="eastAsia" w:ascii="仿宋" w:hAnsi="仿宋" w:eastAsia="仿宋" w:cs="仿宋"/>
          <w:sz w:val="32"/>
          <w:szCs w:val="32"/>
          <w:lang w:eastAsia="zh-CN"/>
        </w:rPr>
        <w:t>度</w:t>
      </w:r>
      <w:r>
        <w:rPr>
          <w:rFonts w:hint="eastAsia" w:ascii="仿宋" w:hAnsi="仿宋" w:eastAsia="仿宋" w:cs="仿宋"/>
          <w:sz w:val="32"/>
          <w:szCs w:val="32"/>
        </w:rPr>
        <w:t>部门预算、部门决算已在</w:t>
      </w:r>
      <w:r>
        <w:rPr>
          <w:rFonts w:hint="eastAsia" w:ascii="仿宋" w:hAnsi="仿宋" w:eastAsia="仿宋" w:cs="仿宋"/>
          <w:sz w:val="32"/>
          <w:szCs w:val="32"/>
          <w:lang w:eastAsia="zh-CN"/>
        </w:rPr>
        <w:t>重点领域信息</w:t>
      </w:r>
      <w:r>
        <w:rPr>
          <w:rFonts w:hint="eastAsia" w:ascii="仿宋" w:hAnsi="仿宋" w:eastAsia="仿宋" w:cs="仿宋"/>
          <w:sz w:val="32"/>
          <w:szCs w:val="32"/>
        </w:rPr>
        <w:t>网公示。</w:t>
      </w:r>
    </w:p>
    <w:p>
      <w:pPr>
        <w:widowControl/>
        <w:spacing w:before="0" w:after="0" w:line="315" w:lineRule="atLeast"/>
        <w:ind w:firstLine="630"/>
        <w:jc w:val="left"/>
        <w:rPr>
          <w:rFonts w:ascii="楷体" w:hAnsi="楷体" w:eastAsia="楷体" w:cs="楷体"/>
          <w:kern w:val="0"/>
          <w:sz w:val="32"/>
          <w:szCs w:val="32"/>
        </w:rPr>
      </w:pPr>
      <w:r>
        <w:rPr>
          <w:rFonts w:ascii="楷体" w:hAnsi="楷体" w:eastAsia="楷体" w:cs="楷体"/>
          <w:kern w:val="0"/>
          <w:sz w:val="32"/>
          <w:szCs w:val="32"/>
        </w:rPr>
        <w:t>（三）对部门决算管理工作的意见和建议。</w:t>
      </w:r>
    </w:p>
    <w:p>
      <w:pPr>
        <w:widowControl/>
        <w:spacing w:before="0" w:after="0" w:line="315" w:lineRule="atLeast"/>
        <w:ind w:firstLine="63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无意见和建议。</w:t>
      </w:r>
    </w:p>
    <w:p>
      <w:pPr>
        <w:widowControl/>
        <w:spacing w:before="0" w:after="0" w:line="315" w:lineRule="atLeast"/>
        <w:ind w:firstLine="630"/>
        <w:jc w:val="left"/>
        <w:rPr>
          <w:rFonts w:hint="eastAsia" w:ascii="仿宋" w:hAnsi="仿宋" w:eastAsia="仿宋" w:cs="仿宋"/>
          <w:sz w:val="32"/>
          <w:szCs w:val="32"/>
          <w:lang w:val="en-US" w:eastAsia="zh-CN"/>
        </w:rPr>
      </w:pPr>
    </w:p>
    <w:p>
      <w:pPr>
        <w:widowControl/>
        <w:spacing w:before="0" w:after="0" w:line="315" w:lineRule="atLeast"/>
        <w:ind w:firstLine="630"/>
        <w:jc w:val="left"/>
        <w:rPr>
          <w:rFonts w:hint="eastAsia" w:ascii="仿宋" w:hAnsi="仿宋" w:eastAsia="仿宋" w:cs="仿宋"/>
          <w:sz w:val="32"/>
          <w:szCs w:val="32"/>
          <w:lang w:val="en-US" w:eastAsia="zh-CN"/>
        </w:rPr>
      </w:pPr>
    </w:p>
    <w:p>
      <w:pPr>
        <w:widowControl/>
        <w:spacing w:before="0" w:after="0" w:line="315" w:lineRule="atLeast"/>
        <w:ind w:firstLine="630"/>
        <w:jc w:val="left"/>
        <w:rPr>
          <w:rFonts w:hint="eastAsia" w:ascii="仿宋" w:hAnsi="仿宋" w:eastAsia="仿宋" w:cs="仿宋"/>
          <w:sz w:val="32"/>
          <w:szCs w:val="32"/>
          <w:lang w:val="en-US" w:eastAsia="zh-CN"/>
        </w:rPr>
      </w:pPr>
    </w:p>
    <w:p>
      <w:pPr>
        <w:widowControl/>
        <w:spacing w:before="0" w:after="0" w:line="315" w:lineRule="atLeast"/>
        <w:ind w:firstLine="630"/>
        <w:jc w:val="left"/>
        <w:rPr>
          <w:rFonts w:hint="eastAsia" w:ascii="仿宋" w:hAnsi="仿宋" w:eastAsia="仿宋" w:cs="仿宋"/>
          <w:sz w:val="32"/>
          <w:szCs w:val="32"/>
          <w:lang w:val="en-US" w:eastAsia="zh-CN"/>
        </w:rPr>
      </w:pPr>
    </w:p>
    <w:p>
      <w:pPr>
        <w:widowControl/>
        <w:spacing w:before="0" w:after="0" w:line="315" w:lineRule="atLeast"/>
        <w:ind w:firstLine="630"/>
        <w:jc w:val="left"/>
        <w:rPr>
          <w:rFonts w:hint="eastAsia" w:ascii="仿宋" w:hAnsi="仿宋" w:eastAsia="仿宋" w:cs="仿宋"/>
          <w:sz w:val="32"/>
          <w:szCs w:val="32"/>
          <w:lang w:val="en-US" w:eastAsia="zh-CN"/>
        </w:rPr>
      </w:pPr>
    </w:p>
    <w:p>
      <w:pPr>
        <w:widowControl/>
        <w:spacing w:before="0" w:after="0" w:line="315" w:lineRule="atLeast"/>
        <w:ind w:firstLine="630"/>
        <w:jc w:val="left"/>
        <w:rPr>
          <w:rFonts w:hint="eastAsia" w:ascii="仿宋" w:hAnsi="仿宋" w:eastAsia="仿宋" w:cs="仿宋"/>
          <w:sz w:val="32"/>
          <w:szCs w:val="32"/>
          <w:lang w:val="en-US" w:eastAsia="zh-CN"/>
        </w:rPr>
      </w:pPr>
    </w:p>
    <w:p>
      <w:pPr>
        <w:widowControl/>
        <w:spacing w:before="0" w:after="0" w:line="315" w:lineRule="atLeast"/>
        <w:ind w:firstLine="630"/>
        <w:jc w:val="left"/>
        <w:rPr>
          <w:rFonts w:hint="eastAsia" w:ascii="仿宋" w:hAnsi="仿宋" w:eastAsia="仿宋" w:cs="仿宋"/>
          <w:sz w:val="32"/>
          <w:szCs w:val="32"/>
          <w:lang w:val="en-US" w:eastAsia="zh-CN"/>
        </w:rPr>
      </w:pPr>
    </w:p>
    <w:p>
      <w:pPr>
        <w:widowControl/>
        <w:spacing w:before="0" w:after="0" w:line="315" w:lineRule="atLeast"/>
        <w:ind w:firstLine="630"/>
        <w:jc w:val="left"/>
        <w:rPr>
          <w:rFonts w:hint="eastAsia" w:ascii="仿宋" w:hAnsi="仿宋" w:eastAsia="仿宋" w:cs="仿宋"/>
          <w:sz w:val="32"/>
          <w:szCs w:val="32"/>
          <w:lang w:val="en-US" w:eastAsia="zh-CN"/>
        </w:rPr>
      </w:pPr>
    </w:p>
    <w:p>
      <w:pPr>
        <w:widowControl/>
        <w:spacing w:before="0" w:after="0" w:line="315" w:lineRule="atLeast"/>
        <w:ind w:firstLine="630"/>
        <w:jc w:val="left"/>
        <w:rPr>
          <w:rFonts w:hint="eastAsia" w:ascii="仿宋" w:hAnsi="仿宋" w:eastAsia="仿宋" w:cs="仿宋"/>
          <w:sz w:val="32"/>
          <w:szCs w:val="32"/>
          <w:lang w:val="en-US" w:eastAsia="zh-CN"/>
        </w:rPr>
      </w:pPr>
    </w:p>
    <w:p>
      <w:pPr>
        <w:widowControl/>
        <w:spacing w:before="0" w:after="0" w:line="315" w:lineRule="atLeast"/>
        <w:ind w:firstLine="630"/>
        <w:jc w:val="left"/>
        <w:rPr>
          <w:rFonts w:hint="eastAsia" w:ascii="仿宋" w:hAnsi="仿宋" w:eastAsia="仿宋" w:cs="仿宋"/>
          <w:sz w:val="32"/>
          <w:szCs w:val="32"/>
          <w:lang w:val="en-US" w:eastAsia="zh-CN"/>
        </w:rPr>
      </w:pPr>
    </w:p>
    <w:p>
      <w:pPr>
        <w:widowControl/>
        <w:spacing w:before="0" w:after="0" w:line="315" w:lineRule="atLeast"/>
        <w:ind w:firstLine="630"/>
        <w:jc w:val="left"/>
        <w:rPr>
          <w:rFonts w:hint="eastAsia" w:ascii="仿宋" w:hAnsi="仿宋" w:eastAsia="仿宋" w:cs="仿宋"/>
          <w:sz w:val="32"/>
          <w:szCs w:val="32"/>
          <w:lang w:val="en-US" w:eastAsia="zh-CN"/>
        </w:rPr>
      </w:pP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br w:type="textWrapping"/>
      </w:r>
      <w:r>
        <w:rPr>
          <w:rFonts w:ascii="仿宋" w:hAnsi="仿宋" w:eastAsia="仿宋" w:cs="仿宋"/>
          <w:kern w:val="0"/>
          <w:sz w:val="32"/>
          <w:szCs w:val="32"/>
        </w:rPr>
        <w:t>附：</w:t>
      </w:r>
    </w:p>
    <w:p>
      <w:pPr>
        <w:widowControl/>
        <w:spacing w:before="0" w:after="0" w:line="315" w:lineRule="atLeast"/>
        <w:ind w:firstLine="630"/>
        <w:jc w:val="center"/>
        <w:rPr>
          <w:rFonts w:ascii="仿宋" w:hAnsi="仿宋" w:eastAsia="仿宋" w:cs="仿宋"/>
          <w:kern w:val="0"/>
          <w:sz w:val="32"/>
          <w:szCs w:val="32"/>
        </w:rPr>
      </w:pPr>
    </w:p>
    <w:p>
      <w:pPr>
        <w:widowControl/>
        <w:spacing w:before="0" w:after="0" w:line="315" w:lineRule="atLeast"/>
        <w:ind w:firstLine="630"/>
        <w:jc w:val="center"/>
        <w:rPr>
          <w:rFonts w:ascii="仿宋" w:hAnsi="仿宋" w:eastAsia="仿宋" w:cs="仿宋"/>
          <w:kern w:val="0"/>
          <w:sz w:val="32"/>
          <w:szCs w:val="32"/>
        </w:rPr>
      </w:pPr>
      <w:r>
        <w:rPr>
          <w:rFonts w:ascii="仿宋" w:hAnsi="仿宋" w:eastAsia="仿宋" w:cs="仿宋"/>
          <w:kern w:val="0"/>
          <w:sz w:val="32"/>
          <w:szCs w:val="32"/>
        </w:rPr>
        <w:t>行政事业单位财务分析指标</w:t>
      </w:r>
    </w:p>
    <w:p>
      <w:pPr>
        <w:widowControl/>
        <w:spacing w:before="0" w:after="0" w:line="315" w:lineRule="atLeast"/>
        <w:ind w:firstLine="630"/>
        <w:jc w:val="center"/>
        <w:rPr>
          <w:rFonts w:ascii="仿宋" w:hAnsi="仿宋" w:eastAsia="仿宋" w:cs="仿宋"/>
          <w:kern w:val="0"/>
          <w:sz w:val="32"/>
          <w:szCs w:val="32"/>
        </w:rPr>
      </w:pPr>
    </w:p>
    <w:p>
      <w:pPr>
        <w:widowControl/>
        <w:spacing w:before="0" w:after="0" w:line="315" w:lineRule="atLeast"/>
        <w:ind w:firstLine="630"/>
        <w:jc w:val="left"/>
        <w:rPr>
          <w:rFonts w:ascii="黑体" w:hAnsi="黑体" w:eastAsia="黑体" w:cs="黑体"/>
          <w:kern w:val="0"/>
          <w:sz w:val="32"/>
          <w:szCs w:val="32"/>
        </w:rPr>
      </w:pPr>
      <w:r>
        <w:rPr>
          <w:rFonts w:ascii="黑体" w:hAnsi="黑体" w:eastAsia="黑体" w:cs="黑体"/>
          <w:kern w:val="0"/>
          <w:sz w:val="32"/>
          <w:szCs w:val="32"/>
        </w:rPr>
        <w:t>一、行政单位财务分析指标</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1.支出增长率，衡量行政单位支出的增长水平。计算公式为：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支出增长率＝(本期支出总额÷上期支出总额-1)×100%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2.当年预算支出完成率，衡量行政单位当年支出总预算及分项预算完成的程度。计算公式为：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当年预算支出完成率＝年终执行数÷全年预算数×100%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年终执行数不含上年结转和结余支出数。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3.人均开支，衡量行政单位人均年消耗经费水平。计算公式为：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人均开支＝本期支出数÷本期平均在职人员数×100%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4.项目支出占总支出的比率，衡量行政单位的支出结构。计算公式为：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项目支出比率=本期项目支出数÷本期支出总数×100%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5.人员支出、公用支出占总支出的比率，衡量行政单位的支出结构。计算公式为：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人员支出比率=本期人员支出数÷本期支出总数×100%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公用支出比率=本期公用支出数÷本期支出总数×100%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6.人均办公使用面积，衡量行政单位办公用房配备情况。计算公式为：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人均办公使用面积=本期末单位办公用房使用面积÷本期末在职人员数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7.人车比例，衡量行政单位公务用车配备情况。计算公式为：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人车比例=本期末在职人员数÷本期末公务用车实有数</w:t>
      </w:r>
    </w:p>
    <w:p>
      <w:pPr>
        <w:widowControl/>
        <w:spacing w:before="0" w:after="0" w:line="315" w:lineRule="atLeast"/>
        <w:ind w:firstLine="630"/>
        <w:jc w:val="left"/>
        <w:rPr>
          <w:rFonts w:ascii="仿宋" w:hAnsi="仿宋" w:eastAsia="仿宋" w:cs="仿宋"/>
          <w:kern w:val="0"/>
          <w:sz w:val="32"/>
          <w:szCs w:val="32"/>
        </w:rPr>
      </w:pPr>
    </w:p>
    <w:p>
      <w:pPr>
        <w:widowControl/>
        <w:spacing w:before="0" w:after="0" w:line="315" w:lineRule="atLeast"/>
        <w:ind w:firstLine="630"/>
        <w:jc w:val="left"/>
        <w:rPr>
          <w:rFonts w:ascii="黑体" w:hAnsi="黑体" w:eastAsia="黑体" w:cs="黑体"/>
          <w:kern w:val="0"/>
          <w:sz w:val="32"/>
          <w:szCs w:val="32"/>
        </w:rPr>
      </w:pPr>
      <w:r>
        <w:rPr>
          <w:rFonts w:ascii="黑体" w:hAnsi="黑体" w:eastAsia="黑体" w:cs="黑体"/>
          <w:kern w:val="0"/>
          <w:sz w:val="32"/>
          <w:szCs w:val="32"/>
        </w:rPr>
        <w:t>二、事业单位财务分析指标</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1.预算收入和支出完成率，衡量事业单位收入和支出总预算及分项预算完成的程度。计算公式为：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预算收入完成率＝年终执行数÷全年预算数×100%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年终执行数不含上年结转和结余收入数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预算支出完成率＝年终执行数÷全年预算数×100%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年终执行数不含上年结转和结余支出数</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2.人员支出、公用支出占事业支出的比率，衡量事业单位事业支出结构。计算公式为：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人员支出比率＝人员支出÷事业支出×100%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公用支出比率＝公用支出÷事业支出×100%</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3.人均基本支出，衡量事业单位按照实际在编人数平均的基本支出水平。计算公式为：</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人均基本支出＝（基本支出-离退休人员支出）÷实际在编人数</w:t>
      </w:r>
    </w:p>
    <w:p>
      <w:pPr>
        <w:widowControl/>
        <w:spacing w:before="0" w:after="0" w:line="315" w:lineRule="atLeast"/>
        <w:ind w:firstLine="630"/>
        <w:jc w:val="left"/>
        <w:rPr>
          <w:rFonts w:ascii="仿宋" w:hAnsi="仿宋" w:eastAsia="仿宋" w:cs="仿宋"/>
          <w:kern w:val="0"/>
          <w:sz w:val="32"/>
          <w:szCs w:val="32"/>
        </w:rPr>
      </w:pP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此外，行业事业单位还可根据相关财务制度规定和分析需要增加相关分析指标，如：</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1.财政拨款依存度, 衡量部门（单位）对财政拨款的依赖程度。</w:t>
      </w:r>
    </w:p>
    <w:p>
      <w:pPr>
        <w:widowControl/>
        <w:spacing w:before="0" w:after="0" w:line="315" w:lineRule="atLeast"/>
        <w:ind w:firstLine="630"/>
        <w:jc w:val="left"/>
        <w:rPr>
          <w:rFonts w:ascii="仿宋" w:hAnsi="仿宋" w:eastAsia="仿宋" w:cs="仿宋"/>
          <w:kern w:val="0"/>
          <w:sz w:val="32"/>
          <w:szCs w:val="32"/>
        </w:rPr>
      </w:pPr>
      <w:r>
        <w:rPr>
          <w:rFonts w:ascii="仿宋" w:hAnsi="仿宋" w:eastAsia="仿宋" w:cs="仿宋"/>
          <w:kern w:val="0"/>
          <w:sz w:val="32"/>
          <w:szCs w:val="32"/>
        </w:rPr>
        <w:t>财政拨款依存度＝财政拨款收入÷收入总额×100%</w:t>
      </w:r>
    </w:p>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7</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600C26"/>
    <w:multiLevelType w:val="singleLevel"/>
    <w:tmpl w:val="BC600C26"/>
    <w:lvl w:ilvl="0" w:tentative="0">
      <w:start w:val="6"/>
      <w:numFmt w:val="chineseCounting"/>
      <w:suff w:val="nothing"/>
      <w:lvlText w:val="（%1）"/>
      <w:lvlJc w:val="left"/>
      <w:rPr>
        <w:rFonts w:hint="eastAsia"/>
      </w:rPr>
    </w:lvl>
  </w:abstractNum>
  <w:abstractNum w:abstractNumId="1">
    <w:nsid w:val="00F3C1E4"/>
    <w:multiLevelType w:val="singleLevel"/>
    <w:tmpl w:val="00F3C1E4"/>
    <w:lvl w:ilvl="0" w:tentative="0">
      <w:start w:val="2"/>
      <w:numFmt w:val="chineseCounting"/>
      <w:suff w:val="nothing"/>
      <w:lvlText w:val="（%1）"/>
      <w:lvlJc w:val="left"/>
      <w:rPr>
        <w:rFonts w:hint="eastAsia"/>
      </w:rPr>
    </w:lvl>
  </w:abstractNum>
  <w:abstractNum w:abstractNumId="2">
    <w:nsid w:val="3D9CE50D"/>
    <w:multiLevelType w:val="singleLevel"/>
    <w:tmpl w:val="3D9CE50D"/>
    <w:lvl w:ilvl="0" w:tentative="0">
      <w:start w:val="5"/>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BEC"/>
    <w:rsid w:val="002C0BEC"/>
    <w:rsid w:val="002D05C0"/>
    <w:rsid w:val="00BC487B"/>
    <w:rsid w:val="4A460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8"/>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7">
    <w:name w:val="Heading 1 Char"/>
    <w:basedOn w:val="6"/>
    <w:link w:val="2"/>
    <w:uiPriority w:val="9"/>
    <w:rPr>
      <w:rFonts w:asciiTheme="majorHAnsi" w:hAnsiTheme="majorHAnsi" w:eastAsiaTheme="majorEastAsia" w:cstheme="majorBidi"/>
      <w:color w:val="2F5597" w:themeColor="accent1" w:themeShade="BF"/>
      <w:sz w:val="32"/>
      <w:szCs w:val="32"/>
    </w:rPr>
  </w:style>
  <w:style w:type="character" w:customStyle="1" w:styleId="8">
    <w:name w:val="Heading 2 Char"/>
    <w:basedOn w:val="6"/>
    <w:link w:val="3"/>
    <w:uiPriority w:val="9"/>
    <w:rPr>
      <w:rFonts w:asciiTheme="majorHAnsi" w:hAnsiTheme="majorHAnsi" w:eastAsiaTheme="majorEastAsia" w:cstheme="majorBidi"/>
      <w:color w:val="2F5597" w:themeColor="accent1" w:themeShade="BF"/>
      <w:sz w:val="26"/>
      <w:szCs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2023-11-08T06:42:00Z</dcterms:created>
  <dc:creator>jlw</dc:creator>
  <cp:lastModifiedBy>Administrator</cp:lastModifiedBy>
  <dcterms:modified xsi:type="dcterms:W3CDTF">2024-02-05T05:36:07Z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8AE2BA4290114608B96B15AB69CD8C6B</vt:lpwstr>
  </property>
</Properties>
</file>