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pacing w:before="0" w:line="360" w:lineRule="atLeast"/>
        <w:ind w:firstLine="630"/>
        <w:jc w:val="center"/>
        <w:rPr>
          <w:rFonts w:ascii="华文中宋" w:hAnsi="华文中宋" w:eastAsia="华文中宋" w:cs="华文中宋"/>
          <w:b w:val="0"/>
          <w:bCs w:val="0"/>
          <w:kern w:val="0"/>
          <w:sz w:val="36"/>
          <w:szCs w:val="36"/>
        </w:rPr>
      </w:pPr>
      <w:bookmarkStart w:id="0" w:name="a000"/>
    </w:p>
    <w:p>
      <w:pPr>
        <w:pStyle w:val="2"/>
        <w:keepNext w:val="0"/>
        <w:keepLines w:val="0"/>
        <w:widowControl/>
        <w:spacing w:before="0" w:line="360" w:lineRule="atLeast"/>
        <w:ind w:firstLine="630"/>
        <w:jc w:val="center"/>
        <w:rPr>
          <w:rFonts w:ascii="华文中宋" w:hAnsi="华文中宋" w:eastAsia="华文中宋" w:cs="华文中宋"/>
          <w:b w:val="0"/>
          <w:bCs w:val="0"/>
          <w:kern w:val="0"/>
          <w:sz w:val="36"/>
          <w:szCs w:val="36"/>
        </w:rPr>
      </w:pPr>
      <w:r>
        <w:rPr>
          <w:rFonts w:ascii="华文中宋" w:hAnsi="华文中宋" w:eastAsia="华文中宋" w:cs="华文中宋"/>
          <w:b w:val="0"/>
          <w:bCs w:val="0"/>
          <w:color w:val="auto"/>
          <w:kern w:val="36"/>
          <w:sz w:val="36"/>
          <w:szCs w:val="36"/>
        </w:rPr>
        <w:t>2023年度部门决算分析报告</w:t>
      </w:r>
    </w:p>
    <w:p>
      <w:pPr>
        <w:pStyle w:val="2"/>
        <w:keepNext w:val="0"/>
        <w:keepLines w:val="0"/>
        <w:widowControl/>
        <w:spacing w:before="0" w:line="360" w:lineRule="atLeast"/>
        <w:ind w:firstLine="630"/>
        <w:jc w:val="center"/>
        <w:rPr>
          <w:rFonts w:ascii="华文中宋" w:hAnsi="华文中宋" w:eastAsia="华文中宋" w:cs="华文中宋"/>
          <w:b w:val="0"/>
          <w:bCs w:val="0"/>
          <w:kern w:val="0"/>
          <w:sz w:val="36"/>
          <w:szCs w:val="36"/>
        </w:rPr>
      </w:pPr>
      <w:r>
        <w:rPr>
          <w:rFonts w:ascii="华文中宋" w:hAnsi="华文中宋" w:eastAsia="华文中宋" w:cs="华文中宋"/>
          <w:b w:val="0"/>
          <w:bCs w:val="0"/>
          <w:color w:val="auto"/>
          <w:kern w:val="36"/>
          <w:sz w:val="36"/>
          <w:szCs w:val="36"/>
        </w:rPr>
        <w:t>（</w:t>
      </w:r>
      <w:r>
        <w:rPr>
          <w:rFonts w:hint="eastAsia" w:ascii="华文中宋" w:hAnsi="华文中宋" w:eastAsia="华文中宋" w:cs="华文中宋"/>
          <w:b w:val="0"/>
          <w:bCs w:val="0"/>
          <w:color w:val="auto"/>
          <w:kern w:val="36"/>
          <w:sz w:val="36"/>
          <w:szCs w:val="36"/>
          <w:lang w:eastAsia="zh-CN"/>
        </w:rPr>
        <w:t>韶关市浈江区民政局本级</w:t>
      </w:r>
      <w:r>
        <w:rPr>
          <w:rFonts w:ascii="华文中宋" w:hAnsi="华文中宋" w:eastAsia="华文中宋" w:cs="华文中宋"/>
          <w:b w:val="0"/>
          <w:bCs w:val="0"/>
          <w:color w:val="auto"/>
          <w:kern w:val="36"/>
          <w:sz w:val="36"/>
          <w:szCs w:val="36"/>
        </w:rPr>
        <w:t>）</w:t>
      </w:r>
    </w:p>
    <w:p>
      <w:pPr>
        <w:widowControl/>
        <w:spacing w:before="0" w:after="0" w:line="315" w:lineRule="atLeast"/>
        <w:ind w:firstLine="630"/>
        <w:jc w:val="left"/>
        <w:rPr>
          <w:rFonts w:ascii="仿宋" w:hAnsi="仿宋" w:eastAsia="仿宋" w:cs="仿宋"/>
          <w:kern w:val="0"/>
          <w:sz w:val="32"/>
          <w:szCs w:val="32"/>
        </w:rPr>
      </w:pPr>
    </w:p>
    <w:p>
      <w:pPr>
        <w:pStyle w:val="3"/>
        <w:keepNext w:val="0"/>
        <w:keepLines w:val="0"/>
        <w:widowControl/>
        <w:spacing w:before="0" w:line="315" w:lineRule="atLeast"/>
        <w:ind w:firstLine="630"/>
        <w:jc w:val="left"/>
        <w:rPr>
          <w:rFonts w:ascii="黑体" w:hAnsi="黑体" w:eastAsia="黑体" w:cs="黑体"/>
          <w:b w:val="0"/>
          <w:bCs w:val="0"/>
          <w:kern w:val="0"/>
          <w:sz w:val="32"/>
          <w:szCs w:val="32"/>
        </w:rPr>
      </w:pPr>
      <w:r>
        <w:rPr>
          <w:rFonts w:ascii="黑体" w:hAnsi="黑体" w:eastAsia="黑体" w:cs="黑体"/>
          <w:b w:val="0"/>
          <w:bCs w:val="0"/>
          <w:color w:val="auto"/>
          <w:kern w:val="0"/>
          <w:sz w:val="32"/>
          <w:szCs w:val="32"/>
        </w:rPr>
        <w:t>一、单位情况</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（一）基本情况。</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1．主要职能。</w:t>
      </w:r>
    </w:p>
    <w:p>
      <w:pPr>
        <w:widowControl/>
        <w:spacing w:before="0" w:after="0" w:line="315" w:lineRule="atLeast"/>
        <w:ind w:firstLine="630"/>
        <w:jc w:val="left"/>
        <w:rPr>
          <w:rFonts w:hint="eastAsia" w:ascii="仿宋" w:hAnsi="仿宋" w:eastAsia="仿宋" w:cs="仿宋"/>
          <w:kern w:val="0"/>
          <w:sz w:val="32"/>
          <w:szCs w:val="32"/>
        </w:rPr>
      </w:pPr>
      <w:r>
        <w:rPr>
          <w:rFonts w:hint="eastAsia" w:ascii="仿宋" w:hAnsi="仿宋" w:eastAsia="仿宋" w:cs="仿宋"/>
          <w:kern w:val="0"/>
          <w:sz w:val="32"/>
          <w:szCs w:val="32"/>
        </w:rPr>
        <w:t>（一）制定和实施各项民政工作规划，指导和监督基层民政工作。</w:t>
      </w:r>
    </w:p>
    <w:p>
      <w:pPr>
        <w:widowControl/>
        <w:spacing w:before="0" w:after="0" w:line="315" w:lineRule="atLeast"/>
        <w:ind w:firstLine="630"/>
        <w:jc w:val="left"/>
        <w:rPr>
          <w:rFonts w:hint="eastAsia" w:ascii="仿宋" w:hAnsi="仿宋" w:eastAsia="仿宋" w:cs="仿宋"/>
          <w:kern w:val="0"/>
          <w:sz w:val="32"/>
          <w:szCs w:val="32"/>
        </w:rPr>
      </w:pPr>
      <w:r>
        <w:rPr>
          <w:rFonts w:hint="eastAsia" w:ascii="仿宋" w:hAnsi="仿宋" w:eastAsia="仿宋" w:cs="仿宋"/>
          <w:kern w:val="0"/>
          <w:sz w:val="32"/>
          <w:szCs w:val="32"/>
        </w:rPr>
        <w:t>（二）贯彻落实社会团体、社会服务机构等社会组织登记和监督法律法规并组织实施，依法对社会组织进行登记管理和执法监督。</w:t>
      </w:r>
    </w:p>
    <w:p>
      <w:pPr>
        <w:widowControl/>
        <w:spacing w:before="0" w:after="0" w:line="315" w:lineRule="atLeast"/>
        <w:ind w:firstLine="630"/>
        <w:jc w:val="left"/>
        <w:rPr>
          <w:rFonts w:hint="eastAsia" w:ascii="仿宋" w:hAnsi="仿宋" w:eastAsia="仿宋" w:cs="仿宋"/>
          <w:kern w:val="0"/>
          <w:sz w:val="32"/>
          <w:szCs w:val="32"/>
        </w:rPr>
      </w:pPr>
      <w:r>
        <w:rPr>
          <w:rFonts w:hint="eastAsia" w:ascii="仿宋" w:hAnsi="仿宋" w:eastAsia="仿宋" w:cs="仿宋"/>
          <w:kern w:val="0"/>
          <w:sz w:val="32"/>
          <w:szCs w:val="32"/>
        </w:rPr>
        <w:t>（三）负责志愿服务管理，会同有关部门推进社会工作人才队伍建设和志愿者队伍建设。</w:t>
      </w:r>
    </w:p>
    <w:p>
      <w:pPr>
        <w:widowControl/>
        <w:spacing w:before="0" w:after="0" w:line="315" w:lineRule="atLeast"/>
        <w:ind w:firstLine="630"/>
        <w:jc w:val="left"/>
        <w:rPr>
          <w:rFonts w:hint="eastAsia" w:ascii="仿宋" w:hAnsi="仿宋" w:eastAsia="仿宋" w:cs="仿宋"/>
          <w:kern w:val="0"/>
          <w:sz w:val="32"/>
          <w:szCs w:val="32"/>
        </w:rPr>
      </w:pPr>
      <w:r>
        <w:rPr>
          <w:rFonts w:hint="eastAsia" w:ascii="仿宋" w:hAnsi="仿宋" w:eastAsia="仿宋" w:cs="仿宋"/>
          <w:kern w:val="0"/>
          <w:sz w:val="32"/>
          <w:szCs w:val="32"/>
        </w:rPr>
        <w:t>（四）建立和实施城乡居(村)民最低生活保障、临时救助工作，健全城乡社会救助体系。负责生活无着流浪乞讨人员救助工作。</w:t>
      </w:r>
    </w:p>
    <w:p>
      <w:pPr>
        <w:widowControl/>
        <w:spacing w:before="0" w:after="0" w:line="315" w:lineRule="atLeast"/>
        <w:ind w:firstLine="630"/>
        <w:jc w:val="left"/>
        <w:rPr>
          <w:rFonts w:hint="eastAsia" w:ascii="仿宋" w:hAnsi="仿宋" w:eastAsia="仿宋" w:cs="仿宋"/>
          <w:kern w:val="0"/>
          <w:sz w:val="32"/>
          <w:szCs w:val="32"/>
        </w:rPr>
      </w:pPr>
      <w:r>
        <w:rPr>
          <w:rFonts w:hint="eastAsia" w:ascii="仿宋" w:hAnsi="仿宋" w:eastAsia="仿宋" w:cs="仿宋"/>
          <w:kern w:val="0"/>
          <w:sz w:val="32"/>
          <w:szCs w:val="32"/>
        </w:rPr>
        <w:t>（五）贯彻落实域乡基层群众自治建设和社区治理政策；负责地名管理和地名的的合名、更名、消名的报批工作；负责婚姐登记和婚姻服务管理工作；统筹推进、督促指导、监督管理养老服务工作，承担老年人福利和特殊困难老年人救助工作；促进慈善事业发展，组织指导社会捐助工作等。</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2．机构情况，本单位韶关市浈江区民政局(本级)</w:t>
      </w:r>
      <w:r>
        <w:rPr>
          <w:rFonts w:hint="eastAsia" w:ascii="仿宋" w:hAnsi="仿宋" w:eastAsia="仿宋" w:cs="仿宋"/>
          <w:kern w:val="0"/>
          <w:sz w:val="32"/>
          <w:szCs w:val="32"/>
        </w:rPr>
        <w:t>设下列内设机构：办公室、社会救助和社会事务股、基层政权建设和区划地名股、社会福利和社会组织管理股四个内设机构</w:t>
      </w:r>
      <w:r>
        <w:rPr>
          <w:rFonts w:hint="eastAsia" w:ascii="仿宋" w:hAnsi="仿宋" w:eastAsia="仿宋" w:cs="仿宋"/>
          <w:kern w:val="0"/>
          <w:sz w:val="32"/>
          <w:szCs w:val="32"/>
          <w:lang w:eastAsia="zh-CN"/>
        </w:rPr>
        <w:t>。</w:t>
      </w:r>
    </w:p>
    <w:p>
      <w:pPr>
        <w:snapToGrid w:val="0"/>
        <w:spacing w:line="520" w:lineRule="exact"/>
        <w:ind w:firstLine="640" w:firstLineChars="200"/>
        <w:rPr>
          <w:rFonts w:hint="eastAsia" w:ascii="仿宋" w:hAnsi="仿宋" w:eastAsia="仿宋" w:cs="仿宋"/>
          <w:kern w:val="0"/>
          <w:sz w:val="32"/>
          <w:szCs w:val="32"/>
        </w:rPr>
      </w:pPr>
      <w:r>
        <w:rPr>
          <w:rFonts w:ascii="仿宋" w:hAnsi="仿宋" w:eastAsia="仿宋" w:cs="仿宋"/>
          <w:kern w:val="0"/>
          <w:sz w:val="32"/>
          <w:szCs w:val="32"/>
        </w:rPr>
        <w:t>3．人员情况，本单位年末独立核算机构数 1 个，在职人员 13 人，离退休人员合计  19 人，其中由养老保险基金发放养老金的 19 人，年末遗属人员 0 人，</w:t>
      </w:r>
      <w:r>
        <w:rPr>
          <w:rFonts w:hint="eastAsia" w:ascii="仿宋" w:hAnsi="仿宋" w:eastAsia="仿宋" w:cs="仿宋"/>
          <w:kern w:val="0"/>
          <w:sz w:val="32"/>
          <w:szCs w:val="32"/>
          <w:lang w:val="en-US" w:eastAsia="zh-CN"/>
        </w:rPr>
        <w:t>2023</w:t>
      </w:r>
      <w:r>
        <w:rPr>
          <w:rFonts w:hint="eastAsia" w:ascii="仿宋" w:hAnsi="仿宋" w:eastAsia="仿宋" w:cs="仿宋"/>
          <w:kern w:val="0"/>
          <w:sz w:val="32"/>
          <w:szCs w:val="32"/>
        </w:rPr>
        <w:t>年本单位年</w:t>
      </w:r>
      <w:r>
        <w:rPr>
          <w:rFonts w:hint="eastAsia" w:ascii="仿宋" w:hAnsi="仿宋" w:eastAsia="仿宋" w:cs="仿宋"/>
          <w:kern w:val="0"/>
          <w:sz w:val="32"/>
          <w:szCs w:val="32"/>
          <w:lang w:val="en-US" w:eastAsia="zh-CN"/>
        </w:rPr>
        <w:t>末</w:t>
      </w:r>
      <w:r>
        <w:rPr>
          <w:rFonts w:hint="eastAsia" w:ascii="仿宋" w:hAnsi="仿宋" w:eastAsia="仿宋" w:cs="仿宋"/>
          <w:kern w:val="0"/>
          <w:sz w:val="32"/>
          <w:szCs w:val="32"/>
        </w:rPr>
        <w:t>实有人数</w:t>
      </w:r>
      <w:r>
        <w:rPr>
          <w:rFonts w:hint="eastAsia" w:ascii="仿宋" w:hAnsi="仿宋" w:eastAsia="仿宋" w:cs="仿宋"/>
          <w:kern w:val="0"/>
          <w:sz w:val="32"/>
          <w:szCs w:val="32"/>
          <w:lang w:val="en-US" w:eastAsia="zh-CN"/>
        </w:rPr>
        <w:t>13</w:t>
      </w:r>
      <w:r>
        <w:rPr>
          <w:rFonts w:hint="eastAsia" w:ascii="仿宋" w:hAnsi="仿宋" w:eastAsia="仿宋" w:cs="仿宋"/>
          <w:kern w:val="0"/>
          <w:sz w:val="32"/>
          <w:szCs w:val="32"/>
        </w:rPr>
        <w:t>人。比上年度</w:t>
      </w:r>
      <w:r>
        <w:rPr>
          <w:rFonts w:hint="eastAsia" w:ascii="仿宋" w:hAnsi="仿宋" w:eastAsia="仿宋" w:cs="仿宋"/>
          <w:kern w:val="0"/>
          <w:sz w:val="32"/>
          <w:szCs w:val="32"/>
          <w:lang w:eastAsia="zh-CN"/>
        </w:rPr>
        <w:t>增加</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人，主要是</w:t>
      </w:r>
      <w:r>
        <w:rPr>
          <w:rFonts w:hint="eastAsia" w:ascii="仿宋" w:hAnsi="仿宋" w:eastAsia="仿宋" w:cs="仿宋"/>
          <w:kern w:val="0"/>
          <w:sz w:val="32"/>
          <w:szCs w:val="32"/>
          <w:lang w:val="en-US" w:eastAsia="zh-CN"/>
        </w:rPr>
        <w:t>新入职事业编2</w:t>
      </w:r>
      <w:r>
        <w:rPr>
          <w:rFonts w:hint="eastAsia" w:ascii="仿宋" w:hAnsi="仿宋" w:eastAsia="仿宋" w:cs="仿宋"/>
          <w:kern w:val="0"/>
          <w:sz w:val="32"/>
          <w:szCs w:val="32"/>
        </w:rPr>
        <w:t>人。</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（二）当年取得的主要事业成效。</w:t>
      </w:r>
    </w:p>
    <w:p>
      <w:pPr>
        <w:snapToGrid w:val="0"/>
        <w:spacing w:line="520" w:lineRule="exact"/>
        <w:ind w:firstLine="640" w:firstLineChars="200"/>
        <w:rPr>
          <w:rFonts w:hint="eastAsia" w:ascii="仿宋" w:hAnsi="仿宋" w:eastAsia="仿宋" w:cs="仿宋"/>
          <w:kern w:val="0"/>
          <w:sz w:val="32"/>
          <w:szCs w:val="32"/>
          <w:lang w:val="zh-TW"/>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val="zh-TW"/>
        </w:rPr>
        <w:t>加强兜底保障，织密扎牢民生安全网。</w:t>
      </w:r>
    </w:p>
    <w:p>
      <w:pPr>
        <w:snapToGrid w:val="0"/>
        <w:spacing w:line="520" w:lineRule="exact"/>
        <w:ind w:firstLine="640" w:firstLineChars="200"/>
        <w:rPr>
          <w:rFonts w:hint="eastAsia" w:ascii="仿宋" w:hAnsi="仿宋" w:eastAsia="仿宋" w:cs="仿宋"/>
          <w:kern w:val="0"/>
          <w:sz w:val="32"/>
          <w:szCs w:val="32"/>
          <w:lang w:val="zh-TW"/>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lang w:val="zh-TW"/>
        </w:rPr>
        <w:t>创新工作思路，推进养老服务事业快速发展。</w:t>
      </w:r>
    </w:p>
    <w:p>
      <w:pPr>
        <w:snapToGrid w:val="0"/>
        <w:spacing w:line="520" w:lineRule="exact"/>
        <w:ind w:firstLine="640" w:firstLineChars="200"/>
        <w:rPr>
          <w:rFonts w:hint="eastAsia" w:ascii="仿宋" w:hAnsi="仿宋" w:eastAsia="仿宋" w:cs="仿宋"/>
          <w:kern w:val="0"/>
          <w:sz w:val="32"/>
          <w:szCs w:val="32"/>
          <w:lang w:val="zh-TW"/>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lang w:val="zh-TW"/>
        </w:rPr>
        <w:t>加强能力建设，守住儿童生存发展底线。</w:t>
      </w:r>
    </w:p>
    <w:p>
      <w:pPr>
        <w:snapToGrid w:val="0"/>
        <w:spacing w:line="5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注重政策创制，推进基层社会治理能力进一步提升。</w:t>
      </w:r>
    </w:p>
    <w:p>
      <w:pPr>
        <w:snapToGrid w:val="0"/>
        <w:spacing w:line="52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强化责任担当，高质量完成全区中心任务。</w:t>
      </w:r>
    </w:p>
    <w:p>
      <w:pPr>
        <w:pStyle w:val="3"/>
        <w:keepNext w:val="0"/>
        <w:keepLines w:val="0"/>
        <w:widowControl/>
        <w:spacing w:before="0" w:line="315" w:lineRule="atLeast"/>
        <w:ind w:firstLine="630"/>
        <w:jc w:val="left"/>
        <w:rPr>
          <w:rFonts w:ascii="黑体" w:hAnsi="黑体" w:eastAsia="黑体" w:cs="黑体"/>
          <w:b w:val="0"/>
          <w:bCs w:val="0"/>
          <w:kern w:val="0"/>
          <w:sz w:val="32"/>
          <w:szCs w:val="32"/>
        </w:rPr>
      </w:pPr>
      <w:r>
        <w:rPr>
          <w:rFonts w:ascii="黑体" w:hAnsi="黑体" w:eastAsia="黑体" w:cs="黑体"/>
          <w:b w:val="0"/>
          <w:bCs w:val="0"/>
          <w:color w:val="auto"/>
          <w:kern w:val="0"/>
          <w:sz w:val="32"/>
          <w:szCs w:val="32"/>
        </w:rPr>
        <w:t>二、收入支出预算执行情况分析</w:t>
      </w:r>
    </w:p>
    <w:p>
      <w:pPr>
        <w:widowControl/>
        <w:spacing w:before="0" w:after="0" w:line="315" w:lineRule="atLeast"/>
        <w:ind w:firstLine="630"/>
        <w:jc w:val="left"/>
        <w:rPr>
          <w:rFonts w:ascii="楷体" w:hAnsi="楷体" w:eastAsia="楷体" w:cs="楷体"/>
          <w:b/>
          <w:bCs/>
          <w:kern w:val="0"/>
          <w:sz w:val="32"/>
          <w:szCs w:val="32"/>
        </w:rPr>
      </w:pPr>
      <w:r>
        <w:rPr>
          <w:rFonts w:ascii="楷体" w:hAnsi="楷体" w:eastAsia="楷体" w:cs="楷体"/>
          <w:b/>
          <w:bCs/>
          <w:kern w:val="0"/>
          <w:sz w:val="32"/>
          <w:szCs w:val="32"/>
        </w:rPr>
        <w:t>（一）收入支出预算安排情况。</w:t>
      </w:r>
    </w:p>
    <w:p>
      <w:pPr>
        <w:widowControl/>
        <w:spacing w:before="0" w:after="0" w:line="315" w:lineRule="atLeast"/>
        <w:ind w:firstLine="630"/>
        <w:jc w:val="left"/>
        <w:rPr>
          <w:rFonts w:hint="eastAsia" w:ascii="仿宋" w:hAnsi="仿宋" w:eastAsia="仿宋" w:cs="仿宋"/>
          <w:kern w:val="0"/>
          <w:sz w:val="32"/>
          <w:szCs w:val="32"/>
          <w:lang w:val="zh-TW"/>
        </w:rPr>
      </w:pPr>
      <w:r>
        <w:rPr>
          <w:rFonts w:hint="eastAsia" w:ascii="仿宋" w:hAnsi="仿宋" w:eastAsia="仿宋" w:cs="仿宋"/>
          <w:kern w:val="0"/>
          <w:sz w:val="32"/>
          <w:szCs w:val="32"/>
          <w:lang w:val="zh-TW"/>
        </w:rPr>
        <w:t>202</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lang w:val="zh-TW"/>
        </w:rPr>
        <w:t>年本部门收入预算</w:t>
      </w:r>
      <w:r>
        <w:rPr>
          <w:rFonts w:hint="eastAsia" w:ascii="仿宋" w:hAnsi="仿宋" w:eastAsia="仿宋" w:cs="仿宋"/>
          <w:kern w:val="0"/>
          <w:sz w:val="32"/>
          <w:szCs w:val="32"/>
          <w:lang w:val="en-US" w:eastAsia="zh-CN"/>
        </w:rPr>
        <w:t>5904.96</w:t>
      </w:r>
      <w:r>
        <w:rPr>
          <w:rFonts w:hint="eastAsia" w:ascii="仿宋" w:hAnsi="仿宋" w:eastAsia="仿宋" w:cs="仿宋"/>
          <w:kern w:val="0"/>
          <w:sz w:val="32"/>
          <w:szCs w:val="32"/>
          <w:lang w:val="zh-TW" w:eastAsia="zh-CN"/>
        </w:rPr>
        <w:t>万元</w:t>
      </w:r>
      <w:r>
        <w:rPr>
          <w:rFonts w:hint="eastAsia" w:ascii="仿宋" w:hAnsi="仿宋" w:eastAsia="仿宋" w:cs="仿宋"/>
          <w:kern w:val="0"/>
          <w:sz w:val="32"/>
          <w:szCs w:val="32"/>
          <w:lang w:val="zh-TW"/>
        </w:rPr>
        <w:t>，比上年</w:t>
      </w:r>
      <w:bookmarkStart w:id="1" w:name="PO_part3A1IncAmount1"/>
      <w:r>
        <w:rPr>
          <w:rFonts w:hint="eastAsia" w:ascii="仿宋" w:hAnsi="仿宋" w:eastAsia="仿宋" w:cs="仿宋"/>
          <w:kern w:val="0"/>
          <w:sz w:val="32"/>
          <w:szCs w:val="32"/>
          <w:lang w:val="zh-TW"/>
        </w:rPr>
        <w:t>增加</w:t>
      </w:r>
      <w:bookmarkEnd w:id="1"/>
      <w:r>
        <w:rPr>
          <w:rFonts w:hint="eastAsia" w:ascii="仿宋" w:hAnsi="仿宋" w:eastAsia="仿宋" w:cs="仿宋"/>
          <w:kern w:val="0"/>
          <w:sz w:val="32"/>
          <w:szCs w:val="32"/>
          <w:lang w:val="en-US" w:eastAsia="zh-CN"/>
        </w:rPr>
        <w:t>1004.47</w:t>
      </w:r>
      <w:r>
        <w:rPr>
          <w:rFonts w:hint="eastAsia" w:ascii="仿宋" w:hAnsi="仿宋" w:eastAsia="仿宋" w:cs="仿宋"/>
          <w:kern w:val="0"/>
          <w:sz w:val="32"/>
          <w:szCs w:val="32"/>
          <w:lang w:val="zh-TW" w:eastAsia="zh-CN"/>
        </w:rPr>
        <w:t>万元</w:t>
      </w:r>
      <w:r>
        <w:rPr>
          <w:rFonts w:hint="eastAsia" w:ascii="仿宋" w:hAnsi="仿宋" w:eastAsia="仿宋" w:cs="仿宋"/>
          <w:kern w:val="0"/>
          <w:sz w:val="32"/>
          <w:szCs w:val="32"/>
          <w:lang w:val="zh-TW"/>
        </w:rPr>
        <w:t>，</w:t>
      </w:r>
      <w:bookmarkStart w:id="2" w:name="PO_part3A1IncPercent1"/>
      <w:r>
        <w:rPr>
          <w:rFonts w:hint="eastAsia" w:ascii="仿宋" w:hAnsi="仿宋" w:eastAsia="仿宋" w:cs="仿宋"/>
          <w:kern w:val="0"/>
          <w:sz w:val="32"/>
          <w:szCs w:val="32"/>
          <w:lang w:val="zh-TW"/>
        </w:rPr>
        <w:t>增长</w:t>
      </w:r>
      <w:r>
        <w:rPr>
          <w:rFonts w:hint="eastAsia" w:ascii="仿宋" w:hAnsi="仿宋" w:eastAsia="仿宋" w:cs="仿宋"/>
          <w:kern w:val="0"/>
          <w:sz w:val="32"/>
          <w:szCs w:val="32"/>
          <w:lang w:val="en-US" w:eastAsia="zh-CN"/>
        </w:rPr>
        <w:t>20.5</w:t>
      </w:r>
      <w:r>
        <w:rPr>
          <w:rFonts w:hint="eastAsia" w:ascii="仿宋" w:hAnsi="仿宋" w:eastAsia="仿宋" w:cs="仿宋"/>
          <w:kern w:val="0"/>
          <w:sz w:val="32"/>
          <w:szCs w:val="32"/>
          <w:lang w:val="zh-TW"/>
        </w:rPr>
        <w:t xml:space="preserve"> </w:t>
      </w:r>
      <w:bookmarkEnd w:id="2"/>
      <w:r>
        <w:rPr>
          <w:rFonts w:hint="eastAsia" w:ascii="仿宋" w:hAnsi="仿宋" w:eastAsia="仿宋" w:cs="仿宋"/>
          <w:kern w:val="0"/>
          <w:sz w:val="32"/>
          <w:szCs w:val="32"/>
          <w:lang w:val="zh-TW"/>
        </w:rPr>
        <w:t>%，主要原因是</w:t>
      </w:r>
      <w:bookmarkStart w:id="3" w:name="PO_part3A1IncReason1"/>
      <w:r>
        <w:rPr>
          <w:rFonts w:hint="eastAsia" w:ascii="仿宋" w:hAnsi="仿宋" w:eastAsia="仿宋" w:cs="仿宋"/>
          <w:kern w:val="0"/>
          <w:sz w:val="32"/>
          <w:szCs w:val="32"/>
          <w:lang w:val="en-US" w:eastAsia="zh-CN"/>
        </w:rPr>
        <w:t>困难群众救助</w:t>
      </w:r>
      <w:r>
        <w:rPr>
          <w:rFonts w:hint="eastAsia" w:ascii="仿宋" w:hAnsi="仿宋" w:eastAsia="仿宋" w:cs="仿宋"/>
          <w:kern w:val="0"/>
          <w:sz w:val="32"/>
          <w:szCs w:val="32"/>
          <w:lang w:val="zh-TW"/>
        </w:rPr>
        <w:t>对象</w:t>
      </w:r>
      <w:r>
        <w:rPr>
          <w:rFonts w:hint="eastAsia" w:ascii="仿宋" w:hAnsi="仿宋" w:eastAsia="仿宋" w:cs="仿宋"/>
          <w:kern w:val="0"/>
          <w:sz w:val="32"/>
          <w:szCs w:val="32"/>
          <w:lang w:val="en-US" w:eastAsia="zh-CN"/>
        </w:rPr>
        <w:t>等</w:t>
      </w:r>
      <w:r>
        <w:rPr>
          <w:rFonts w:hint="eastAsia" w:ascii="仿宋" w:hAnsi="仿宋" w:eastAsia="仿宋" w:cs="仿宋"/>
          <w:kern w:val="0"/>
          <w:sz w:val="32"/>
          <w:szCs w:val="32"/>
          <w:lang w:val="zh-TW"/>
        </w:rPr>
        <w:t xml:space="preserve">数量增加及补助标准提高 </w:t>
      </w:r>
      <w:bookmarkEnd w:id="3"/>
      <w:r>
        <w:rPr>
          <w:rFonts w:hint="eastAsia" w:ascii="仿宋" w:hAnsi="仿宋" w:eastAsia="仿宋" w:cs="仿宋"/>
          <w:kern w:val="0"/>
          <w:sz w:val="32"/>
          <w:szCs w:val="32"/>
          <w:lang w:val="zh-TW"/>
        </w:rPr>
        <w:t>；支出预算</w:t>
      </w:r>
      <w:r>
        <w:rPr>
          <w:rFonts w:hint="eastAsia" w:ascii="仿宋" w:hAnsi="仿宋" w:eastAsia="仿宋" w:cs="仿宋"/>
          <w:kern w:val="0"/>
          <w:sz w:val="32"/>
          <w:szCs w:val="32"/>
          <w:lang w:val="en-US" w:eastAsia="zh-CN"/>
        </w:rPr>
        <w:t>5904.96</w:t>
      </w:r>
      <w:r>
        <w:rPr>
          <w:rFonts w:hint="eastAsia" w:ascii="仿宋" w:hAnsi="仿宋" w:eastAsia="仿宋" w:cs="仿宋"/>
          <w:kern w:val="0"/>
          <w:sz w:val="32"/>
          <w:szCs w:val="32"/>
          <w:lang w:val="zh-TW" w:eastAsia="zh-CN"/>
        </w:rPr>
        <w:t>万元</w:t>
      </w:r>
      <w:r>
        <w:rPr>
          <w:rFonts w:hint="eastAsia" w:ascii="仿宋" w:hAnsi="仿宋" w:eastAsia="仿宋" w:cs="仿宋"/>
          <w:kern w:val="0"/>
          <w:sz w:val="32"/>
          <w:szCs w:val="32"/>
          <w:lang w:val="zh-TW"/>
        </w:rPr>
        <w:t>，比上年</w:t>
      </w:r>
      <w:bookmarkStart w:id="4" w:name="PO_part3A1IncAmount2"/>
      <w:r>
        <w:rPr>
          <w:rFonts w:hint="eastAsia" w:ascii="仿宋" w:hAnsi="仿宋" w:eastAsia="仿宋" w:cs="仿宋"/>
          <w:kern w:val="0"/>
          <w:sz w:val="32"/>
          <w:szCs w:val="32"/>
          <w:lang w:val="zh-TW"/>
        </w:rPr>
        <w:t>增加</w:t>
      </w:r>
      <w:bookmarkEnd w:id="4"/>
      <w:r>
        <w:rPr>
          <w:rFonts w:hint="eastAsia" w:ascii="仿宋" w:hAnsi="仿宋" w:eastAsia="仿宋" w:cs="仿宋"/>
          <w:kern w:val="0"/>
          <w:sz w:val="32"/>
          <w:szCs w:val="32"/>
          <w:lang w:val="en-US" w:eastAsia="zh-CN"/>
        </w:rPr>
        <w:t>1004.47</w:t>
      </w:r>
      <w:r>
        <w:rPr>
          <w:rFonts w:hint="eastAsia" w:ascii="仿宋" w:hAnsi="仿宋" w:eastAsia="仿宋" w:cs="仿宋"/>
          <w:kern w:val="0"/>
          <w:sz w:val="32"/>
          <w:szCs w:val="32"/>
          <w:lang w:val="zh-TW" w:eastAsia="zh-CN"/>
        </w:rPr>
        <w:t>万元</w:t>
      </w:r>
      <w:r>
        <w:rPr>
          <w:rFonts w:hint="eastAsia" w:ascii="仿宋" w:hAnsi="仿宋" w:eastAsia="仿宋" w:cs="仿宋"/>
          <w:kern w:val="0"/>
          <w:sz w:val="32"/>
          <w:szCs w:val="32"/>
          <w:lang w:val="zh-TW"/>
        </w:rPr>
        <w:t>，</w:t>
      </w:r>
      <w:bookmarkStart w:id="5" w:name="PO_part3A1IncPercent2"/>
      <w:r>
        <w:rPr>
          <w:rFonts w:hint="eastAsia" w:ascii="仿宋" w:hAnsi="仿宋" w:eastAsia="仿宋" w:cs="仿宋"/>
          <w:kern w:val="0"/>
          <w:sz w:val="32"/>
          <w:szCs w:val="32"/>
          <w:lang w:val="zh-TW"/>
        </w:rPr>
        <w:t>增长</w:t>
      </w:r>
      <w:bookmarkEnd w:id="5"/>
      <w:r>
        <w:rPr>
          <w:rFonts w:hint="eastAsia" w:ascii="仿宋" w:hAnsi="仿宋" w:eastAsia="仿宋" w:cs="仿宋"/>
          <w:kern w:val="0"/>
          <w:sz w:val="32"/>
          <w:szCs w:val="32"/>
          <w:lang w:val="en-US" w:eastAsia="zh-CN"/>
        </w:rPr>
        <w:t>20.5</w:t>
      </w:r>
      <w:r>
        <w:rPr>
          <w:rFonts w:hint="eastAsia" w:ascii="仿宋" w:hAnsi="仿宋" w:eastAsia="仿宋" w:cs="仿宋"/>
          <w:kern w:val="0"/>
          <w:sz w:val="32"/>
          <w:szCs w:val="32"/>
          <w:lang w:val="zh-TW"/>
        </w:rPr>
        <w:t>%，主要原因是</w:t>
      </w:r>
      <w:r>
        <w:rPr>
          <w:rFonts w:hint="eastAsia" w:ascii="仿宋" w:hAnsi="仿宋" w:eastAsia="仿宋" w:cs="仿宋"/>
          <w:kern w:val="0"/>
          <w:sz w:val="32"/>
          <w:szCs w:val="32"/>
          <w:lang w:val="en-US" w:eastAsia="zh-CN"/>
        </w:rPr>
        <w:t>困难群众救助</w:t>
      </w:r>
      <w:r>
        <w:rPr>
          <w:rFonts w:hint="eastAsia" w:ascii="仿宋" w:hAnsi="仿宋" w:eastAsia="仿宋" w:cs="仿宋"/>
          <w:kern w:val="0"/>
          <w:sz w:val="32"/>
          <w:szCs w:val="32"/>
          <w:lang w:val="zh-TW"/>
        </w:rPr>
        <w:t>对象</w:t>
      </w:r>
      <w:r>
        <w:rPr>
          <w:rFonts w:hint="eastAsia" w:ascii="仿宋" w:hAnsi="仿宋" w:eastAsia="仿宋" w:cs="仿宋"/>
          <w:kern w:val="0"/>
          <w:sz w:val="32"/>
          <w:szCs w:val="32"/>
          <w:lang w:val="en-US" w:eastAsia="zh-CN"/>
        </w:rPr>
        <w:t>等</w:t>
      </w:r>
      <w:r>
        <w:rPr>
          <w:rFonts w:hint="eastAsia" w:ascii="仿宋" w:hAnsi="仿宋" w:eastAsia="仿宋" w:cs="仿宋"/>
          <w:kern w:val="0"/>
          <w:sz w:val="32"/>
          <w:szCs w:val="32"/>
          <w:lang w:val="zh-TW"/>
        </w:rPr>
        <w:t>数量增加及补助标准提高。</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（二）收入支出预算执行情况。</w:t>
      </w:r>
    </w:p>
    <w:p>
      <w:pPr>
        <w:widowControl/>
        <w:spacing w:before="0" w:after="0" w:line="315" w:lineRule="atLeast"/>
        <w:ind w:firstLine="630"/>
        <w:jc w:val="left"/>
        <w:rPr>
          <w:rFonts w:hint="eastAsia" w:ascii="仿宋_GB2312" w:hAnsi="宋体" w:eastAsia="仿宋_GB2312" w:cs="宋体"/>
          <w:sz w:val="32"/>
          <w:szCs w:val="32"/>
        </w:rPr>
      </w:pPr>
      <w:r>
        <w:rPr>
          <w:rFonts w:ascii="仿宋_GB2312" w:hAnsi="宋体" w:eastAsia="仿宋_GB2312" w:cs="宋体"/>
          <w:sz w:val="32"/>
          <w:szCs w:val="32"/>
        </w:rPr>
        <w:t>202</w:t>
      </w:r>
      <w:r>
        <w:rPr>
          <w:rFonts w:hint="eastAsia" w:ascii="仿宋_GB2312" w:hAnsi="宋体" w:eastAsia="仿宋_GB2312" w:cs="宋体"/>
          <w:sz w:val="32"/>
          <w:szCs w:val="32"/>
          <w:lang w:val="en-US" w:eastAsia="zh-CN"/>
        </w:rPr>
        <w:t>3</w:t>
      </w:r>
      <w:r>
        <w:rPr>
          <w:rFonts w:hint="eastAsia" w:ascii="仿宋_GB2312" w:hAnsi="宋体" w:eastAsia="仿宋_GB2312" w:cs="宋体"/>
          <w:sz w:val="11"/>
          <w:szCs w:val="11"/>
        </w:rPr>
        <w:t xml:space="preserve"> </w:t>
      </w:r>
      <w:r>
        <w:rPr>
          <w:rFonts w:hint="eastAsia" w:ascii="仿宋_GB2312" w:hAnsi="宋体" w:eastAsia="仿宋_GB2312" w:cs="宋体"/>
          <w:sz w:val="32"/>
          <w:szCs w:val="32"/>
        </w:rPr>
        <w:t>年度总收入</w:t>
      </w:r>
      <w:r>
        <w:rPr>
          <w:rFonts w:hint="eastAsia" w:ascii="仿宋_GB2312" w:hAnsi="仿宋" w:eastAsia="仿宋_GB2312" w:cs="Times New Roman"/>
          <w:sz w:val="32"/>
          <w:szCs w:val="32"/>
          <w:lang w:val="en-US" w:eastAsia="zh-CN"/>
        </w:rPr>
        <w:t>7817.82</w:t>
      </w:r>
      <w:r>
        <w:rPr>
          <w:rFonts w:hint="eastAsia" w:ascii="仿宋_GB2312" w:hAnsi="宋体" w:eastAsia="仿宋_GB2312" w:cs="宋体"/>
          <w:sz w:val="32"/>
          <w:szCs w:val="32"/>
          <w:lang w:eastAsia="zh-CN"/>
        </w:rPr>
        <w:t>万元</w:t>
      </w:r>
      <w:r>
        <w:rPr>
          <w:rFonts w:hint="eastAsia" w:ascii="仿宋_GB2312" w:hAnsi="宋体" w:eastAsia="仿宋_GB2312" w:cs="宋体"/>
          <w:sz w:val="32"/>
          <w:szCs w:val="32"/>
        </w:rPr>
        <w:t>，总支出</w:t>
      </w:r>
      <w:r>
        <w:rPr>
          <w:rFonts w:hint="eastAsia" w:ascii="仿宋_GB2312" w:hAnsi="仿宋" w:eastAsia="仿宋_GB2312" w:cs="Times New Roman"/>
          <w:sz w:val="32"/>
          <w:szCs w:val="32"/>
          <w:lang w:val="en-US" w:eastAsia="zh-CN"/>
        </w:rPr>
        <w:t>7817.82</w:t>
      </w:r>
      <w:r>
        <w:rPr>
          <w:rFonts w:hint="eastAsia" w:ascii="仿宋_GB2312" w:hAnsi="宋体" w:eastAsia="仿宋_GB2312" w:cs="宋体"/>
          <w:sz w:val="32"/>
          <w:szCs w:val="32"/>
          <w:lang w:eastAsia="zh-CN"/>
        </w:rPr>
        <w:t>万元</w:t>
      </w:r>
      <w:r>
        <w:rPr>
          <w:rFonts w:hint="eastAsia" w:ascii="仿宋_GB2312" w:hAnsi="宋体" w:eastAsia="仿宋_GB2312" w:cs="宋体"/>
          <w:sz w:val="32"/>
          <w:szCs w:val="32"/>
        </w:rPr>
        <w:t>，比上年决算数增加</w:t>
      </w:r>
      <w:r>
        <w:rPr>
          <w:rFonts w:hint="eastAsia" w:ascii="仿宋_GB2312" w:hAnsi="仿宋" w:eastAsia="仿宋_GB2312" w:cs="Times New Roman"/>
          <w:sz w:val="32"/>
          <w:szCs w:val="32"/>
          <w:lang w:val="en-US" w:eastAsia="zh-CN"/>
        </w:rPr>
        <w:t>717.09</w:t>
      </w:r>
      <w:r>
        <w:rPr>
          <w:rFonts w:hint="eastAsia" w:ascii="仿宋_GB2312" w:hAnsi="宋体" w:eastAsia="仿宋_GB2312" w:cs="宋体"/>
          <w:sz w:val="32"/>
          <w:szCs w:val="32"/>
          <w:lang w:eastAsia="zh-CN"/>
        </w:rPr>
        <w:t>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10.1</w:t>
      </w:r>
      <w:r>
        <w:rPr>
          <w:rFonts w:ascii="仿宋_GB2312" w:hAnsi="宋体" w:eastAsia="仿宋_GB2312" w:cs="宋体"/>
          <w:sz w:val="32"/>
          <w:szCs w:val="32"/>
        </w:rPr>
        <w:t>%。主要变动情况：</w:t>
      </w:r>
      <w:r>
        <w:rPr>
          <w:rFonts w:hint="eastAsia" w:ascii="仿宋_GB2312" w:hAnsi="宋体" w:eastAsia="仿宋_GB2312" w:cs="宋体"/>
          <w:sz w:val="32"/>
          <w:szCs w:val="32"/>
        </w:rPr>
        <w:t>一是</w:t>
      </w:r>
      <w:r>
        <w:rPr>
          <w:rFonts w:hint="eastAsia" w:ascii="仿宋_GB2312" w:hAnsi="仿宋" w:eastAsia="仿宋_GB2312" w:cs="Times New Roman"/>
          <w:sz w:val="32"/>
          <w:szCs w:val="32"/>
          <w:lang w:val="en-US" w:eastAsia="zh-CN"/>
        </w:rPr>
        <w:t>困难群众救助</w:t>
      </w:r>
      <w:r>
        <w:rPr>
          <w:rFonts w:hint="eastAsia" w:ascii="仿宋_GB2312" w:hAnsi="仿宋" w:eastAsia="仿宋_GB2312" w:cs="Times New Roman"/>
          <w:sz w:val="32"/>
          <w:szCs w:val="32"/>
        </w:rPr>
        <w:t>对象</w:t>
      </w:r>
      <w:r>
        <w:rPr>
          <w:rFonts w:hint="eastAsia" w:ascii="仿宋_GB2312" w:hAnsi="仿宋" w:eastAsia="仿宋_GB2312" w:cs="Times New Roman"/>
          <w:sz w:val="32"/>
          <w:szCs w:val="32"/>
          <w:lang w:val="en-US" w:eastAsia="zh-CN"/>
        </w:rPr>
        <w:t>等</w:t>
      </w:r>
      <w:r>
        <w:rPr>
          <w:rFonts w:hint="eastAsia" w:ascii="仿宋_GB2312" w:hAnsi="仿宋" w:eastAsia="仿宋_GB2312" w:cs="Times New Roman"/>
          <w:sz w:val="32"/>
          <w:szCs w:val="32"/>
        </w:rPr>
        <w:t>数量增加及补助标准提高</w:t>
      </w:r>
      <w:r>
        <w:rPr>
          <w:rFonts w:hint="eastAsia" w:ascii="仿宋_GB2312" w:hAnsi="宋体" w:eastAsia="仿宋_GB2312" w:cs="宋体"/>
          <w:sz w:val="32"/>
          <w:szCs w:val="32"/>
        </w:rPr>
        <w:t>，二是增加了人员经费及绩效奖励。</w:t>
      </w:r>
    </w:p>
    <w:p>
      <w:pPr>
        <w:widowControl/>
        <w:numPr>
          <w:ilvl w:val="0"/>
          <w:numId w:val="1"/>
        </w:numPr>
        <w:spacing w:before="0" w:after="0" w:line="315" w:lineRule="atLeast"/>
        <w:ind w:firstLine="630"/>
        <w:jc w:val="left"/>
        <w:rPr>
          <w:rFonts w:ascii="仿宋" w:hAnsi="仿宋" w:eastAsia="仿宋" w:cs="仿宋"/>
          <w:b/>
          <w:bCs/>
          <w:kern w:val="0"/>
          <w:sz w:val="32"/>
          <w:szCs w:val="32"/>
        </w:rPr>
      </w:pPr>
      <w:r>
        <w:rPr>
          <w:rFonts w:ascii="仿宋" w:hAnsi="仿宋" w:eastAsia="仿宋" w:cs="仿宋"/>
          <w:b/>
          <w:bCs/>
          <w:kern w:val="0"/>
          <w:sz w:val="32"/>
          <w:szCs w:val="32"/>
        </w:rPr>
        <w:t>收入支出与预算对比分析。</w:t>
      </w:r>
    </w:p>
    <w:p>
      <w:pPr>
        <w:widowControl/>
        <w:numPr>
          <w:ilvl w:val="0"/>
          <w:numId w:val="2"/>
        </w:numPr>
        <w:spacing w:before="0" w:after="0" w:line="315" w:lineRule="atLeast"/>
        <w:ind w:firstLine="640" w:firstLineChars="200"/>
        <w:jc w:val="left"/>
        <w:rPr>
          <w:rFonts w:hint="eastAsia" w:ascii="仿宋_GB2312" w:hAnsi="仿宋" w:eastAsia="仿宋_GB2312"/>
          <w:sz w:val="32"/>
          <w:szCs w:val="32"/>
        </w:rPr>
      </w:pPr>
      <w:r>
        <w:rPr>
          <w:rFonts w:hint="eastAsia" w:ascii="仿宋_GB2312" w:hAnsi="仿宋" w:eastAsia="仿宋_GB2312"/>
          <w:sz w:val="32"/>
          <w:szCs w:val="32"/>
        </w:rPr>
        <w:t>预、决算差异情况，可分收入支出功能科目、分单位、分收入支出具体项目逐项对比。</w:t>
      </w:r>
    </w:p>
    <w:p>
      <w:pPr>
        <w:widowControl/>
        <w:numPr>
          <w:ilvl w:val="0"/>
          <w:numId w:val="0"/>
        </w:numPr>
        <w:spacing w:before="0" w:after="0" w:line="315" w:lineRule="atLeast"/>
        <w:ind w:firstLine="640" w:firstLineChars="200"/>
        <w:jc w:val="left"/>
        <w:rPr>
          <w:rFonts w:hint="default" w:ascii="仿宋_GB2312" w:hAnsi="宋体" w:eastAsia="仿宋_GB2312" w:cs="宋体"/>
          <w:kern w:val="2"/>
          <w:sz w:val="32"/>
          <w:szCs w:val="32"/>
          <w:lang w:val="en-US" w:eastAsia="zh-CN" w:bidi="ar-SA"/>
        </w:rPr>
      </w:pPr>
      <w:r>
        <w:rPr>
          <w:rFonts w:hint="eastAsia" w:ascii="仿宋_GB2312" w:hAnsi="宋体" w:eastAsia="仿宋_GB2312" w:cs="宋体"/>
          <w:kern w:val="2"/>
          <w:sz w:val="32"/>
          <w:szCs w:val="32"/>
          <w:lang w:val="en-US" w:eastAsia="zh-CN" w:bidi="ar-SA"/>
        </w:rPr>
        <w:t>2023年，本部门年初预算收入5904.96万元，比上年增加1004.47万元，增长20.5%。其中：一般公共预算财政拨款收入年初预算5820.96万元，比上年增加920.47万元，增长18.78%,，事业收入年初预算收入84万元，比上年增加84万元，增长100%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640"/>
        <w:jc w:val="both"/>
        <w:rPr>
          <w:rFonts w:hint="default" w:ascii="仿宋_GB2312" w:hAnsi="宋体" w:eastAsia="仿宋_GB2312" w:cs="宋体"/>
          <w:kern w:val="2"/>
          <w:sz w:val="32"/>
          <w:szCs w:val="32"/>
          <w:lang w:val="en-US" w:eastAsia="zh-CN" w:bidi="ar-SA"/>
        </w:rPr>
      </w:pPr>
      <w:r>
        <w:rPr>
          <w:rFonts w:hint="eastAsia" w:ascii="仿宋_GB2312" w:hAnsi="宋体" w:eastAsia="仿宋_GB2312" w:cs="宋体"/>
          <w:kern w:val="2"/>
          <w:sz w:val="32"/>
          <w:szCs w:val="32"/>
          <w:lang w:val="en-US" w:eastAsia="zh-CN" w:bidi="ar-SA"/>
        </w:rPr>
        <w:t>2023年，本部门年初预算支出5904.96万元，比上年增加1004.47万元，增长20.5%,其中：基本支出年初预算352.27万元，比上年增加101.99万元，增长40.75%,项目支出年初预算5552.7万元，比上年增加902.5万元，增长19.41%。</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640"/>
        <w:jc w:val="both"/>
        <w:rPr>
          <w:rFonts w:hint="default" w:ascii="仿宋_GB2312" w:hAnsi="宋体" w:eastAsia="仿宋_GB2312" w:cs="宋体"/>
          <w:kern w:val="2"/>
          <w:sz w:val="32"/>
          <w:szCs w:val="32"/>
          <w:lang w:val="en-US" w:eastAsia="zh-CN" w:bidi="ar-SA"/>
        </w:rPr>
      </w:pPr>
      <w:r>
        <w:rPr>
          <w:rFonts w:hint="eastAsia" w:ascii="仿宋_GB2312" w:hAnsi="宋体" w:eastAsia="仿宋_GB2312" w:cs="宋体"/>
          <w:kern w:val="2"/>
          <w:sz w:val="32"/>
          <w:szCs w:val="32"/>
          <w:lang w:val="en-US" w:eastAsia="zh-CN" w:bidi="ar-SA"/>
        </w:rPr>
        <w:t>2023年收入实际完成7817.82万元，比上年增加717.09万元，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10.1</w:t>
      </w:r>
      <w:r>
        <w:rPr>
          <w:rFonts w:ascii="仿宋_GB2312" w:hAnsi="宋体" w:eastAsia="仿宋_GB2312" w:cs="宋体"/>
          <w:sz w:val="32"/>
          <w:szCs w:val="32"/>
        </w:rPr>
        <w:t>%</w:t>
      </w:r>
      <w:r>
        <w:rPr>
          <w:rFonts w:hint="eastAsia" w:ascii="仿宋_GB2312" w:hAnsi="宋体" w:eastAsia="仿宋_GB2312" w:cs="宋体"/>
          <w:kern w:val="2"/>
          <w:sz w:val="32"/>
          <w:szCs w:val="32"/>
          <w:lang w:val="en-US" w:eastAsia="zh-CN" w:bidi="ar-SA"/>
        </w:rPr>
        <w:t>。其中：一般公共预算财政拨款收入完成7563.87万元，比上年增加597.42万元，</w:t>
      </w:r>
      <w:r>
        <w:rPr>
          <w:rFonts w:ascii="仿宋_GB2312" w:hAnsi="宋体" w:eastAsia="仿宋_GB2312" w:cs="宋体"/>
          <w:sz w:val="32"/>
          <w:szCs w:val="32"/>
        </w:rPr>
        <w:t>增长</w:t>
      </w:r>
      <w:r>
        <w:rPr>
          <w:rFonts w:hint="eastAsia" w:ascii="仿宋_GB2312" w:hAnsi="宋体" w:eastAsia="仿宋_GB2312" w:cs="宋体"/>
          <w:kern w:val="2"/>
          <w:sz w:val="32"/>
          <w:szCs w:val="32"/>
          <w:lang w:val="en-US" w:eastAsia="zh-CN" w:bidi="ar-SA"/>
        </w:rPr>
        <w:t>8.58%。政府性基金财政拨款收入完成253.95万元，比上年增加119.67万元，</w:t>
      </w:r>
      <w:r>
        <w:rPr>
          <w:rFonts w:hint="eastAsia" w:ascii="仿宋_GB2312" w:hAnsi="宋体" w:eastAsia="仿宋_GB2312" w:cs="宋体"/>
          <w:sz w:val="32"/>
          <w:szCs w:val="32"/>
          <w:lang w:val="en-US" w:eastAsia="zh-CN"/>
        </w:rPr>
        <w:t>增长89.12</w:t>
      </w:r>
      <w:r>
        <w:rPr>
          <w:rFonts w:hint="eastAsia" w:ascii="仿宋_GB2312" w:hAnsi="宋体" w:eastAsia="仿宋_GB2312" w:cs="宋体"/>
          <w:kern w:val="2"/>
          <w:sz w:val="32"/>
          <w:szCs w:val="32"/>
          <w:lang w:val="en-US" w:eastAsia="zh-CN" w:bidi="ar-SA"/>
        </w:rPr>
        <w:t>%；上级补助收入完成0万元，比上年0万元；事业收入完成0万元，比上年减少0万元，0%；经营收入完成0万元，比上年0万元,增长0%；附属单位上缴收入完成0万元，比上年0万元；其他收入完成0万元，比上年减少0万元，下降0%。</w:t>
      </w:r>
      <w:bookmarkStart w:id="6" w:name="_GoBack"/>
      <w:bookmarkEnd w:id="6"/>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643"/>
        <w:jc w:val="both"/>
        <w:rPr>
          <w:rFonts w:ascii="仿宋" w:hAnsi="仿宋" w:eastAsia="仿宋" w:cs="仿宋"/>
          <w:kern w:val="0"/>
          <w:sz w:val="32"/>
          <w:szCs w:val="32"/>
        </w:rPr>
      </w:pPr>
      <w:r>
        <w:rPr>
          <w:rFonts w:hint="eastAsia" w:ascii="仿宋_GB2312" w:hAnsi="宋体" w:eastAsia="仿宋_GB2312" w:cs="宋体"/>
          <w:kern w:val="2"/>
          <w:sz w:val="32"/>
          <w:szCs w:val="32"/>
          <w:lang w:val="en-US" w:eastAsia="zh-CN" w:bidi="ar-SA"/>
        </w:rPr>
        <w:t>2023年，本部门支出7817.82万元，比上年增加717.09万元，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10.1</w:t>
      </w:r>
      <w:r>
        <w:rPr>
          <w:rFonts w:ascii="仿宋_GB2312" w:hAnsi="宋体" w:eastAsia="仿宋_GB2312" w:cs="宋体"/>
          <w:sz w:val="32"/>
          <w:szCs w:val="32"/>
        </w:rPr>
        <w:t>%</w:t>
      </w:r>
      <w:r>
        <w:rPr>
          <w:rFonts w:hint="eastAsia" w:ascii="仿宋_GB2312" w:hAnsi="宋体" w:eastAsia="仿宋_GB2312" w:cs="宋体"/>
          <w:kern w:val="2"/>
          <w:sz w:val="32"/>
          <w:szCs w:val="32"/>
          <w:lang w:val="en-US" w:eastAsia="zh-CN" w:bidi="ar-SA"/>
        </w:rPr>
        <w:t>；其中：基本支出完成340.79万元，比上年增加83.17万元，增长32.28%；项目支出7477.03万元，比上年增加633.92万元，</w:t>
      </w:r>
      <w:r>
        <w:rPr>
          <w:rFonts w:ascii="仿宋_GB2312" w:hAnsi="宋体" w:eastAsia="仿宋_GB2312" w:cs="宋体"/>
          <w:sz w:val="32"/>
          <w:szCs w:val="32"/>
        </w:rPr>
        <w:t>增长</w:t>
      </w:r>
      <w:r>
        <w:rPr>
          <w:rFonts w:hint="eastAsia" w:ascii="仿宋_GB2312" w:hAnsi="宋体" w:eastAsia="仿宋_GB2312" w:cs="宋体"/>
          <w:kern w:val="2"/>
          <w:sz w:val="32"/>
          <w:szCs w:val="32"/>
          <w:lang w:val="en-US" w:eastAsia="zh-CN" w:bidi="ar-SA"/>
        </w:rPr>
        <w:t>9.26%；人员经费完成315.08万元，比上年增加92万元，增长41.24%，公用经费完成25.71万元，比上年减少8.83万元，下降25.56%。</w:t>
      </w:r>
    </w:p>
    <w:p>
      <w:pPr>
        <w:widowControl/>
        <w:numPr>
          <w:ilvl w:val="0"/>
          <w:numId w:val="2"/>
        </w:numPr>
        <w:spacing w:before="0" w:after="0" w:line="315" w:lineRule="atLeast"/>
        <w:ind w:left="0" w:leftChars="0" w:firstLine="640" w:firstLineChars="200"/>
        <w:jc w:val="left"/>
        <w:rPr>
          <w:rFonts w:hint="eastAsia" w:ascii="仿宋_GB2312" w:hAnsi="仿宋" w:eastAsia="仿宋_GB2312"/>
          <w:sz w:val="32"/>
          <w:szCs w:val="32"/>
          <w:lang w:eastAsia="zh-CN"/>
        </w:rPr>
      </w:pPr>
      <w:r>
        <w:rPr>
          <w:rFonts w:ascii="仿宋" w:hAnsi="仿宋" w:eastAsia="仿宋" w:cs="仿宋"/>
          <w:kern w:val="0"/>
          <w:sz w:val="32"/>
          <w:szCs w:val="32"/>
        </w:rPr>
        <w:t>差异原因分析。</w:t>
      </w:r>
      <w:r>
        <w:rPr>
          <w:rFonts w:hint="eastAsia" w:ascii="仿宋_GB2312" w:hAnsi="仿宋" w:eastAsia="仿宋_GB2312"/>
          <w:sz w:val="32"/>
          <w:szCs w:val="32"/>
          <w:lang w:eastAsia="zh-CN"/>
        </w:rPr>
        <w:t>我单位做的预算是区级资金，不含上级下达的</w:t>
      </w:r>
      <w:r>
        <w:rPr>
          <w:rFonts w:hint="eastAsia" w:ascii="仿宋_GB2312" w:hAnsi="仿宋" w:eastAsia="仿宋_GB2312"/>
          <w:sz w:val="32"/>
          <w:szCs w:val="32"/>
          <w:lang w:val="en-US" w:eastAsia="zh-CN"/>
        </w:rPr>
        <w:t>福彩公益金</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社会福利等资金</w:t>
      </w:r>
      <w:r>
        <w:rPr>
          <w:rFonts w:hint="eastAsia" w:ascii="仿宋_GB2312" w:hAnsi="仿宋" w:eastAsia="仿宋_GB2312"/>
          <w:sz w:val="32"/>
          <w:szCs w:val="32"/>
          <w:lang w:eastAsia="zh-CN"/>
        </w:rPr>
        <w:t>，决算数据是包括上级下达服务对象的资金，所以</w:t>
      </w:r>
      <w:r>
        <w:rPr>
          <w:rFonts w:hint="eastAsia" w:ascii="仿宋_GB2312" w:hAnsi="仿宋" w:eastAsia="仿宋_GB2312"/>
          <w:sz w:val="32"/>
          <w:szCs w:val="32"/>
        </w:rPr>
        <w:t>差异较大</w:t>
      </w:r>
      <w:r>
        <w:rPr>
          <w:rFonts w:hint="eastAsia" w:ascii="仿宋_GB2312" w:hAnsi="仿宋" w:eastAsia="仿宋_GB2312"/>
          <w:sz w:val="32"/>
          <w:szCs w:val="32"/>
          <w:lang w:eastAsia="zh-CN"/>
        </w:rPr>
        <w:t>。</w:t>
      </w:r>
    </w:p>
    <w:p>
      <w:pPr>
        <w:widowControl/>
        <w:numPr>
          <w:ilvl w:val="0"/>
          <w:numId w:val="0"/>
        </w:numPr>
        <w:spacing w:before="0" w:after="0" w:line="315" w:lineRule="atLeast"/>
        <w:ind w:leftChars="200" w:firstLine="321" w:firstLineChars="100"/>
        <w:jc w:val="left"/>
        <w:rPr>
          <w:rFonts w:ascii="仿宋" w:hAnsi="仿宋" w:eastAsia="仿宋" w:cs="仿宋"/>
          <w:kern w:val="0"/>
          <w:sz w:val="32"/>
          <w:szCs w:val="32"/>
        </w:rPr>
      </w:pPr>
      <w:r>
        <w:rPr>
          <w:rFonts w:ascii="仿宋" w:hAnsi="仿宋" w:eastAsia="仿宋" w:cs="仿宋"/>
          <w:b/>
          <w:bCs/>
          <w:kern w:val="0"/>
          <w:sz w:val="32"/>
          <w:szCs w:val="32"/>
        </w:rPr>
        <w:t>2．收入支出结构分析。</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w:t>
      </w:r>
      <w:r>
        <w:rPr>
          <w:rFonts w:hint="eastAsia" w:ascii="仿宋_GB2312" w:hAnsi="仿宋" w:eastAsia="仿宋_GB2312"/>
          <w:sz w:val="32"/>
          <w:szCs w:val="32"/>
          <w:lang w:val="en-US" w:eastAsia="zh-CN"/>
        </w:rPr>
        <w:t>收入中，一般公共预算财政拨款收入占总收入96.75%，政府性基金财政拨款收入占总收入3.25%，其中：基本支出占总收入的4.36%，项目支出占总收入的95.64%。</w:t>
      </w:r>
    </w:p>
    <w:p>
      <w:pPr>
        <w:numPr>
          <w:ilvl w:val="0"/>
          <w:numId w:val="0"/>
        </w:numPr>
        <w:snapToGrid w:val="0"/>
        <w:spacing w:line="520" w:lineRule="exact"/>
        <w:ind w:firstLine="640" w:firstLineChars="200"/>
        <w:rPr>
          <w:rFonts w:hint="eastAsia" w:ascii="仿宋_GB2312" w:hAnsi="仿宋" w:eastAsia="仿宋_GB2312"/>
          <w:sz w:val="32"/>
          <w:szCs w:val="32"/>
          <w:lang w:val="en-US" w:eastAsia="zh-CN"/>
        </w:rPr>
      </w:pPr>
      <w:r>
        <w:rPr>
          <w:rFonts w:ascii="仿宋" w:hAnsi="仿宋" w:eastAsia="仿宋" w:cs="仿宋"/>
          <w:kern w:val="0"/>
          <w:sz w:val="32"/>
          <w:szCs w:val="32"/>
        </w:rPr>
        <w:t>（2）</w:t>
      </w:r>
      <w:r>
        <w:rPr>
          <w:rFonts w:hint="eastAsia" w:ascii="仿宋_GB2312" w:hAnsi="仿宋" w:eastAsia="仿宋_GB2312"/>
          <w:sz w:val="32"/>
          <w:szCs w:val="32"/>
          <w:lang w:val="en-US" w:eastAsia="zh-CN"/>
        </w:rPr>
        <w:t>支出中，一般公共预算财政拨款支出占总支出96.75%，政府性基金财政拨款支出占总支出3.25%。其中，基本支出占总支出的4.36%，项目支出占总支出的95.64%。</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3．支出按经济分类科目分析。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仿宋" w:hAnsi="仿宋" w:eastAsia="仿宋" w:cs="仿宋"/>
          <w:kern w:val="2"/>
          <w:sz w:val="32"/>
          <w:szCs w:val="32"/>
          <w:lang w:val="en-US" w:eastAsia="zh-CN" w:bidi="ar-SA"/>
        </w:rPr>
      </w:pPr>
      <w:r>
        <w:rPr>
          <w:rFonts w:ascii="仿宋" w:hAnsi="仿宋" w:eastAsia="仿宋" w:cs="仿宋"/>
          <w:kern w:val="0"/>
          <w:sz w:val="32"/>
          <w:szCs w:val="32"/>
        </w:rPr>
        <w:t>（1）</w:t>
      </w:r>
      <w:r>
        <w:rPr>
          <w:rFonts w:hint="eastAsia" w:ascii="仿宋_GB2312" w:hAnsi="仿宋" w:eastAsia="仿宋_GB2312"/>
          <w:sz w:val="32"/>
          <w:szCs w:val="32"/>
        </w:rPr>
        <w:t>“三公”经费支出情况：</w:t>
      </w:r>
      <w:r>
        <w:rPr>
          <w:rFonts w:ascii="仿宋" w:hAnsi="仿宋" w:eastAsia="仿宋" w:cs="仿宋"/>
          <w:i w:val="0"/>
          <w:iCs w:val="0"/>
          <w:caps w:val="0"/>
          <w:color w:val="333333"/>
          <w:spacing w:val="0"/>
          <w:sz w:val="32"/>
          <w:szCs w:val="32"/>
          <w:shd w:val="clear" w:color="auto" w:fill="FFFFFF"/>
        </w:rPr>
        <w:t>2</w:t>
      </w:r>
      <w:r>
        <w:rPr>
          <w:rFonts w:hint="eastAsia" w:ascii="仿宋" w:hAnsi="仿宋" w:eastAsia="仿宋" w:cs="仿宋"/>
          <w:kern w:val="2"/>
          <w:sz w:val="32"/>
          <w:szCs w:val="32"/>
          <w:lang w:val="en-US" w:eastAsia="zh-CN" w:bidi="ar-SA"/>
        </w:rPr>
        <w:t>023年，“三公”经费完成2.16万元，比上年减少0.97万元，下降30.99%，主要原因是：</w:t>
      </w:r>
      <w:r>
        <w:rPr>
          <w:rFonts w:hint="eastAsia" w:ascii="仿宋_GB2312" w:hAnsi="仿宋_GB2312" w:eastAsia="仿宋_GB2312" w:cs="仿宋_GB2312"/>
          <w:sz w:val="32"/>
          <w:szCs w:val="32"/>
        </w:rPr>
        <w:t>公车2010年投入使用，因使用年限长久，且经历洪灾水浸之后车辆引擎报废需大修，导致2023年修车费用增加，另业务股室需经常下乡走访慰问、巡查养老机构等，导致公车加油费用增加。</w:t>
      </w:r>
      <w:r>
        <w:rPr>
          <w:rFonts w:hint="eastAsia" w:ascii="仿宋" w:hAnsi="仿宋" w:eastAsia="仿宋" w:cs="仿宋"/>
          <w:kern w:val="2"/>
          <w:sz w:val="32"/>
          <w:szCs w:val="32"/>
          <w:lang w:val="en-US" w:eastAsia="zh-CN" w:bidi="ar-SA"/>
        </w:rPr>
        <w:t>其中：公务接待费完成0.2万元，比上年增加0.16万元，增长400%，公务用车购置及运行维护费完成1.96万元，比上年减少1.13万元，下降36.57%。公务用车保有量为1、因公出国（境）团组数及人数为零，公务接待批次2批次及人数16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w:t>
      </w:r>
      <w:r>
        <w:rPr>
          <w:rFonts w:hint="eastAsia" w:ascii="仿宋" w:hAnsi="仿宋" w:eastAsia="仿宋" w:cs="仿宋"/>
          <w:kern w:val="2"/>
          <w:sz w:val="32"/>
          <w:szCs w:val="32"/>
          <w:lang w:val="en-US" w:eastAsia="zh-CN" w:bidi="ar-SA"/>
        </w:rPr>
        <w:t>会议费支出情况：2023年会议费完成0.08万元，与上年持平。</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（3）</w:t>
      </w:r>
      <w:r>
        <w:rPr>
          <w:rFonts w:hint="eastAsia" w:ascii="仿宋" w:hAnsi="仿宋" w:eastAsia="仿宋" w:cs="仿宋"/>
          <w:kern w:val="2"/>
          <w:sz w:val="32"/>
          <w:szCs w:val="32"/>
          <w:lang w:val="en-US" w:eastAsia="zh-CN" w:bidi="ar-SA"/>
        </w:rPr>
        <w:t>培训费支出情况：2023年培训费完成0.05万元，比上年增加0.05万元，增长100%。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（4）其他对单位影响较大的支出情况。</w:t>
      </w:r>
    </w:p>
    <w:p>
      <w:pPr>
        <w:widowControl/>
        <w:spacing w:before="0" w:after="0" w:line="315" w:lineRule="atLeast"/>
        <w:ind w:firstLine="1280" w:firstLineChars="4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无。</w:t>
      </w:r>
    </w:p>
    <w:p>
      <w:pPr>
        <w:widowControl/>
        <w:numPr>
          <w:ilvl w:val="0"/>
          <w:numId w:val="3"/>
        </w:numPr>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重点经济分类支出中存在的问题及改进措施。</w:t>
      </w:r>
    </w:p>
    <w:p>
      <w:pPr>
        <w:widowControl/>
        <w:numPr>
          <w:ilvl w:val="0"/>
          <w:numId w:val="0"/>
        </w:numPr>
        <w:spacing w:before="0" w:after="0" w:line="315" w:lineRule="atLeast"/>
        <w:ind w:firstLine="1280" w:firstLineChars="400"/>
        <w:jc w:val="left"/>
        <w:rPr>
          <w:rFonts w:ascii="仿宋" w:hAnsi="仿宋" w:eastAsia="仿宋" w:cs="仿宋"/>
          <w:kern w:val="0"/>
          <w:sz w:val="32"/>
          <w:szCs w:val="32"/>
        </w:rPr>
      </w:pPr>
      <w:r>
        <w:rPr>
          <w:rFonts w:hint="eastAsia" w:ascii="仿宋" w:hAnsi="仿宋" w:eastAsia="仿宋" w:cs="仿宋"/>
          <w:kern w:val="0"/>
          <w:sz w:val="32"/>
          <w:szCs w:val="32"/>
          <w:lang w:eastAsia="zh-CN"/>
        </w:rPr>
        <w:t>无。</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4.财政拨款收入、支出分析。</w:t>
      </w:r>
    </w:p>
    <w:p>
      <w:pPr>
        <w:widowControl/>
        <w:spacing w:before="0" w:after="0" w:line="315" w:lineRule="atLeast"/>
        <w:ind w:firstLine="63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⑴本年度收入7817.82万元，均为财政拨款收入。</w:t>
      </w:r>
    </w:p>
    <w:p>
      <w:pPr>
        <w:widowControl/>
        <w:spacing w:before="0" w:after="0" w:line="315" w:lineRule="atLeast"/>
        <w:ind w:firstLine="63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⑵本年度支出7817.82万元。其中基本支出340.79万元（人员经费315.08万元，日常公用经费25.71万元），项目支出7477.03万元。</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5.非财政拨款收入分析。</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根据报表项目分析非财政拨款收入情况，按照事业收入、经营收入和其他收入等分析具体构成和特点。</w:t>
      </w:r>
    </w:p>
    <w:p>
      <w:pPr>
        <w:widowControl/>
        <w:spacing w:before="0" w:after="0" w:line="315" w:lineRule="atLeast"/>
        <w:ind w:firstLine="63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无。</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（三）年末结转和结余情况。</w:t>
      </w:r>
    </w:p>
    <w:p>
      <w:pPr>
        <w:snapToGrid w:val="0"/>
        <w:spacing w:line="520" w:lineRule="exact"/>
        <w:ind w:firstLine="640" w:firstLineChars="200"/>
        <w:rPr>
          <w:rFonts w:ascii="仿宋" w:hAnsi="仿宋" w:eastAsia="仿宋" w:cs="仿宋"/>
          <w:kern w:val="0"/>
          <w:sz w:val="32"/>
          <w:szCs w:val="32"/>
        </w:rPr>
      </w:pPr>
      <w:r>
        <w:rPr>
          <w:rFonts w:hint="eastAsia" w:ascii="仿宋" w:hAnsi="仿宋" w:eastAsia="仿宋" w:cs="仿宋"/>
          <w:sz w:val="32"/>
          <w:szCs w:val="32"/>
          <w:lang w:eastAsia="zh-CN"/>
        </w:rPr>
        <w:t>本年度无结转和结余情况。</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（四）与预算支出相关的其他指标分析。</w:t>
      </w:r>
    </w:p>
    <w:p>
      <w:pPr>
        <w:widowControl/>
        <w:spacing w:before="0" w:after="0" w:line="315" w:lineRule="atLeast"/>
        <w:ind w:firstLine="1280" w:firstLineChars="4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无。</w:t>
      </w:r>
    </w:p>
    <w:p>
      <w:pPr>
        <w:widowControl/>
        <w:numPr>
          <w:ilvl w:val="0"/>
          <w:numId w:val="4"/>
        </w:numPr>
        <w:spacing w:before="0" w:after="0" w:line="315" w:lineRule="atLeast"/>
        <w:ind w:firstLine="630"/>
        <w:jc w:val="left"/>
        <w:rPr>
          <w:rFonts w:hint="eastAsia" w:ascii="楷体" w:hAnsi="楷体" w:eastAsia="楷体" w:cs="楷体"/>
          <w:b/>
          <w:bCs/>
          <w:kern w:val="0"/>
          <w:sz w:val="32"/>
          <w:szCs w:val="32"/>
          <w:lang w:eastAsia="zh-CN"/>
        </w:rPr>
      </w:pPr>
      <w:r>
        <w:rPr>
          <w:rFonts w:ascii="楷体" w:hAnsi="楷体" w:eastAsia="楷体" w:cs="楷体"/>
          <w:b/>
          <w:bCs/>
          <w:kern w:val="0"/>
          <w:sz w:val="32"/>
          <w:szCs w:val="32"/>
        </w:rPr>
        <w:t>绩效目标完成情况。</w:t>
      </w:r>
    </w:p>
    <w:p>
      <w:pPr>
        <w:widowControl/>
        <w:spacing w:before="0" w:after="0" w:line="315" w:lineRule="atLeast"/>
        <w:ind w:firstLine="1280" w:firstLineChars="4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无。</w:t>
      </w:r>
    </w:p>
    <w:p>
      <w:pPr>
        <w:widowControl/>
        <w:numPr>
          <w:ilvl w:val="0"/>
          <w:numId w:val="4"/>
        </w:numPr>
        <w:spacing w:before="0" w:after="0" w:line="315" w:lineRule="atLeast"/>
        <w:ind w:left="0" w:leftChars="0" w:firstLine="630" w:firstLineChars="0"/>
        <w:jc w:val="left"/>
        <w:rPr>
          <w:rFonts w:ascii="楷体" w:hAnsi="楷体" w:eastAsia="楷体" w:cs="楷体"/>
          <w:b/>
          <w:bCs/>
          <w:kern w:val="0"/>
          <w:sz w:val="32"/>
          <w:szCs w:val="32"/>
        </w:rPr>
      </w:pPr>
      <w:r>
        <w:rPr>
          <w:rFonts w:ascii="楷体" w:hAnsi="楷体" w:eastAsia="楷体" w:cs="楷体"/>
          <w:b/>
          <w:bCs/>
          <w:kern w:val="0"/>
          <w:sz w:val="32"/>
          <w:szCs w:val="32"/>
        </w:rPr>
        <w:t>当年预算执行及绩效管理中存在问题、原因及改进措施。</w:t>
      </w:r>
    </w:p>
    <w:p>
      <w:pPr>
        <w:widowControl/>
        <w:spacing w:before="0" w:after="0" w:line="315" w:lineRule="atLeast"/>
        <w:ind w:firstLine="1280" w:firstLineChars="400"/>
        <w:jc w:val="left"/>
        <w:rPr>
          <w:rFonts w:ascii="楷体" w:hAnsi="楷体" w:eastAsia="楷体" w:cs="楷体"/>
          <w:b/>
          <w:bCs/>
          <w:kern w:val="0"/>
          <w:sz w:val="32"/>
          <w:szCs w:val="32"/>
        </w:rPr>
      </w:pPr>
      <w:r>
        <w:rPr>
          <w:rFonts w:hint="eastAsia" w:ascii="仿宋" w:hAnsi="仿宋" w:eastAsia="仿宋" w:cs="仿宋"/>
          <w:kern w:val="0"/>
          <w:sz w:val="32"/>
          <w:szCs w:val="32"/>
          <w:lang w:eastAsia="zh-CN"/>
        </w:rPr>
        <w:t>无。</w:t>
      </w:r>
    </w:p>
    <w:p>
      <w:pPr>
        <w:pStyle w:val="3"/>
        <w:keepNext w:val="0"/>
        <w:keepLines w:val="0"/>
        <w:widowControl/>
        <w:spacing w:before="0" w:line="315" w:lineRule="atLeast"/>
        <w:ind w:firstLine="630"/>
        <w:jc w:val="left"/>
        <w:rPr>
          <w:rFonts w:ascii="黑体" w:hAnsi="黑体" w:eastAsia="黑体" w:cs="黑体"/>
          <w:b w:val="0"/>
          <w:bCs w:val="0"/>
          <w:kern w:val="0"/>
          <w:sz w:val="32"/>
          <w:szCs w:val="32"/>
        </w:rPr>
      </w:pPr>
      <w:r>
        <w:rPr>
          <w:rFonts w:ascii="黑体" w:hAnsi="黑体" w:eastAsia="黑体" w:cs="黑体"/>
          <w:b w:val="0"/>
          <w:bCs w:val="0"/>
          <w:color w:val="auto"/>
          <w:kern w:val="0"/>
          <w:sz w:val="32"/>
          <w:szCs w:val="32"/>
        </w:rPr>
        <w:t>三、本年度部门决算等财务工作开展情况</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（一）本单位财务管理、绩效管理、决算组织、编报、审核情况。</w:t>
      </w:r>
    </w:p>
    <w:p>
      <w:pPr>
        <w:widowControl/>
        <w:spacing w:before="0" w:after="0" w:line="315" w:lineRule="atLeast"/>
        <w:ind w:firstLine="630"/>
        <w:jc w:val="left"/>
        <w:rPr>
          <w:rFonts w:ascii="仿宋" w:hAnsi="仿宋" w:eastAsia="仿宋" w:cs="仿宋"/>
          <w:kern w:val="0"/>
          <w:sz w:val="32"/>
          <w:szCs w:val="32"/>
        </w:rPr>
      </w:pPr>
      <w:r>
        <w:rPr>
          <w:rFonts w:hint="eastAsia" w:ascii="仿宋" w:hAnsi="仿宋" w:eastAsia="仿宋" w:cs="仿宋"/>
          <w:sz w:val="32"/>
          <w:szCs w:val="32"/>
          <w:lang w:eastAsia="zh-CN"/>
        </w:rPr>
        <w:t>本单位</w:t>
      </w:r>
      <w:r>
        <w:rPr>
          <w:rFonts w:hint="eastAsia" w:ascii="仿宋" w:hAnsi="仿宋" w:eastAsia="仿宋" w:cs="仿宋"/>
          <w:sz w:val="32"/>
          <w:szCs w:val="32"/>
        </w:rPr>
        <w:t>对财务进行规范化管理</w:t>
      </w:r>
      <w:r>
        <w:rPr>
          <w:rFonts w:hint="eastAsia" w:ascii="仿宋" w:hAnsi="仿宋" w:eastAsia="仿宋" w:cs="仿宋"/>
          <w:i w:val="0"/>
          <w:caps w:val="0"/>
          <w:color w:val="333333"/>
          <w:spacing w:val="0"/>
          <w:sz w:val="32"/>
          <w:szCs w:val="32"/>
          <w:shd w:val="clear" w:color="auto" w:fill="FFFFFF"/>
        </w:rPr>
        <w:t>，</w:t>
      </w:r>
      <w:r>
        <w:rPr>
          <w:rFonts w:hint="eastAsia" w:ascii="仿宋" w:hAnsi="仿宋" w:eastAsia="仿宋" w:cs="仿宋"/>
          <w:sz w:val="32"/>
          <w:szCs w:val="32"/>
        </w:rPr>
        <w:t>同财政部门及时沟通学习，积极进行决算、编报、审核等方面工作按时完成</w:t>
      </w:r>
      <w:r>
        <w:rPr>
          <w:rFonts w:hint="eastAsia" w:ascii="仿宋" w:hAnsi="仿宋" w:eastAsia="仿宋" w:cs="仿宋"/>
          <w:i w:val="0"/>
          <w:caps w:val="0"/>
          <w:color w:val="333333"/>
          <w:spacing w:val="0"/>
          <w:sz w:val="32"/>
          <w:szCs w:val="32"/>
          <w:shd w:val="clear" w:color="auto" w:fill="FFFFFF"/>
        </w:rPr>
        <w:t>，</w:t>
      </w:r>
      <w:r>
        <w:rPr>
          <w:rFonts w:hint="eastAsia" w:ascii="仿宋" w:hAnsi="仿宋" w:eastAsia="仿宋" w:cs="仿宋"/>
          <w:sz w:val="32"/>
          <w:szCs w:val="32"/>
        </w:rPr>
        <w:t>认真如实填报。</w:t>
      </w:r>
    </w:p>
    <w:p>
      <w:pPr>
        <w:widowControl/>
        <w:numPr>
          <w:ilvl w:val="0"/>
          <w:numId w:val="5"/>
        </w:numPr>
        <w:spacing w:before="0" w:after="0" w:line="315" w:lineRule="atLeast"/>
        <w:ind w:firstLine="630"/>
        <w:jc w:val="left"/>
        <w:rPr>
          <w:rFonts w:hint="default" w:ascii="仿宋" w:hAnsi="仿宋" w:eastAsia="仿宋" w:cs="仿宋"/>
          <w:kern w:val="0"/>
          <w:sz w:val="32"/>
          <w:szCs w:val="32"/>
          <w:lang w:val="en-US" w:eastAsia="zh-CN"/>
        </w:rPr>
      </w:pPr>
      <w:r>
        <w:rPr>
          <w:rFonts w:ascii="仿宋" w:hAnsi="仿宋" w:eastAsia="仿宋" w:cs="仿宋"/>
          <w:kern w:val="0"/>
          <w:sz w:val="32"/>
          <w:szCs w:val="32"/>
        </w:rPr>
        <w:t>本单位决算及绩效信息公开工作开展情况。</w:t>
      </w:r>
    </w:p>
    <w:p>
      <w:pPr>
        <w:widowControl/>
        <w:numPr>
          <w:ilvl w:val="0"/>
          <w:numId w:val="0"/>
        </w:numPr>
        <w:spacing w:before="0" w:after="0" w:line="315" w:lineRule="atLeast"/>
        <w:ind w:firstLine="620" w:firstLineChars="200"/>
        <w:jc w:val="left"/>
        <w:rPr>
          <w:rFonts w:hint="default" w:ascii="仿宋" w:hAnsi="仿宋" w:eastAsia="仿宋" w:cs="仿宋"/>
          <w:kern w:val="0"/>
          <w:sz w:val="32"/>
          <w:szCs w:val="32"/>
          <w:lang w:val="en-US" w:eastAsia="zh-CN"/>
        </w:rPr>
      </w:pPr>
      <w:r>
        <w:rPr>
          <w:rFonts w:hint="eastAsia" w:ascii="仿宋" w:hAnsi="仿宋" w:eastAsia="仿宋" w:cs="仿宋"/>
          <w:i w:val="0"/>
          <w:caps w:val="0"/>
          <w:color w:val="333333"/>
          <w:spacing w:val="0"/>
          <w:sz w:val="31"/>
          <w:szCs w:val="31"/>
          <w:shd w:val="clear" w:color="auto" w:fill="FFFFFF"/>
        </w:rPr>
        <w:t>本单位对预算和决算公开工作按规定认真执行，该填制及时填制，该公开及时公开，该上报及时上报。</w:t>
      </w:r>
      <w:r>
        <w:rPr>
          <w:rFonts w:hint="eastAsia" w:ascii="仿宋" w:hAnsi="仿宋" w:eastAsia="仿宋" w:cs="仿宋"/>
          <w:i w:val="0"/>
          <w:caps w:val="0"/>
          <w:color w:val="333333"/>
          <w:spacing w:val="0"/>
          <w:sz w:val="31"/>
          <w:szCs w:val="31"/>
          <w:shd w:val="clear" w:color="auto" w:fill="FFFFFF"/>
          <w:lang w:eastAsia="zh-CN"/>
        </w:rPr>
        <w:t>各</w:t>
      </w:r>
      <w:r>
        <w:rPr>
          <w:rFonts w:hint="eastAsia" w:ascii="仿宋" w:hAnsi="仿宋" w:eastAsia="仿宋" w:cs="仿宋"/>
          <w:i w:val="0"/>
          <w:caps w:val="0"/>
          <w:color w:val="333333"/>
          <w:spacing w:val="0"/>
          <w:sz w:val="31"/>
          <w:szCs w:val="31"/>
          <w:shd w:val="clear" w:color="auto" w:fill="FFFFFF"/>
        </w:rPr>
        <w:t>年</w:t>
      </w:r>
      <w:r>
        <w:rPr>
          <w:rFonts w:hint="eastAsia" w:ascii="仿宋" w:hAnsi="仿宋" w:eastAsia="仿宋" w:cs="仿宋"/>
          <w:i w:val="0"/>
          <w:caps w:val="0"/>
          <w:color w:val="333333"/>
          <w:spacing w:val="0"/>
          <w:sz w:val="31"/>
          <w:szCs w:val="31"/>
          <w:shd w:val="clear" w:color="auto" w:fill="FFFFFF"/>
          <w:lang w:eastAsia="zh-CN"/>
        </w:rPr>
        <w:t>度</w:t>
      </w:r>
      <w:r>
        <w:rPr>
          <w:rFonts w:hint="eastAsia" w:ascii="仿宋" w:hAnsi="仿宋" w:eastAsia="仿宋" w:cs="仿宋"/>
          <w:i w:val="0"/>
          <w:caps w:val="0"/>
          <w:color w:val="333333"/>
          <w:spacing w:val="0"/>
          <w:sz w:val="31"/>
          <w:szCs w:val="31"/>
          <w:shd w:val="clear" w:color="auto" w:fill="FFFFFF"/>
        </w:rPr>
        <w:t>部门预算、部门决算已在</w:t>
      </w:r>
      <w:r>
        <w:rPr>
          <w:rFonts w:hint="eastAsia" w:ascii="仿宋" w:hAnsi="仿宋" w:eastAsia="仿宋" w:cs="仿宋"/>
          <w:i w:val="0"/>
          <w:caps w:val="0"/>
          <w:color w:val="333333"/>
          <w:spacing w:val="0"/>
          <w:sz w:val="31"/>
          <w:szCs w:val="31"/>
          <w:shd w:val="clear" w:color="auto" w:fill="FFFFFF"/>
          <w:lang w:eastAsia="zh-CN"/>
        </w:rPr>
        <w:t>重点领域信息</w:t>
      </w:r>
      <w:r>
        <w:rPr>
          <w:rFonts w:hint="eastAsia" w:ascii="仿宋" w:hAnsi="仿宋" w:eastAsia="仿宋" w:cs="仿宋"/>
          <w:i w:val="0"/>
          <w:caps w:val="0"/>
          <w:color w:val="333333"/>
          <w:spacing w:val="0"/>
          <w:sz w:val="31"/>
          <w:szCs w:val="31"/>
          <w:shd w:val="clear" w:color="auto" w:fill="FFFFFF"/>
        </w:rPr>
        <w:t>网公示。</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kern w:val="0"/>
          <w:sz w:val="32"/>
          <w:szCs w:val="32"/>
        </w:rPr>
        <w:t>（三）对部门决算管理工作的意见和建议。</w:t>
      </w:r>
    </w:p>
    <w:p>
      <w:pPr>
        <w:numPr>
          <w:ilvl w:val="0"/>
          <w:numId w:val="0"/>
        </w:numPr>
        <w:snapToGrid w:val="0"/>
        <w:spacing w:line="520" w:lineRule="exact"/>
        <w:ind w:leftChars="200" w:firstLine="320" w:firstLineChars="100"/>
        <w:rPr>
          <w:rFonts w:ascii="仿宋" w:hAnsi="仿宋" w:eastAsia="仿宋" w:cs="仿宋"/>
          <w:kern w:val="0"/>
          <w:sz w:val="32"/>
          <w:szCs w:val="32"/>
        </w:rPr>
      </w:pPr>
      <w:r>
        <w:rPr>
          <w:rFonts w:hint="eastAsia" w:ascii="仿宋" w:hAnsi="仿宋" w:eastAsia="仿宋" w:cs="仿宋"/>
          <w:sz w:val="32"/>
          <w:szCs w:val="32"/>
          <w:lang w:val="en-US" w:eastAsia="zh-CN"/>
        </w:rPr>
        <w:t>无意见和建议。</w:t>
      </w:r>
      <w:r>
        <w:rPr>
          <w:rFonts w:ascii="仿宋" w:hAnsi="仿宋" w:eastAsia="仿宋" w:cs="仿宋"/>
          <w:kern w:val="0"/>
          <w:sz w:val="32"/>
          <w:szCs w:val="32"/>
        </w:rPr>
        <w:br w:type="textWrapping"/>
      </w:r>
      <w:r>
        <w:rPr>
          <w:rFonts w:ascii="仿宋" w:hAnsi="仿宋" w:eastAsia="仿宋" w:cs="仿宋"/>
          <w:kern w:val="0"/>
          <w:sz w:val="32"/>
          <w:szCs w:val="32"/>
        </w:rPr>
        <w:t>附：</w:t>
      </w:r>
    </w:p>
    <w:p>
      <w:pPr>
        <w:widowControl/>
        <w:spacing w:before="0" w:after="0" w:line="315" w:lineRule="atLeast"/>
        <w:ind w:firstLine="630"/>
        <w:jc w:val="center"/>
        <w:rPr>
          <w:rFonts w:ascii="仿宋" w:hAnsi="仿宋" w:eastAsia="仿宋" w:cs="仿宋"/>
          <w:kern w:val="0"/>
          <w:sz w:val="32"/>
          <w:szCs w:val="32"/>
        </w:rPr>
      </w:pPr>
    </w:p>
    <w:p>
      <w:pPr>
        <w:widowControl/>
        <w:spacing w:before="0" w:after="0" w:line="315" w:lineRule="atLeast"/>
        <w:ind w:firstLine="630"/>
        <w:jc w:val="center"/>
        <w:rPr>
          <w:rFonts w:ascii="仿宋" w:hAnsi="仿宋" w:eastAsia="仿宋" w:cs="仿宋"/>
          <w:kern w:val="0"/>
          <w:sz w:val="32"/>
          <w:szCs w:val="32"/>
        </w:rPr>
      </w:pPr>
      <w:r>
        <w:rPr>
          <w:rFonts w:ascii="仿宋" w:hAnsi="仿宋" w:eastAsia="仿宋" w:cs="仿宋"/>
          <w:kern w:val="0"/>
          <w:sz w:val="32"/>
          <w:szCs w:val="32"/>
        </w:rPr>
        <w:t>行政事业单位财务分析指标</w:t>
      </w:r>
    </w:p>
    <w:p>
      <w:pPr>
        <w:widowControl/>
        <w:spacing w:before="0" w:after="0" w:line="315" w:lineRule="atLeast"/>
        <w:ind w:firstLine="630"/>
        <w:jc w:val="center"/>
        <w:rPr>
          <w:rFonts w:ascii="仿宋" w:hAnsi="仿宋" w:eastAsia="仿宋" w:cs="仿宋"/>
          <w:kern w:val="0"/>
          <w:sz w:val="32"/>
          <w:szCs w:val="32"/>
        </w:rPr>
      </w:pPr>
    </w:p>
    <w:p>
      <w:pPr>
        <w:widowControl/>
        <w:spacing w:before="0" w:after="0" w:line="315" w:lineRule="atLeast"/>
        <w:ind w:firstLine="630"/>
        <w:jc w:val="left"/>
        <w:rPr>
          <w:rFonts w:ascii="黑体" w:hAnsi="黑体" w:eastAsia="黑体" w:cs="黑体"/>
          <w:kern w:val="0"/>
          <w:sz w:val="32"/>
          <w:szCs w:val="32"/>
        </w:rPr>
      </w:pPr>
      <w:r>
        <w:rPr>
          <w:rFonts w:ascii="黑体" w:hAnsi="黑体" w:eastAsia="黑体" w:cs="黑体"/>
          <w:kern w:val="0"/>
          <w:sz w:val="32"/>
          <w:szCs w:val="32"/>
        </w:rPr>
        <w:t>一、行政单位财务分析指标</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1.支出增长率，衡量行政单位支出的增长水平。计算公式为：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支出增长率＝(本期支出总额÷上期支出总额-1)×100%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2.当年预算支出完成率，衡量行政单位当年支出总预算及分项预算完成的程度。计算公式为：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当年预算支出完成率＝年终执行数÷全年预算数×100%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年终执行数不含上年结转和结余支出数。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3.人均开支，衡量行政单位人均年消耗经费水平。计算公式为：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人均开支＝本期支出数÷本期平均在职人员数×100%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4.项目支出占总支出的比率，衡量行政单位的支出结构。计算公式为：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项目支出比率=本期项目支出数÷本期支出总数×100%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5.人员支出、公用支出占总支出的比率，衡量行政单位的支出结构。计算公式为：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人员支出比率=本期人员支出数÷本期支出总数×100%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公用支出比率=本期公用支出数÷本期支出总数×100%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6.人均办公使用面积，衡量行政单位办公用房配备情况。计算公式为：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人均办公使用面积=本期末单位办公用房使用面积÷本期末在职人员数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7.人车比例，衡量行政单位公务用车配备情况。计算公式为：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人车比例=本期末在职人员数÷本期末公务用车实有数</w:t>
      </w:r>
    </w:p>
    <w:p>
      <w:pPr>
        <w:widowControl/>
        <w:spacing w:before="0" w:after="0" w:line="315" w:lineRule="atLeast"/>
        <w:ind w:firstLine="630"/>
        <w:jc w:val="left"/>
        <w:rPr>
          <w:rFonts w:ascii="仿宋" w:hAnsi="仿宋" w:eastAsia="仿宋" w:cs="仿宋"/>
          <w:kern w:val="0"/>
          <w:sz w:val="32"/>
          <w:szCs w:val="32"/>
        </w:rPr>
      </w:pPr>
    </w:p>
    <w:p>
      <w:pPr>
        <w:widowControl/>
        <w:spacing w:before="0" w:after="0" w:line="315" w:lineRule="atLeast"/>
        <w:ind w:firstLine="630"/>
        <w:jc w:val="left"/>
        <w:rPr>
          <w:rFonts w:ascii="黑体" w:hAnsi="黑体" w:eastAsia="黑体" w:cs="黑体"/>
          <w:kern w:val="0"/>
          <w:sz w:val="32"/>
          <w:szCs w:val="32"/>
        </w:rPr>
      </w:pPr>
      <w:r>
        <w:rPr>
          <w:rFonts w:ascii="黑体" w:hAnsi="黑体" w:eastAsia="黑体" w:cs="黑体"/>
          <w:kern w:val="0"/>
          <w:sz w:val="32"/>
          <w:szCs w:val="32"/>
        </w:rPr>
        <w:t>二、事业单位财务分析指标</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1.预算收入和支出完成率，衡量事业单位收入和支出总预算及分项预算完成的程度。计算公式为：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预算收入完成率＝年终执行数÷全年预算数×100%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年终执行数不含上年结转和结余收入数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预算支出完成率＝年终执行数÷全年预算数×100%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年终执行数不含上年结转和结余支出数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2.人员支出、公用支出占事业支出的比率，衡量事业单位事业支出结构。计算公式为：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人员支出比率＝人员支出÷事业支出×100%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公用支出比率＝公用支出÷事业支出×100%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3.人均基本支出，衡量事业单位按照实际在编人数平均的基本支出水平。计算公式为：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人均基本支出＝（基本支出-离退休人员支出）÷实际在编人数</w:t>
      </w:r>
    </w:p>
    <w:p>
      <w:pPr>
        <w:widowControl/>
        <w:spacing w:before="0" w:after="0" w:line="315" w:lineRule="atLeast"/>
        <w:ind w:firstLine="630"/>
        <w:jc w:val="left"/>
        <w:rPr>
          <w:rFonts w:ascii="仿宋" w:hAnsi="仿宋" w:eastAsia="仿宋" w:cs="仿宋"/>
          <w:kern w:val="0"/>
          <w:sz w:val="32"/>
          <w:szCs w:val="32"/>
        </w:rPr>
      </w:pP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此外，行业事业单位还可根据相关财务制度规定和分析需要增加相关分析指标，如：</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1.财政拨款依存度, 衡量部门（单位）对财政拨款的依赖程度。</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财政拨款依存度＝财政拨款收入÷收入总额×100%</w:t>
      </w:r>
    </w:p>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7</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AA5499"/>
    <w:multiLevelType w:val="singleLevel"/>
    <w:tmpl w:val="B5AA5499"/>
    <w:lvl w:ilvl="0" w:tentative="0">
      <w:start w:val="2"/>
      <w:numFmt w:val="chineseCounting"/>
      <w:suff w:val="nothing"/>
      <w:lvlText w:val="（%1）"/>
      <w:lvlJc w:val="left"/>
      <w:rPr>
        <w:rFonts w:hint="eastAsia"/>
      </w:rPr>
    </w:lvl>
  </w:abstractNum>
  <w:abstractNum w:abstractNumId="1">
    <w:nsid w:val="B81D37A4"/>
    <w:multiLevelType w:val="singleLevel"/>
    <w:tmpl w:val="B81D37A4"/>
    <w:lvl w:ilvl="0" w:tentative="0">
      <w:start w:val="1"/>
      <w:numFmt w:val="decimal"/>
      <w:suff w:val="nothing"/>
      <w:lvlText w:val="（%1）"/>
      <w:lvlJc w:val="left"/>
    </w:lvl>
  </w:abstractNum>
  <w:abstractNum w:abstractNumId="2">
    <w:nsid w:val="C232CC68"/>
    <w:multiLevelType w:val="singleLevel"/>
    <w:tmpl w:val="C232CC68"/>
    <w:lvl w:ilvl="0" w:tentative="0">
      <w:start w:val="1"/>
      <w:numFmt w:val="decimal"/>
      <w:suff w:val="nothing"/>
      <w:lvlText w:val="%1．"/>
      <w:lvlJc w:val="left"/>
    </w:lvl>
  </w:abstractNum>
  <w:abstractNum w:abstractNumId="3">
    <w:nsid w:val="F7069ABF"/>
    <w:multiLevelType w:val="singleLevel"/>
    <w:tmpl w:val="F7069ABF"/>
    <w:lvl w:ilvl="0" w:tentative="0">
      <w:start w:val="5"/>
      <w:numFmt w:val="decimal"/>
      <w:suff w:val="nothing"/>
      <w:lvlText w:val="（%1）"/>
      <w:lvlJc w:val="left"/>
    </w:lvl>
  </w:abstractNum>
  <w:abstractNum w:abstractNumId="4">
    <w:nsid w:val="FD24C276"/>
    <w:multiLevelType w:val="singleLevel"/>
    <w:tmpl w:val="FD24C276"/>
    <w:lvl w:ilvl="0" w:tentative="0">
      <w:start w:val="5"/>
      <w:numFmt w:val="chineseCounting"/>
      <w:suff w:val="nothing"/>
      <w:lvlText w:val="（%1）"/>
      <w:lvlJc w:val="left"/>
      <w:rPr>
        <w:rFonts w:hint="eastAsia"/>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BEC"/>
    <w:rsid w:val="002C0BEC"/>
    <w:rsid w:val="002D05C0"/>
    <w:rsid w:val="00BC487B"/>
    <w:rsid w:val="1B467A62"/>
    <w:rsid w:val="49384F6F"/>
    <w:rsid w:val="4B3B0743"/>
    <w:rsid w:val="4F6E5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8"/>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7">
    <w:name w:val="Heading 1 Char"/>
    <w:basedOn w:val="6"/>
    <w:link w:val="2"/>
    <w:qFormat/>
    <w:uiPriority w:val="9"/>
    <w:rPr>
      <w:rFonts w:asciiTheme="majorHAnsi" w:hAnsiTheme="majorHAnsi" w:eastAsiaTheme="majorEastAsia" w:cstheme="majorBidi"/>
      <w:color w:val="2F5597" w:themeColor="accent1" w:themeShade="BF"/>
      <w:sz w:val="32"/>
      <w:szCs w:val="32"/>
    </w:rPr>
  </w:style>
  <w:style w:type="character" w:customStyle="1" w:styleId="8">
    <w:name w:val="Heading 2 Char"/>
    <w:basedOn w:val="6"/>
    <w:link w:val="3"/>
    <w:qFormat/>
    <w:uiPriority w:val="9"/>
    <w:rPr>
      <w:rFonts w:asciiTheme="majorHAnsi" w:hAnsiTheme="majorHAnsi" w:eastAsiaTheme="majorEastAsia" w:cstheme="majorBidi"/>
      <w:color w:val="2F5597" w:themeColor="accent1" w:themeShade="BF"/>
      <w:sz w:val="26"/>
      <w:szCs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2023-11-08T06:42:00Z</dcterms:created>
  <dc:creator>jlw</dc:creator>
  <cp:lastModifiedBy>Administrator</cp:lastModifiedBy>
  <dcterms:modified xsi:type="dcterms:W3CDTF">2024-02-19T09:30:18Z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0FFA4BBE55084FDAB69A4E01401BAF88</vt:lpwstr>
  </property>
</Properties>
</file>