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方正小标宋简体" w:hAnsi="方正小标宋简体" w:eastAsia="方正小标宋简体" w:cs="方正小标宋简体"/>
          <w:sz w:val="44"/>
          <w:szCs w:val="44"/>
        </w:rPr>
      </w:pPr>
      <w:r>
        <w:rPr>
          <w:rFonts w:hint="eastAsia" w:ascii="楷体_GB2312" w:hAnsi="楷体_GB2312" w:eastAsia="楷体_GB2312" w:cs="楷体_GB2312"/>
          <w:sz w:val="32"/>
          <w:szCs w:val="32"/>
        </w:rPr>
        <w:t>〔2024·1〕区委十届第81次常委会会议材料</w:t>
      </w:r>
    </w:p>
    <w:p>
      <w:pPr>
        <w:spacing w:line="560" w:lineRule="exact"/>
        <w:jc w:val="center"/>
        <w:rPr>
          <w:rFonts w:hint="eastAsia" w:ascii="方正小标宋简体" w:eastAsia="方正小标宋简体" w:hAnsiTheme="minorHAnsi" w:cstheme="minorBidi"/>
          <w:sz w:val="44"/>
          <w:szCs w:val="44"/>
        </w:rPr>
      </w:pPr>
    </w:p>
    <w:p>
      <w:pPr>
        <w:spacing w:line="560" w:lineRule="exact"/>
        <w:jc w:val="center"/>
        <w:rPr>
          <w:rFonts w:hint="eastAsia" w:ascii="方正小标宋简体" w:eastAsia="方正小标宋简体" w:hAnsiTheme="minorHAnsi" w:cstheme="minorBidi"/>
          <w:sz w:val="44"/>
          <w:szCs w:val="44"/>
        </w:rPr>
      </w:pPr>
    </w:p>
    <w:p>
      <w:pPr>
        <w:spacing w:line="560" w:lineRule="exact"/>
        <w:jc w:val="center"/>
        <w:rPr>
          <w:rFonts w:hint="eastAsia" w:ascii="方正小标宋简体" w:eastAsia="方正小标宋简体" w:hAnsiTheme="minorHAnsi" w:cstheme="minorBidi"/>
          <w:sz w:val="44"/>
          <w:szCs w:val="44"/>
        </w:rPr>
      </w:pPr>
      <w:r>
        <w:rPr>
          <w:rFonts w:hint="eastAsia" w:ascii="方正小标宋简体" w:eastAsia="方正小标宋简体" w:hAnsiTheme="minorHAnsi" w:cstheme="minorBidi"/>
          <w:sz w:val="44"/>
          <w:szCs w:val="44"/>
        </w:rPr>
        <w:t>关于浈江区2023年招商引资工作情况</w:t>
      </w:r>
    </w:p>
    <w:p>
      <w:pPr>
        <w:spacing w:line="560" w:lineRule="exact"/>
        <w:jc w:val="center"/>
        <w:rPr>
          <w:rFonts w:ascii="仿宋_GB2312" w:hAnsi="仿宋_GB2312" w:cs="仿宋_GB2312"/>
          <w:sz w:val="32"/>
          <w:szCs w:val="32"/>
        </w:rPr>
      </w:pPr>
      <w:r>
        <w:rPr>
          <w:rFonts w:hint="eastAsia" w:ascii="方正小标宋简体" w:eastAsia="方正小标宋简体" w:hAnsiTheme="minorHAnsi" w:cstheme="minorBidi"/>
          <w:sz w:val="44"/>
          <w:szCs w:val="44"/>
        </w:rPr>
        <w:t>及下一步工作</w:t>
      </w:r>
      <w:r>
        <w:rPr>
          <w:rFonts w:hint="eastAsia" w:ascii="方正小标宋简体" w:eastAsia="方正小标宋简体" w:hAnsiTheme="minorHAnsi" w:cstheme="minorBidi"/>
          <w:sz w:val="44"/>
          <w:szCs w:val="44"/>
          <w:lang w:val="en-US" w:eastAsia="zh-CN"/>
        </w:rPr>
        <w:t>建议</w:t>
      </w:r>
      <w:r>
        <w:rPr>
          <w:rFonts w:hint="eastAsia" w:ascii="方正小标宋简体" w:eastAsia="方正小标宋简体" w:hAnsiTheme="minorHAnsi" w:cstheme="minorBidi"/>
          <w:sz w:val="44"/>
          <w:szCs w:val="44"/>
        </w:rPr>
        <w:t>的汇报</w:t>
      </w:r>
    </w:p>
    <w:p>
      <w:pPr>
        <w:pStyle w:val="3"/>
        <w:keepNext w:val="0"/>
        <w:keepLines w:val="0"/>
        <w:pageBreakBefore w:val="0"/>
        <w:widowControl w:val="0"/>
        <w:kinsoku/>
        <w:wordWrap/>
        <w:overflowPunct/>
        <w:topLinePunct w:val="0"/>
        <w:autoSpaceDE/>
        <w:autoSpaceDN/>
        <w:bidi w:val="0"/>
        <w:adjustRightInd/>
        <w:snapToGrid/>
        <w:spacing w:line="1040" w:lineRule="exact"/>
        <w:ind w:firstLine="0" w:firstLineChars="0"/>
        <w:jc w:val="center"/>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区工信局</w:t>
      </w:r>
    </w:p>
    <w:p>
      <w:pPr>
        <w:pStyle w:val="3"/>
        <w:keepNext w:val="0"/>
        <w:keepLines w:val="0"/>
        <w:pageBreakBefore w:val="0"/>
        <w:kinsoku/>
        <w:wordWrap/>
        <w:overflowPunct/>
        <w:topLinePunct w:val="0"/>
        <w:autoSpaceDE/>
        <w:autoSpaceDN/>
        <w:bidi w:val="0"/>
        <w:adjustRightInd/>
        <w:snapToGrid/>
        <w:spacing w:line="240" w:lineRule="auto"/>
        <w:ind w:firstLine="0" w:firstLineChars="0"/>
        <w:jc w:val="center"/>
        <w:textAlignment w:val="auto"/>
        <w:rPr>
          <w:rFonts w:ascii="仿宋_GB2312" w:hAnsi="仿宋_GB2312" w:cs="仿宋_GB2312"/>
          <w:sz w:val="32"/>
          <w:szCs w:val="32"/>
        </w:rPr>
      </w:pPr>
    </w:p>
    <w:p>
      <w:pPr>
        <w:pStyle w:val="3"/>
        <w:keepNext w:val="0"/>
        <w:keepLines w:val="0"/>
        <w:pageBreakBefore w:val="0"/>
        <w:kinsoku/>
        <w:wordWrap/>
        <w:overflowPunct/>
        <w:topLinePunct w:val="0"/>
        <w:autoSpaceDE/>
        <w:autoSpaceDN/>
        <w:bidi w:val="0"/>
        <w:adjustRightInd/>
        <w:snapToGrid/>
        <w:spacing w:line="240" w:lineRule="auto"/>
        <w:ind w:firstLine="0" w:firstLineChars="0"/>
        <w:jc w:val="left"/>
        <w:textAlignment w:val="auto"/>
        <w:rPr>
          <w:rFonts w:ascii="仿宋_GB2312" w:hAnsi="仿宋_GB2312" w:cs="仿宋_GB2312"/>
          <w:sz w:val="32"/>
          <w:szCs w:val="32"/>
        </w:rPr>
      </w:pPr>
      <w:r>
        <w:rPr>
          <w:rFonts w:hint="eastAsia" w:ascii="仿宋_GB2312" w:hAnsi="仿宋_GB2312" w:cs="仿宋_GB2312"/>
          <w:sz w:val="32"/>
          <w:szCs w:val="32"/>
        </w:rPr>
        <w:t>区委常委会：</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根据会议安排，下面就我区2023年招商引资工作情况及下一步工作</w:t>
      </w:r>
      <w:r>
        <w:rPr>
          <w:rFonts w:hint="eastAsia" w:ascii="仿宋_GB2312" w:hAnsi="仿宋_GB2312" w:eastAsia="仿宋_GB2312" w:cs="仿宋_GB2312"/>
          <w:sz w:val="32"/>
          <w:szCs w:val="32"/>
          <w:lang w:val="en-US" w:eastAsia="zh-CN"/>
        </w:rPr>
        <w:t>建议</w:t>
      </w:r>
      <w:r>
        <w:rPr>
          <w:rFonts w:hint="eastAsia" w:ascii="仿宋_GB2312" w:hAnsi="仿宋_GB2312" w:eastAsia="仿宋_GB2312" w:cs="仿宋_GB2312"/>
          <w:sz w:val="32"/>
          <w:szCs w:val="32"/>
        </w:rPr>
        <w:t>汇报如下。</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ascii="楷体_GB2312" w:hAnsi="楷体_GB2312" w:eastAsia="楷体_GB2312" w:cs="楷体_GB2312"/>
          <w:sz w:val="32"/>
          <w:szCs w:val="32"/>
        </w:rPr>
      </w:pPr>
      <w:r>
        <w:rPr>
          <w:rFonts w:hint="eastAsia" w:ascii="黑体" w:hAnsi="黑体" w:eastAsia="黑体" w:cs="黑体"/>
          <w:sz w:val="32"/>
          <w:szCs w:val="32"/>
        </w:rPr>
        <w:t>一、基本情况</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left"/>
        <w:textAlignment w:val="auto"/>
        <w:rPr>
          <w:rFonts w:ascii="楷体_GB2312" w:hAnsi="楷体_GB2312" w:eastAsia="楷体_GB2312" w:cs="楷体_GB2312"/>
          <w:color w:val="000000"/>
          <w:kern w:val="0"/>
          <w:sz w:val="32"/>
          <w:szCs w:val="32"/>
        </w:rPr>
      </w:pPr>
      <w:r>
        <w:rPr>
          <w:rFonts w:hint="eastAsia" w:ascii="仿宋_GB2312" w:hAnsi="宋体" w:eastAsia="仿宋_GB2312" w:cs="仿宋_GB2312"/>
          <w:color w:val="000000"/>
          <w:kern w:val="0"/>
          <w:sz w:val="32"/>
          <w:szCs w:val="32"/>
        </w:rPr>
        <w:t>2023年，我区完成招商引资新签约项目83个，合同投资额128.03亿元；其中超亿元项目24个；新竣工投产项目14个；新开工项目77个；</w:t>
      </w:r>
      <w:r>
        <w:rPr>
          <w:rFonts w:hint="default" w:ascii="仿宋_GB2312" w:hAnsi="宋体" w:eastAsia="仿宋_GB2312" w:cs="仿宋_GB2312"/>
          <w:color w:val="000000"/>
          <w:kern w:val="0"/>
          <w:sz w:val="32"/>
          <w:szCs w:val="32"/>
          <w:lang w:val="en-US"/>
        </w:rPr>
        <w:t>完成年度</w:t>
      </w:r>
      <w:r>
        <w:rPr>
          <w:rFonts w:hint="eastAsia" w:ascii="仿宋_GB2312" w:hAnsi="宋体" w:eastAsia="仿宋_GB2312" w:cs="仿宋_GB2312"/>
          <w:color w:val="000000"/>
          <w:kern w:val="0"/>
          <w:sz w:val="32"/>
          <w:szCs w:val="32"/>
        </w:rPr>
        <w:t>投资额16.03亿元；区四套班子完成引进项目合同投资额48亿元，完成率100%；乡镇（街道）党政一把手完成引进项目投资额14亿元，完成率100</w:t>
      </w:r>
      <w:r>
        <w:rPr>
          <w:rFonts w:hint="default" w:ascii="仿宋_GB2312" w:hAnsi="宋体" w:eastAsia="仿宋_GB2312" w:cs="仿宋_GB2312"/>
          <w:color w:val="000000"/>
          <w:kern w:val="0"/>
          <w:sz w:val="32"/>
          <w:szCs w:val="32"/>
          <w:lang w:val="en-US"/>
        </w:rPr>
        <w:t>%；42个</w:t>
      </w:r>
      <w:r>
        <w:rPr>
          <w:rFonts w:hint="eastAsia" w:ascii="仿宋_GB2312" w:hAnsi="宋体" w:eastAsia="仿宋_GB2312" w:cs="仿宋_GB2312"/>
          <w:color w:val="000000"/>
          <w:kern w:val="0"/>
          <w:sz w:val="32"/>
          <w:szCs w:val="32"/>
        </w:rPr>
        <w:t>区直部门</w:t>
      </w:r>
      <w:r>
        <w:rPr>
          <w:rFonts w:hint="default" w:ascii="仿宋_GB2312" w:hAnsi="宋体" w:eastAsia="仿宋_GB2312" w:cs="仿宋_GB2312"/>
          <w:color w:val="000000"/>
          <w:kern w:val="0"/>
          <w:sz w:val="32"/>
          <w:szCs w:val="32"/>
          <w:lang w:val="en-US"/>
        </w:rPr>
        <w:t>已</w:t>
      </w:r>
      <w:r>
        <w:rPr>
          <w:rFonts w:hint="eastAsia" w:ascii="仿宋_GB2312" w:hAnsi="宋体" w:eastAsia="仿宋_GB2312" w:cs="仿宋_GB2312"/>
          <w:color w:val="000000"/>
          <w:kern w:val="0"/>
          <w:sz w:val="32"/>
          <w:szCs w:val="32"/>
        </w:rPr>
        <w:t>完成</w:t>
      </w:r>
      <w:r>
        <w:rPr>
          <w:rFonts w:hint="default" w:ascii="仿宋_GB2312" w:hAnsi="宋体" w:eastAsia="仿宋_GB2312" w:cs="仿宋_GB2312"/>
          <w:color w:val="000000"/>
          <w:kern w:val="0"/>
          <w:sz w:val="32"/>
          <w:szCs w:val="32"/>
          <w:lang w:val="en-US"/>
        </w:rPr>
        <w:t>招商任务</w:t>
      </w:r>
      <w:r>
        <w:rPr>
          <w:rFonts w:hint="eastAsia" w:ascii="仿宋_GB2312" w:hAnsi="宋体" w:eastAsia="仿宋_GB2312" w:cs="仿宋_GB2312"/>
          <w:color w:val="000000"/>
          <w:kern w:val="0"/>
          <w:sz w:val="32"/>
          <w:szCs w:val="32"/>
          <w:lang w:val="en-US" w:eastAsia="zh-CN"/>
        </w:rPr>
        <w:t>35</w:t>
      </w:r>
      <w:r>
        <w:rPr>
          <w:rFonts w:hint="default" w:ascii="仿宋_GB2312" w:hAnsi="宋体" w:eastAsia="仿宋_GB2312" w:cs="仿宋_GB2312"/>
          <w:color w:val="000000"/>
          <w:kern w:val="0"/>
          <w:sz w:val="32"/>
          <w:szCs w:val="32"/>
          <w:lang w:val="en-US"/>
        </w:rPr>
        <w:t>个，完成率</w:t>
      </w:r>
      <w:r>
        <w:rPr>
          <w:rFonts w:hint="eastAsia" w:ascii="仿宋_GB2312" w:hAnsi="宋体" w:eastAsia="仿宋_GB2312" w:cs="仿宋_GB2312"/>
          <w:color w:val="000000"/>
          <w:kern w:val="0"/>
          <w:sz w:val="32"/>
          <w:szCs w:val="32"/>
          <w:lang w:val="en-US" w:eastAsia="zh-CN"/>
        </w:rPr>
        <w:t>83.33%</w:t>
      </w:r>
      <w:r>
        <w:rPr>
          <w:rFonts w:hint="eastAsia" w:ascii="仿宋_GB2312" w:hAnsi="仿宋_GB2312" w:eastAsia="仿宋_GB2312" w:cs="仿宋_GB2312"/>
          <w:sz w:val="32"/>
          <w:szCs w:val="32"/>
        </w:rPr>
        <w:t>（详见附件）</w:t>
      </w:r>
    </w:p>
    <w:p>
      <w:pPr>
        <w:keepNext w:val="0"/>
        <w:keepLines w:val="0"/>
        <w:pageBreakBefore w:val="0"/>
        <w:numPr>
          <w:ilvl w:val="0"/>
          <w:numId w:val="1"/>
        </w:numPr>
        <w:kinsoku/>
        <w:wordWrap/>
        <w:overflowPunct/>
        <w:topLinePunct w:val="0"/>
        <w:autoSpaceDE/>
        <w:autoSpaceDN/>
        <w:bidi w:val="0"/>
        <w:adjustRightInd/>
        <w:snapToGrid/>
        <w:spacing w:line="240" w:lineRule="auto"/>
        <w:ind w:firstLine="640" w:firstLineChars="200"/>
        <w:textAlignment w:val="auto"/>
        <w:rPr>
          <w:rFonts w:ascii="黑体" w:hAnsi="黑体" w:eastAsia="黑体" w:cs="黑体"/>
          <w:sz w:val="32"/>
          <w:szCs w:val="32"/>
        </w:rPr>
      </w:pPr>
      <w:r>
        <w:rPr>
          <w:rFonts w:hint="eastAsia" w:ascii="黑体" w:hAnsi="黑体" w:eastAsia="黑体" w:cs="黑体"/>
          <w:sz w:val="32"/>
          <w:szCs w:val="32"/>
        </w:rPr>
        <w:t>招商引资项目情况分析</w:t>
      </w:r>
    </w:p>
    <w:p>
      <w:pPr>
        <w:pStyle w:val="3"/>
        <w:keepNext w:val="0"/>
        <w:keepLines w:val="0"/>
        <w:pageBreakBefore w:val="0"/>
        <w:kinsoku/>
        <w:wordWrap/>
        <w:overflowPunct/>
        <w:topLinePunct w:val="0"/>
        <w:autoSpaceDE/>
        <w:autoSpaceDN/>
        <w:bidi w:val="0"/>
        <w:adjustRightInd/>
        <w:snapToGrid/>
        <w:spacing w:line="240" w:lineRule="auto"/>
        <w:ind w:firstLine="640"/>
        <w:textAlignment w:val="auto"/>
        <w:rPr>
          <w:rFonts w:ascii="仿宋_GB2312" w:hAnsi="仿宋_GB2312" w:cs="仿宋_GB2312"/>
          <w:sz w:val="32"/>
          <w:szCs w:val="32"/>
        </w:rPr>
      </w:pPr>
      <w:r>
        <w:rPr>
          <w:rFonts w:hint="eastAsia" w:ascii="仿宋_GB2312" w:hAnsi="仿宋_GB2312" w:cs="仿宋_GB2312"/>
          <w:sz w:val="32"/>
          <w:szCs w:val="32"/>
        </w:rPr>
        <w:t>2023年，</w:t>
      </w:r>
      <w:r>
        <w:rPr>
          <w:rFonts w:hint="default" w:ascii="仿宋_GB2312" w:hAnsi="仿宋_GB2312" w:cs="仿宋_GB2312"/>
          <w:sz w:val="32"/>
          <w:szCs w:val="32"/>
          <w:lang w:val="en-US"/>
        </w:rPr>
        <w:t>全区</w:t>
      </w:r>
      <w:r>
        <w:rPr>
          <w:rFonts w:hint="eastAsia" w:ascii="仿宋_GB2312" w:hAnsi="仿宋_GB2312" w:cs="仿宋_GB2312"/>
          <w:sz w:val="32"/>
          <w:szCs w:val="32"/>
        </w:rPr>
        <w:t>新签约新型工业项目39个，合同投资额92.665亿元，</w:t>
      </w:r>
      <w:r>
        <w:rPr>
          <w:rFonts w:hint="default" w:ascii="仿宋_GB2312" w:hAnsi="仿宋_GB2312" w:cs="仿宋_GB2312"/>
          <w:sz w:val="32"/>
          <w:szCs w:val="32"/>
          <w:lang w:val="en-US"/>
        </w:rPr>
        <w:t>占</w:t>
      </w:r>
      <w:r>
        <w:rPr>
          <w:rFonts w:hint="eastAsia" w:ascii="仿宋_GB2312" w:hAnsi="仿宋_GB2312" w:cs="仿宋_GB2312"/>
          <w:sz w:val="32"/>
          <w:szCs w:val="20"/>
        </w:rPr>
        <w:t>投资</w:t>
      </w:r>
      <w:r>
        <w:rPr>
          <w:rFonts w:hint="default" w:ascii="仿宋_GB2312" w:hAnsi="仿宋_GB2312" w:cs="仿宋_GB2312"/>
          <w:sz w:val="32"/>
          <w:szCs w:val="20"/>
          <w:lang w:val="en-US"/>
        </w:rPr>
        <w:t>总</w:t>
      </w:r>
      <w:r>
        <w:rPr>
          <w:rFonts w:hint="eastAsia" w:ascii="仿宋_GB2312" w:hAnsi="仿宋_GB2312" w:cs="仿宋_GB2312"/>
          <w:sz w:val="32"/>
          <w:szCs w:val="20"/>
        </w:rPr>
        <w:t>额71.73%；科教文旅康养项目13个，合同投资额19.04亿元，</w:t>
      </w:r>
      <w:r>
        <w:rPr>
          <w:rFonts w:hint="default" w:ascii="仿宋_GB2312" w:hAnsi="仿宋_GB2312" w:cs="仿宋_GB2312"/>
          <w:sz w:val="32"/>
          <w:szCs w:val="20"/>
          <w:lang w:val="en-US"/>
        </w:rPr>
        <w:t>占</w:t>
      </w:r>
      <w:r>
        <w:rPr>
          <w:rFonts w:hint="eastAsia" w:ascii="仿宋_GB2312" w:hAnsi="仿宋_GB2312" w:cs="仿宋_GB2312"/>
          <w:sz w:val="32"/>
          <w:szCs w:val="20"/>
        </w:rPr>
        <w:t>投资</w:t>
      </w:r>
      <w:r>
        <w:rPr>
          <w:rFonts w:hint="default" w:ascii="仿宋_GB2312" w:hAnsi="仿宋_GB2312" w:cs="仿宋_GB2312"/>
          <w:sz w:val="32"/>
          <w:szCs w:val="20"/>
          <w:lang w:val="en-US"/>
        </w:rPr>
        <w:t>总</w:t>
      </w:r>
      <w:r>
        <w:rPr>
          <w:rFonts w:hint="eastAsia" w:ascii="仿宋_GB2312" w:hAnsi="仿宋_GB2312" w:cs="仿宋_GB2312"/>
          <w:sz w:val="32"/>
          <w:szCs w:val="20"/>
        </w:rPr>
        <w:t>额14.83%</w:t>
      </w:r>
      <w:r>
        <w:rPr>
          <w:rFonts w:hint="eastAsia" w:ascii="仿宋_GB2312" w:hAnsi="仿宋_GB2312" w:cs="仿宋_GB2312"/>
          <w:sz w:val="32"/>
          <w:szCs w:val="20"/>
          <w:lang w:eastAsia="zh-CN"/>
        </w:rPr>
        <w:t>；</w:t>
      </w:r>
      <w:r>
        <w:rPr>
          <w:rFonts w:hint="eastAsia" w:ascii="仿宋_GB2312" w:hAnsi="仿宋_GB2312" w:cs="仿宋_GB2312"/>
          <w:sz w:val="32"/>
          <w:szCs w:val="20"/>
        </w:rPr>
        <w:t>城镇开发项目14个，合同投资额12.9873亿元，</w:t>
      </w:r>
      <w:r>
        <w:rPr>
          <w:rFonts w:hint="default" w:ascii="仿宋_GB2312" w:hAnsi="仿宋_GB2312" w:cs="仿宋_GB2312"/>
          <w:sz w:val="32"/>
          <w:szCs w:val="20"/>
          <w:lang w:val="en-US"/>
        </w:rPr>
        <w:t>占</w:t>
      </w:r>
      <w:r>
        <w:rPr>
          <w:rFonts w:hint="eastAsia" w:ascii="仿宋_GB2312" w:hAnsi="仿宋_GB2312" w:cs="仿宋_GB2312"/>
          <w:sz w:val="32"/>
          <w:szCs w:val="20"/>
        </w:rPr>
        <w:t>投资</w:t>
      </w:r>
      <w:r>
        <w:rPr>
          <w:rFonts w:hint="default" w:ascii="仿宋_GB2312" w:hAnsi="仿宋_GB2312" w:cs="仿宋_GB2312"/>
          <w:sz w:val="32"/>
          <w:szCs w:val="20"/>
          <w:lang w:val="en-US"/>
        </w:rPr>
        <w:t>总</w:t>
      </w:r>
      <w:r>
        <w:rPr>
          <w:rFonts w:hint="eastAsia" w:ascii="仿宋_GB2312" w:hAnsi="仿宋_GB2312" w:cs="仿宋_GB2312"/>
          <w:sz w:val="32"/>
          <w:szCs w:val="20"/>
        </w:rPr>
        <w:t>额10.18%；现代服务业12个，合同投资额2.3332亿元，</w:t>
      </w:r>
      <w:r>
        <w:rPr>
          <w:rFonts w:hint="default" w:ascii="仿宋_GB2312" w:hAnsi="仿宋_GB2312" w:cs="仿宋_GB2312"/>
          <w:sz w:val="32"/>
          <w:szCs w:val="20"/>
          <w:lang w:val="en-US"/>
        </w:rPr>
        <w:t>占</w:t>
      </w:r>
      <w:r>
        <w:rPr>
          <w:rFonts w:hint="eastAsia" w:ascii="仿宋_GB2312" w:hAnsi="仿宋_GB2312" w:cs="仿宋_GB2312"/>
          <w:sz w:val="32"/>
          <w:szCs w:val="20"/>
        </w:rPr>
        <w:t>投资</w:t>
      </w:r>
      <w:r>
        <w:rPr>
          <w:rFonts w:hint="default" w:ascii="仿宋_GB2312" w:hAnsi="仿宋_GB2312" w:cs="仿宋_GB2312"/>
          <w:sz w:val="32"/>
          <w:szCs w:val="20"/>
          <w:lang w:val="en-US"/>
        </w:rPr>
        <w:t>总</w:t>
      </w:r>
      <w:r>
        <w:rPr>
          <w:rFonts w:hint="eastAsia" w:ascii="仿宋_GB2312" w:hAnsi="仿宋_GB2312" w:cs="仿宋_GB2312"/>
          <w:sz w:val="32"/>
          <w:szCs w:val="20"/>
        </w:rPr>
        <w:t>额1.83%；现代农业5个，合同投资额1.005亿元，</w:t>
      </w:r>
      <w:r>
        <w:rPr>
          <w:rFonts w:hint="default" w:ascii="仿宋_GB2312" w:hAnsi="仿宋_GB2312" w:cs="仿宋_GB2312"/>
          <w:sz w:val="32"/>
          <w:szCs w:val="20"/>
          <w:lang w:val="en-US"/>
        </w:rPr>
        <w:t>占</w:t>
      </w:r>
      <w:r>
        <w:rPr>
          <w:rFonts w:hint="eastAsia" w:ascii="仿宋_GB2312" w:hAnsi="仿宋_GB2312" w:cs="仿宋_GB2312"/>
          <w:sz w:val="32"/>
          <w:szCs w:val="20"/>
        </w:rPr>
        <w:t>投资</w:t>
      </w:r>
      <w:r>
        <w:rPr>
          <w:rFonts w:hint="default" w:ascii="仿宋_GB2312" w:hAnsi="仿宋_GB2312" w:cs="仿宋_GB2312"/>
          <w:sz w:val="32"/>
          <w:szCs w:val="20"/>
          <w:lang w:val="en-US"/>
        </w:rPr>
        <w:t>总</w:t>
      </w:r>
      <w:r>
        <w:rPr>
          <w:rFonts w:hint="eastAsia" w:ascii="仿宋_GB2312" w:hAnsi="仿宋_GB2312" w:cs="仿宋_GB2312"/>
          <w:sz w:val="32"/>
          <w:szCs w:val="20"/>
        </w:rPr>
        <w:t>额0.78%。</w:t>
      </w:r>
    </w:p>
    <w:p>
      <w:pPr>
        <w:pStyle w:val="3"/>
        <w:keepNext w:val="0"/>
        <w:keepLines w:val="0"/>
        <w:pageBreakBefore w:val="0"/>
        <w:kinsoku/>
        <w:wordWrap/>
        <w:overflowPunct/>
        <w:topLinePunct w:val="0"/>
        <w:autoSpaceDE/>
        <w:autoSpaceDN/>
        <w:bidi w:val="0"/>
        <w:adjustRightInd/>
        <w:snapToGrid/>
        <w:spacing w:line="240" w:lineRule="auto"/>
        <w:ind w:firstLine="643"/>
        <w:textAlignment w:val="auto"/>
        <w:rPr>
          <w:rFonts w:hint="eastAsia" w:ascii="仿宋_GB2312" w:hAnsi="仿宋_GB2312" w:eastAsia="仿宋_GB2312" w:cs="仿宋_GB2312"/>
          <w:b w:val="0"/>
          <w:bCs w:val="0"/>
          <w:color w:val="auto"/>
          <w:sz w:val="32"/>
          <w:szCs w:val="20"/>
          <w:lang w:eastAsia="zh-CN"/>
        </w:rPr>
      </w:pPr>
      <w:r>
        <w:rPr>
          <w:rFonts w:hint="eastAsia" w:ascii="仿宋_GB2312" w:hAnsi="仿宋_GB2312" w:cs="仿宋_GB2312"/>
          <w:b/>
          <w:bCs/>
          <w:color w:val="auto"/>
          <w:sz w:val="32"/>
          <w:szCs w:val="20"/>
        </w:rPr>
        <w:t>一是</w:t>
      </w:r>
      <w:r>
        <w:rPr>
          <w:rFonts w:hint="eastAsia" w:ascii="仿宋_GB2312" w:hAnsi="仿宋_GB2312" w:cs="仿宋_GB2312"/>
          <w:b w:val="0"/>
          <w:bCs w:val="0"/>
          <w:color w:val="auto"/>
          <w:sz w:val="32"/>
          <w:szCs w:val="20"/>
        </w:rPr>
        <w:t>从项目的</w:t>
      </w:r>
      <w:r>
        <w:rPr>
          <w:rFonts w:hint="default" w:ascii="仿宋_GB2312" w:hAnsi="仿宋_GB2312" w:cs="仿宋_GB2312"/>
          <w:b w:val="0"/>
          <w:bCs w:val="0"/>
          <w:color w:val="auto"/>
          <w:sz w:val="32"/>
          <w:szCs w:val="20"/>
          <w:lang w:val="en-US"/>
        </w:rPr>
        <w:t>招引方向</w:t>
      </w:r>
      <w:r>
        <w:rPr>
          <w:rFonts w:hint="eastAsia" w:ascii="仿宋_GB2312" w:hAnsi="仿宋_GB2312" w:cs="仿宋_GB2312"/>
          <w:b w:val="0"/>
          <w:bCs w:val="0"/>
          <w:color w:val="auto"/>
          <w:sz w:val="32"/>
          <w:szCs w:val="20"/>
        </w:rPr>
        <w:t>看</w:t>
      </w:r>
      <w:r>
        <w:rPr>
          <w:rFonts w:hint="eastAsia" w:ascii="仿宋_GB2312" w:hAnsi="仿宋_GB2312" w:cs="仿宋_GB2312"/>
          <w:b w:val="0"/>
          <w:bCs w:val="0"/>
          <w:color w:val="auto"/>
          <w:sz w:val="32"/>
          <w:szCs w:val="20"/>
          <w:lang w:eastAsia="zh-CN"/>
        </w:rPr>
        <w:t>，</w:t>
      </w:r>
      <w:r>
        <w:rPr>
          <w:rFonts w:hint="eastAsia" w:ascii="仿宋_GB2312" w:hAnsi="仿宋_GB2312" w:cs="仿宋_GB2312"/>
          <w:b w:val="0"/>
          <w:bCs w:val="0"/>
          <w:color w:val="auto"/>
          <w:sz w:val="32"/>
          <w:szCs w:val="20"/>
        </w:rPr>
        <w:t>工业类项目所占比例较大</w:t>
      </w:r>
      <w:r>
        <w:rPr>
          <w:rFonts w:hint="eastAsia" w:ascii="仿宋_GB2312" w:hAnsi="仿宋_GB2312" w:cs="仿宋_GB2312"/>
          <w:b w:val="0"/>
          <w:bCs w:val="0"/>
          <w:color w:val="auto"/>
          <w:sz w:val="32"/>
          <w:szCs w:val="20"/>
          <w:lang w:eastAsia="zh-CN"/>
        </w:rPr>
        <w:t>，</w:t>
      </w:r>
      <w:r>
        <w:rPr>
          <w:rFonts w:hint="eastAsia" w:ascii="仿宋_GB2312" w:hAnsi="仿宋_GB2312" w:cs="仿宋_GB2312"/>
          <w:b w:val="0"/>
          <w:bCs w:val="0"/>
          <w:color w:val="auto"/>
          <w:sz w:val="32"/>
          <w:szCs w:val="20"/>
        </w:rPr>
        <w:t>新增招商引资项目主要集中在现有工业企业的增资扩产和新能源光伏领域，如国粤电力（二期）、韶冶“双变”项目、三峡能源浈江犁市100MW农光互补项目等，这反映了我区坚持以实体经济为本、大力推进新型工业化的发展导向</w:t>
      </w:r>
      <w:r>
        <w:rPr>
          <w:rFonts w:hint="eastAsia" w:ascii="仿宋_GB2312" w:hAnsi="仿宋_GB2312" w:cs="仿宋_GB2312"/>
          <w:b w:val="0"/>
          <w:bCs w:val="0"/>
          <w:color w:val="auto"/>
          <w:sz w:val="32"/>
          <w:szCs w:val="20"/>
          <w:lang w:eastAsia="zh-CN"/>
        </w:rPr>
        <w:t>，</w:t>
      </w:r>
      <w:r>
        <w:rPr>
          <w:rFonts w:hint="eastAsia" w:ascii="仿宋_GB2312" w:hAnsi="仿宋_GB2312" w:cs="仿宋_GB2312"/>
          <w:b w:val="0"/>
          <w:bCs w:val="0"/>
          <w:color w:val="auto"/>
          <w:sz w:val="32"/>
          <w:szCs w:val="20"/>
        </w:rPr>
        <w:t>通过一手抓推动企业增资扩产和技术改造，加快有色金属、装备制造等传统产业转型升级，一手抓新能源等新兴产业培育发展，优化产业发展格局，为今后一段时期的招商引资工作提供了</w:t>
      </w:r>
      <w:r>
        <w:rPr>
          <w:rFonts w:hint="eastAsia" w:ascii="仿宋_GB2312" w:hAnsi="仿宋_GB2312" w:cs="仿宋_GB2312"/>
          <w:b w:val="0"/>
          <w:bCs w:val="0"/>
          <w:color w:val="auto"/>
          <w:sz w:val="32"/>
          <w:szCs w:val="20"/>
          <w:highlight w:val="none"/>
        </w:rPr>
        <w:t>指引</w:t>
      </w:r>
      <w:r>
        <w:rPr>
          <w:rFonts w:hint="eastAsia" w:ascii="仿宋_GB2312" w:hAnsi="仿宋_GB2312" w:cs="仿宋_GB2312"/>
          <w:b w:val="0"/>
          <w:bCs w:val="0"/>
          <w:color w:val="auto"/>
          <w:sz w:val="32"/>
          <w:szCs w:val="20"/>
        </w:rPr>
        <w:t>。</w:t>
      </w:r>
      <w:r>
        <w:rPr>
          <w:rFonts w:hint="eastAsia" w:ascii="仿宋_GB2312" w:hAnsi="仿宋_GB2312" w:cs="仿宋_GB2312"/>
          <w:b/>
          <w:bCs/>
          <w:color w:val="auto"/>
          <w:sz w:val="32"/>
          <w:szCs w:val="20"/>
          <w:lang w:eastAsia="zh-CN"/>
        </w:rPr>
        <w:t>二是</w:t>
      </w:r>
      <w:r>
        <w:rPr>
          <w:rFonts w:hint="eastAsia" w:ascii="仿宋_GB2312" w:hAnsi="仿宋_GB2312" w:cs="仿宋_GB2312"/>
          <w:b w:val="0"/>
          <w:bCs w:val="0"/>
          <w:color w:val="auto"/>
          <w:sz w:val="32"/>
          <w:szCs w:val="20"/>
          <w:lang w:eastAsia="zh-CN"/>
        </w:rPr>
        <w:t>从项目的投资类型看，招引</w:t>
      </w:r>
      <w:r>
        <w:rPr>
          <w:rFonts w:hint="default" w:ascii="仿宋_GB2312" w:hAnsi="仿宋_GB2312" w:cs="仿宋_GB2312"/>
          <w:b w:val="0"/>
          <w:bCs w:val="0"/>
          <w:color w:val="auto"/>
          <w:sz w:val="32"/>
          <w:szCs w:val="20"/>
          <w:lang w:val="en-US" w:eastAsia="zh-CN"/>
        </w:rPr>
        <w:t>的</w:t>
      </w:r>
      <w:r>
        <w:rPr>
          <w:rFonts w:hint="eastAsia" w:ascii="仿宋_GB2312" w:hAnsi="仿宋_GB2312" w:cs="仿宋_GB2312"/>
          <w:b w:val="0"/>
          <w:bCs w:val="0"/>
          <w:color w:val="auto"/>
          <w:sz w:val="32"/>
          <w:szCs w:val="20"/>
          <w:lang w:eastAsia="zh-CN"/>
        </w:rPr>
        <w:t>项目</w:t>
      </w:r>
      <w:r>
        <w:rPr>
          <w:rFonts w:hint="default" w:ascii="仿宋_GB2312" w:hAnsi="仿宋_GB2312" w:cs="仿宋_GB2312"/>
          <w:b w:val="0"/>
          <w:bCs w:val="0"/>
          <w:color w:val="auto"/>
          <w:sz w:val="32"/>
          <w:szCs w:val="20"/>
          <w:lang w:val="en-US" w:eastAsia="zh-CN"/>
        </w:rPr>
        <w:t>呈</w:t>
      </w:r>
      <w:r>
        <w:rPr>
          <w:rFonts w:hint="eastAsia" w:ascii="仿宋_GB2312" w:hAnsi="仿宋_GB2312" w:cs="仿宋_GB2312"/>
          <w:b w:val="0"/>
          <w:bCs w:val="0"/>
          <w:color w:val="auto"/>
          <w:sz w:val="32"/>
          <w:szCs w:val="20"/>
          <w:lang w:eastAsia="zh-CN"/>
        </w:rPr>
        <w:t>多样性和广泛性强</w:t>
      </w:r>
      <w:r>
        <w:rPr>
          <w:rFonts w:hint="default" w:ascii="仿宋_GB2312" w:hAnsi="仿宋_GB2312" w:cs="仿宋_GB2312"/>
          <w:b w:val="0"/>
          <w:bCs w:val="0"/>
          <w:color w:val="auto"/>
          <w:sz w:val="32"/>
          <w:szCs w:val="20"/>
          <w:lang w:val="en-US" w:eastAsia="zh-CN"/>
        </w:rPr>
        <w:t>，但缺乏龙头产业</w:t>
      </w:r>
      <w:r>
        <w:rPr>
          <w:rFonts w:hint="eastAsia" w:ascii="仿宋_GB2312" w:hAnsi="仿宋_GB2312" w:cs="仿宋_GB2312"/>
          <w:b w:val="0"/>
          <w:bCs w:val="0"/>
          <w:color w:val="auto"/>
          <w:sz w:val="32"/>
          <w:szCs w:val="20"/>
          <w:lang w:eastAsia="zh-CN"/>
        </w:rPr>
        <w:t>项目，合同金额小</w:t>
      </w:r>
      <w:r>
        <w:rPr>
          <w:rFonts w:hint="default" w:ascii="仿宋_GB2312" w:hAnsi="仿宋_GB2312" w:cs="仿宋_GB2312"/>
          <w:b w:val="0"/>
          <w:bCs w:val="0"/>
          <w:color w:val="auto"/>
          <w:sz w:val="32"/>
          <w:szCs w:val="20"/>
          <w:lang w:val="en-US" w:eastAsia="zh-CN"/>
        </w:rPr>
        <w:t>的</w:t>
      </w:r>
      <w:r>
        <w:rPr>
          <w:rFonts w:hint="eastAsia" w:ascii="仿宋_GB2312" w:hAnsi="仿宋_GB2312" w:cs="仿宋_GB2312"/>
          <w:b w:val="0"/>
          <w:bCs w:val="0"/>
          <w:color w:val="auto"/>
          <w:sz w:val="32"/>
          <w:szCs w:val="20"/>
          <w:lang w:eastAsia="zh-CN"/>
        </w:rPr>
        <w:t>项目</w:t>
      </w:r>
      <w:r>
        <w:rPr>
          <w:rFonts w:hint="default" w:ascii="仿宋_GB2312" w:hAnsi="仿宋_GB2312" w:cs="仿宋_GB2312"/>
          <w:b w:val="0"/>
          <w:bCs w:val="0"/>
          <w:color w:val="auto"/>
          <w:sz w:val="32"/>
          <w:szCs w:val="20"/>
          <w:lang w:val="en-US" w:eastAsia="zh-CN"/>
        </w:rPr>
        <w:t>较多</w:t>
      </w:r>
      <w:r>
        <w:rPr>
          <w:rFonts w:hint="eastAsia" w:ascii="仿宋_GB2312" w:hAnsi="仿宋_GB2312" w:cs="仿宋_GB2312"/>
          <w:b w:val="0"/>
          <w:bCs w:val="0"/>
          <w:color w:val="auto"/>
          <w:sz w:val="32"/>
          <w:szCs w:val="20"/>
          <w:lang w:eastAsia="zh-CN"/>
        </w:rPr>
        <w:t>。</w:t>
      </w:r>
      <w:r>
        <w:rPr>
          <w:rFonts w:hint="eastAsia" w:ascii="仿宋_GB2312" w:hAnsi="仿宋_GB2312" w:cs="仿宋_GB2312"/>
          <w:b/>
          <w:bCs/>
          <w:color w:val="auto"/>
          <w:sz w:val="32"/>
          <w:szCs w:val="20"/>
          <w:lang w:eastAsia="zh-CN"/>
        </w:rPr>
        <w:t>三</w:t>
      </w:r>
      <w:r>
        <w:rPr>
          <w:rFonts w:hint="eastAsia" w:ascii="仿宋_GB2312" w:hAnsi="仿宋_GB2312" w:cs="仿宋_GB2312"/>
          <w:b/>
          <w:bCs/>
          <w:color w:val="auto"/>
          <w:sz w:val="32"/>
          <w:szCs w:val="20"/>
        </w:rPr>
        <w:t>是</w:t>
      </w:r>
      <w:r>
        <w:rPr>
          <w:rFonts w:hint="eastAsia" w:ascii="仿宋_GB2312" w:hAnsi="仿宋_GB2312" w:cs="仿宋_GB2312"/>
          <w:b w:val="0"/>
          <w:bCs w:val="0"/>
          <w:color w:val="auto"/>
          <w:sz w:val="32"/>
          <w:szCs w:val="20"/>
          <w:lang w:val="en-US" w:eastAsia="zh-CN"/>
        </w:rPr>
        <w:t>从</w:t>
      </w:r>
      <w:r>
        <w:rPr>
          <w:rFonts w:hint="default" w:ascii="仿宋_GB2312" w:hAnsi="仿宋_GB2312" w:cs="仿宋_GB2312"/>
          <w:b w:val="0"/>
          <w:bCs w:val="0"/>
          <w:color w:val="auto"/>
          <w:sz w:val="32"/>
          <w:szCs w:val="20"/>
          <w:lang w:val="en-US" w:eastAsia="zh-CN"/>
        </w:rPr>
        <w:t>产业发展</w:t>
      </w:r>
      <w:r>
        <w:rPr>
          <w:rFonts w:hint="eastAsia" w:ascii="仿宋_GB2312" w:hAnsi="仿宋_GB2312" w:cs="仿宋_GB2312"/>
          <w:b w:val="0"/>
          <w:bCs w:val="0"/>
          <w:color w:val="auto"/>
          <w:sz w:val="32"/>
          <w:szCs w:val="20"/>
          <w:lang w:val="en-US" w:eastAsia="zh-CN"/>
        </w:rPr>
        <w:t>的方向</w:t>
      </w:r>
      <w:r>
        <w:rPr>
          <w:rFonts w:hint="default" w:ascii="仿宋_GB2312" w:hAnsi="仿宋_GB2312" w:cs="仿宋_GB2312"/>
          <w:b w:val="0"/>
          <w:bCs w:val="0"/>
          <w:color w:val="auto"/>
          <w:sz w:val="32"/>
          <w:szCs w:val="20"/>
          <w:lang w:val="en-US" w:eastAsia="zh-CN"/>
        </w:rPr>
        <w:t>看，</w:t>
      </w:r>
      <w:r>
        <w:rPr>
          <w:rFonts w:hint="eastAsia" w:ascii="仿宋_GB2312" w:hAnsi="仿宋_GB2312" w:cs="仿宋_GB2312"/>
          <w:color w:val="auto"/>
          <w:sz w:val="32"/>
          <w:szCs w:val="20"/>
          <w:lang w:val="en-US" w:eastAsia="zh-CN"/>
        </w:rPr>
        <w:t>2023年</w:t>
      </w:r>
      <w:r>
        <w:rPr>
          <w:rFonts w:hint="eastAsia" w:ascii="仿宋_GB2312" w:hAnsi="仿宋_GB2312" w:cs="仿宋_GB2312"/>
          <w:color w:val="auto"/>
          <w:sz w:val="32"/>
          <w:szCs w:val="20"/>
          <w:lang w:eastAsia="zh-CN"/>
        </w:rPr>
        <w:t>新招引了中农联粤北农产品流通产业中心、振华中职、湘乐医院等</w:t>
      </w:r>
      <w:r>
        <w:rPr>
          <w:rFonts w:hint="eastAsia" w:ascii="仿宋_GB2312" w:hAnsi="仿宋_GB2312" w:cs="仿宋_GB2312"/>
          <w:color w:val="auto"/>
          <w:sz w:val="32"/>
          <w:szCs w:val="20"/>
          <w:lang w:val="en-US" w:eastAsia="zh-CN"/>
        </w:rPr>
        <w:t>9个</w:t>
      </w:r>
      <w:r>
        <w:rPr>
          <w:rFonts w:hint="eastAsia" w:ascii="仿宋_GB2312" w:hAnsi="仿宋_GB2312" w:cs="仿宋_GB2312"/>
          <w:color w:val="auto"/>
          <w:sz w:val="32"/>
          <w:szCs w:val="20"/>
          <w:lang w:eastAsia="zh-CN"/>
        </w:rPr>
        <w:t>超亿元项目，其中城镇开发板块超亿元项目数量占比超过三分之一，科教文旅康养板块超亿元项目数量达</w:t>
      </w:r>
      <w:r>
        <w:rPr>
          <w:rFonts w:hint="eastAsia" w:ascii="仿宋_GB2312" w:hAnsi="仿宋_GB2312" w:cs="仿宋_GB2312"/>
          <w:color w:val="auto"/>
          <w:sz w:val="32"/>
          <w:szCs w:val="20"/>
          <w:lang w:val="en-US" w:eastAsia="zh-CN"/>
        </w:rPr>
        <w:t>30%</w:t>
      </w:r>
      <w:r>
        <w:rPr>
          <w:rFonts w:hint="eastAsia" w:ascii="仿宋_GB2312" w:hAnsi="仿宋_GB2312" w:cs="仿宋_GB2312"/>
          <w:color w:val="auto"/>
          <w:sz w:val="32"/>
          <w:szCs w:val="20"/>
          <w:lang w:eastAsia="zh-CN"/>
        </w:rPr>
        <w:t>，</w:t>
      </w:r>
      <w:r>
        <w:rPr>
          <w:rFonts w:hint="default" w:ascii="仿宋_GB2312" w:hAnsi="仿宋_GB2312" w:cs="仿宋_GB2312"/>
          <w:color w:val="auto"/>
          <w:sz w:val="32"/>
          <w:szCs w:val="20"/>
          <w:lang w:val="en-US" w:eastAsia="zh-CN"/>
        </w:rPr>
        <w:t>可见，</w:t>
      </w:r>
      <w:r>
        <w:rPr>
          <w:rFonts w:hint="eastAsia" w:ascii="仿宋_GB2312" w:hAnsi="仿宋_GB2312" w:cs="仿宋_GB2312"/>
          <w:color w:val="auto"/>
          <w:sz w:val="32"/>
          <w:szCs w:val="20"/>
        </w:rPr>
        <w:t>我区在城市开发和文旅康养产业方面存在一定的竞争优势。</w:t>
      </w:r>
    </w:p>
    <w:p>
      <w:pPr>
        <w:pStyle w:val="3"/>
        <w:keepNext w:val="0"/>
        <w:keepLines w:val="0"/>
        <w:pageBreakBefore w:val="0"/>
        <w:numPr>
          <w:ilvl w:val="0"/>
          <w:numId w:val="1"/>
        </w:numPr>
        <w:kinsoku/>
        <w:wordWrap/>
        <w:overflowPunct/>
        <w:topLinePunct w:val="0"/>
        <w:autoSpaceDE/>
        <w:autoSpaceDN/>
        <w:bidi w:val="0"/>
        <w:adjustRightInd/>
        <w:snapToGrid/>
        <w:spacing w:line="240" w:lineRule="auto"/>
        <w:ind w:firstLine="640"/>
        <w:textAlignment w:val="auto"/>
        <w:rPr>
          <w:rFonts w:ascii="黑体" w:hAnsi="黑体" w:eastAsia="黑体" w:cs="黑体"/>
          <w:sz w:val="32"/>
          <w:szCs w:val="32"/>
        </w:rPr>
      </w:pPr>
      <w:r>
        <w:rPr>
          <w:rFonts w:hint="eastAsia" w:ascii="黑体" w:hAnsi="黑体" w:eastAsia="黑体" w:cs="黑体"/>
          <w:sz w:val="32"/>
          <w:szCs w:val="32"/>
        </w:rPr>
        <w:t>存在的问题</w:t>
      </w:r>
    </w:p>
    <w:p>
      <w:pPr>
        <w:pStyle w:val="3"/>
        <w:keepNext w:val="0"/>
        <w:keepLines w:val="0"/>
        <w:pageBreakBefore w:val="0"/>
        <w:kinsoku/>
        <w:wordWrap/>
        <w:overflowPunct/>
        <w:topLinePunct w:val="0"/>
        <w:autoSpaceDE/>
        <w:autoSpaceDN/>
        <w:bidi w:val="0"/>
        <w:adjustRightInd/>
        <w:snapToGrid/>
        <w:spacing w:line="240" w:lineRule="auto"/>
        <w:ind w:firstLine="643"/>
        <w:textAlignment w:val="auto"/>
        <w:rPr>
          <w:rFonts w:ascii="仿宋_GB2312" w:hAnsi="仿宋_GB2312" w:cs="仿宋_GB2312"/>
          <w:sz w:val="32"/>
          <w:szCs w:val="32"/>
        </w:rPr>
      </w:pPr>
      <w:r>
        <w:rPr>
          <w:rFonts w:hint="eastAsia" w:ascii="仿宋_GB2312" w:hAnsi="仿宋_GB2312" w:cs="仿宋_GB2312"/>
          <w:b/>
          <w:bCs/>
          <w:sz w:val="32"/>
          <w:szCs w:val="32"/>
        </w:rPr>
        <w:t>一是</w:t>
      </w:r>
      <w:r>
        <w:rPr>
          <w:rFonts w:hint="eastAsia" w:ascii="仿宋_GB2312" w:hAnsi="仿宋_GB2312" w:cs="仿宋_GB2312"/>
          <w:sz w:val="32"/>
          <w:szCs w:val="32"/>
        </w:rPr>
        <w:t>部分单位缺乏全区“一盘棋”观念，未根据年初下发的《全员招商引资工作实施方案》明确自身定位和分工，在招商引资工作中</w:t>
      </w:r>
      <w:r>
        <w:rPr>
          <w:rFonts w:hint="eastAsia" w:ascii="仿宋_GB2312" w:hAnsi="仿宋_GB2312" w:cs="仿宋_GB2312"/>
          <w:sz w:val="32"/>
          <w:szCs w:val="32"/>
          <w:lang w:eastAsia="zh-CN"/>
        </w:rPr>
        <w:t>积极性不高</w:t>
      </w:r>
      <w:r>
        <w:rPr>
          <w:rFonts w:hint="eastAsia" w:ascii="仿宋_GB2312" w:hAnsi="仿宋_GB2312" w:cs="仿宋_GB2312"/>
          <w:sz w:val="32"/>
          <w:szCs w:val="32"/>
        </w:rPr>
        <w:t>，没有认真研</w:t>
      </w:r>
      <w:r>
        <w:rPr>
          <w:rFonts w:hint="default" w:ascii="仿宋_GB2312" w:hAnsi="仿宋_GB2312" w:cs="仿宋_GB2312"/>
          <w:sz w:val="32"/>
          <w:szCs w:val="32"/>
          <w:lang w:val="en-US"/>
        </w:rPr>
        <w:t>究</w:t>
      </w:r>
      <w:r>
        <w:rPr>
          <w:rFonts w:hint="eastAsia" w:ascii="仿宋_GB2312" w:hAnsi="仿宋_GB2312" w:cs="仿宋_GB2312"/>
          <w:sz w:val="32"/>
          <w:szCs w:val="32"/>
        </w:rPr>
        <w:t>，存在“等、靠、要”的思想，过于依赖招商办调配项目。</w:t>
      </w:r>
      <w:r>
        <w:rPr>
          <w:rFonts w:hint="eastAsia" w:ascii="仿宋_GB2312" w:hAnsi="仿宋_GB2312" w:cs="仿宋_GB2312"/>
          <w:b/>
          <w:bCs/>
          <w:sz w:val="32"/>
          <w:szCs w:val="32"/>
        </w:rPr>
        <w:t>二是</w:t>
      </w:r>
      <w:r>
        <w:rPr>
          <w:rFonts w:hint="eastAsia" w:ascii="仿宋_GB2312" w:hAnsi="仿宋_GB2312" w:cs="仿宋_GB2312"/>
          <w:sz w:val="32"/>
          <w:szCs w:val="32"/>
        </w:rPr>
        <w:t>部分单位</w:t>
      </w:r>
      <w:r>
        <w:rPr>
          <w:rFonts w:hint="default" w:ascii="仿宋_GB2312" w:hAnsi="仿宋_GB2312" w:cs="仿宋_GB2312"/>
          <w:sz w:val="32"/>
          <w:szCs w:val="32"/>
          <w:lang w:val="en-US"/>
        </w:rPr>
        <w:t>负责招商工作的</w:t>
      </w:r>
      <w:r>
        <w:rPr>
          <w:rFonts w:hint="eastAsia" w:ascii="仿宋_GB2312" w:hAnsi="仿宋_GB2312" w:cs="仿宋_GB2312"/>
          <w:sz w:val="32"/>
          <w:szCs w:val="32"/>
        </w:rPr>
        <w:t>人员变动频繁，工作交接</w:t>
      </w:r>
      <w:r>
        <w:rPr>
          <w:rFonts w:hint="default" w:ascii="仿宋_GB2312" w:hAnsi="仿宋_GB2312" w:cs="仿宋_GB2312"/>
          <w:sz w:val="32"/>
          <w:szCs w:val="32"/>
          <w:lang w:val="en-US"/>
        </w:rPr>
        <w:t>不畅</w:t>
      </w:r>
      <w:r>
        <w:rPr>
          <w:rFonts w:hint="eastAsia" w:ascii="仿宋_GB2312" w:hAnsi="仿宋_GB2312" w:cs="仿宋_GB2312"/>
          <w:sz w:val="32"/>
          <w:szCs w:val="32"/>
        </w:rPr>
        <w:t>，导致</w:t>
      </w:r>
      <w:r>
        <w:rPr>
          <w:rFonts w:hint="eastAsia" w:ascii="仿宋_GB2312" w:hAnsi="仿宋_GB2312" w:cs="仿宋_GB2312"/>
          <w:sz w:val="32"/>
          <w:szCs w:val="32"/>
          <w:lang w:eastAsia="zh-CN"/>
        </w:rPr>
        <w:t>台账资料</w:t>
      </w:r>
      <w:r>
        <w:rPr>
          <w:rFonts w:hint="default" w:ascii="仿宋_GB2312" w:hAnsi="仿宋_GB2312" w:cs="仿宋_GB2312"/>
          <w:sz w:val="32"/>
          <w:szCs w:val="32"/>
          <w:lang w:val="en-US"/>
        </w:rPr>
        <w:t>上</w:t>
      </w:r>
      <w:r>
        <w:rPr>
          <w:rFonts w:hint="eastAsia" w:ascii="仿宋_GB2312" w:hAnsi="仿宋_GB2312" w:cs="仿宋_GB2312"/>
          <w:sz w:val="32"/>
          <w:szCs w:val="32"/>
        </w:rPr>
        <w:t>报</w:t>
      </w:r>
      <w:r>
        <w:rPr>
          <w:rFonts w:hint="default" w:ascii="仿宋_GB2312" w:hAnsi="仿宋_GB2312" w:cs="仿宋_GB2312"/>
          <w:sz w:val="32"/>
          <w:szCs w:val="32"/>
          <w:lang w:val="en-US"/>
        </w:rPr>
        <w:t>不及时</w:t>
      </w:r>
      <w:r>
        <w:rPr>
          <w:rFonts w:hint="eastAsia" w:ascii="仿宋_GB2312" w:hAnsi="仿宋_GB2312" w:cs="仿宋_GB2312"/>
          <w:sz w:val="32"/>
          <w:szCs w:val="32"/>
        </w:rPr>
        <w:t>、质量不</w:t>
      </w:r>
      <w:r>
        <w:rPr>
          <w:rFonts w:hint="default" w:ascii="仿宋_GB2312" w:hAnsi="仿宋_GB2312" w:cs="仿宋_GB2312"/>
          <w:sz w:val="32"/>
          <w:szCs w:val="32"/>
          <w:lang w:val="en-US"/>
        </w:rPr>
        <w:t>高</w:t>
      </w:r>
      <w:r>
        <w:rPr>
          <w:rFonts w:hint="eastAsia" w:ascii="仿宋_GB2312" w:hAnsi="仿宋_GB2312" w:cs="仿宋_GB2312"/>
          <w:sz w:val="32"/>
          <w:szCs w:val="32"/>
        </w:rPr>
        <w:t>。</w:t>
      </w:r>
      <w:r>
        <w:rPr>
          <w:rFonts w:hint="eastAsia" w:ascii="仿宋_GB2312" w:hAnsi="仿宋_GB2312" w:cs="仿宋_GB2312"/>
          <w:b/>
          <w:bCs/>
          <w:sz w:val="32"/>
          <w:szCs w:val="32"/>
        </w:rPr>
        <w:t>三是</w:t>
      </w:r>
      <w:r>
        <w:rPr>
          <w:rFonts w:hint="eastAsia" w:ascii="仿宋_GB2312" w:hAnsi="仿宋_GB2312" w:cs="仿宋_GB2312"/>
          <w:sz w:val="32"/>
          <w:szCs w:val="32"/>
        </w:rPr>
        <w:t>部分乡镇（街道）对招商引资工作的重视程度有所降低，存在松懈现象，对日常</w:t>
      </w:r>
      <w:r>
        <w:rPr>
          <w:rFonts w:hint="default" w:ascii="仿宋_GB2312" w:hAnsi="仿宋_GB2312" w:cs="仿宋_GB2312"/>
          <w:sz w:val="32"/>
          <w:szCs w:val="32"/>
          <w:lang w:val="en-US"/>
        </w:rPr>
        <w:t>工作</w:t>
      </w:r>
      <w:r>
        <w:rPr>
          <w:rFonts w:hint="eastAsia" w:ascii="仿宋_GB2312" w:hAnsi="仿宋_GB2312" w:cs="仿宋_GB2312"/>
          <w:sz w:val="32"/>
          <w:szCs w:val="32"/>
        </w:rPr>
        <w:t>要求不高，未能主动查找失分原因。</w:t>
      </w:r>
    </w:p>
    <w:p>
      <w:pPr>
        <w:pStyle w:val="3"/>
        <w:keepNext w:val="0"/>
        <w:keepLines w:val="0"/>
        <w:pageBreakBefore w:val="0"/>
        <w:numPr>
          <w:ilvl w:val="0"/>
          <w:numId w:val="1"/>
        </w:numPr>
        <w:kinsoku/>
        <w:wordWrap/>
        <w:overflowPunct/>
        <w:topLinePunct w:val="0"/>
        <w:autoSpaceDE/>
        <w:autoSpaceDN/>
        <w:bidi w:val="0"/>
        <w:adjustRightInd/>
        <w:snapToGrid/>
        <w:spacing w:line="240" w:lineRule="auto"/>
        <w:ind w:firstLine="640"/>
        <w:textAlignment w:val="auto"/>
        <w:rPr>
          <w:rFonts w:ascii="黑体" w:hAnsi="黑体" w:eastAsia="黑体" w:cs="黑体"/>
          <w:sz w:val="32"/>
          <w:szCs w:val="32"/>
        </w:rPr>
      </w:pPr>
      <w:r>
        <w:rPr>
          <w:rFonts w:hint="eastAsia" w:ascii="黑体" w:hAnsi="黑体" w:eastAsia="黑体" w:cs="黑体"/>
          <w:sz w:val="32"/>
          <w:szCs w:val="32"/>
        </w:rPr>
        <w:t>下一步工作计划</w:t>
      </w:r>
    </w:p>
    <w:p>
      <w:pPr>
        <w:pStyle w:val="3"/>
        <w:keepNext w:val="0"/>
        <w:keepLines w:val="0"/>
        <w:pageBreakBefore w:val="0"/>
        <w:kinsoku/>
        <w:wordWrap/>
        <w:overflowPunct/>
        <w:topLinePunct w:val="0"/>
        <w:autoSpaceDE/>
        <w:autoSpaceDN/>
        <w:bidi w:val="0"/>
        <w:adjustRightInd/>
        <w:snapToGrid/>
        <w:spacing w:line="240" w:lineRule="auto"/>
        <w:ind w:firstLine="643"/>
        <w:textAlignment w:val="auto"/>
        <w:rPr>
          <w:rFonts w:ascii="仿宋_GB2312" w:hAnsi="仿宋_GB2312" w:eastAsia="仿宋_GB2312" w:cs="仿宋_GB2312"/>
          <w:sz w:val="32"/>
          <w:szCs w:val="32"/>
        </w:rPr>
      </w:pPr>
      <w:r>
        <w:rPr>
          <w:rFonts w:hint="eastAsia" w:ascii="仿宋_GB2312" w:hAnsi="仿宋_GB2312" w:cs="仿宋_GB2312"/>
          <w:b/>
          <w:bCs/>
          <w:sz w:val="32"/>
          <w:szCs w:val="32"/>
          <w:lang w:eastAsia="zh-CN"/>
        </w:rPr>
        <w:t>一</w:t>
      </w:r>
      <w:r>
        <w:rPr>
          <w:rFonts w:hint="eastAsia" w:ascii="仿宋_GB2312" w:hAnsi="仿宋_GB2312" w:cs="仿宋_GB2312"/>
          <w:b/>
          <w:bCs/>
          <w:sz w:val="32"/>
          <w:szCs w:val="32"/>
        </w:rPr>
        <w:t>是</w:t>
      </w:r>
      <w:r>
        <w:rPr>
          <w:rFonts w:hint="eastAsia" w:ascii="仿宋_GB2312" w:hAnsi="仿宋_GB2312" w:cs="仿宋_GB2312"/>
          <w:sz w:val="32"/>
          <w:szCs w:val="32"/>
        </w:rPr>
        <w:t>精心</w:t>
      </w:r>
      <w:r>
        <w:rPr>
          <w:rFonts w:hint="default" w:ascii="仿宋_GB2312" w:hAnsi="仿宋_GB2312" w:cs="仿宋_GB2312"/>
          <w:sz w:val="32"/>
          <w:szCs w:val="32"/>
          <w:lang w:val="en-US"/>
        </w:rPr>
        <w:t>谋</w:t>
      </w:r>
      <w:r>
        <w:rPr>
          <w:rFonts w:hint="eastAsia" w:ascii="仿宋_GB2312" w:hAnsi="仿宋_GB2312" w:cs="仿宋_GB2312"/>
          <w:sz w:val="32"/>
          <w:szCs w:val="32"/>
        </w:rPr>
        <w:t>划2024年“开门红”项目。全力推动一批重大产业项目落地，目前，已有年产10000吨聚氨酯新材料项目</w:t>
      </w:r>
      <w:r>
        <w:rPr>
          <w:rFonts w:hint="eastAsia" w:ascii="仿宋_GB2312" w:hAnsi="仿宋_GB2312" w:cs="仿宋_GB2312"/>
          <w:sz w:val="32"/>
          <w:szCs w:val="32"/>
          <w:lang w:eastAsia="zh-CN"/>
        </w:rPr>
        <w:t>，国粤（韶关）电力有限公司储煤系统技术升级改造项目，</w:t>
      </w:r>
      <w:r>
        <w:rPr>
          <w:rFonts w:hint="eastAsia" w:ascii="仿宋_GB2312" w:hAnsi="仿宋_GB2312" w:cs="仿宋_GB2312"/>
          <w:sz w:val="32"/>
          <w:szCs w:val="32"/>
        </w:rPr>
        <w:t>年产20000吨破碎、筛分增碳剂生产项目</w:t>
      </w:r>
      <w:r>
        <w:rPr>
          <w:rFonts w:hint="eastAsia" w:ascii="仿宋_GB2312" w:hAnsi="仿宋_GB2312" w:cs="仿宋_GB2312"/>
          <w:sz w:val="32"/>
          <w:szCs w:val="32"/>
          <w:lang w:eastAsia="zh-CN"/>
        </w:rPr>
        <w:t>，</w:t>
      </w:r>
      <w:r>
        <w:rPr>
          <w:rFonts w:hint="eastAsia" w:ascii="仿宋_GB2312" w:hAnsi="仿宋_GB2312" w:cs="仿宋_GB2312"/>
          <w:sz w:val="32"/>
          <w:szCs w:val="32"/>
        </w:rPr>
        <w:t>汇景商业广场项目等7个项目</w:t>
      </w:r>
      <w:r>
        <w:rPr>
          <w:rFonts w:hint="eastAsia" w:ascii="仿宋_GB2312" w:hAnsi="仿宋_GB2312" w:cs="仿宋_GB2312"/>
          <w:sz w:val="32"/>
          <w:szCs w:val="32"/>
          <w:lang w:eastAsia="zh-CN"/>
        </w:rPr>
        <w:t>作为</w:t>
      </w:r>
      <w:r>
        <w:rPr>
          <w:rFonts w:hint="eastAsia" w:ascii="仿宋_GB2312" w:hAnsi="仿宋_GB2312" w:cs="仿宋_GB2312"/>
          <w:sz w:val="32"/>
          <w:szCs w:val="32"/>
        </w:rPr>
        <w:t>储备项目，合同投资额达</w:t>
      </w:r>
      <w:r>
        <w:rPr>
          <w:rFonts w:hint="eastAsia" w:ascii="仿宋_GB2312" w:hAnsi="仿宋_GB2312" w:cs="仿宋_GB2312"/>
          <w:sz w:val="32"/>
          <w:szCs w:val="32"/>
          <w:lang w:val="en-US" w:eastAsia="zh-CN"/>
        </w:rPr>
        <w:t>7.91</w:t>
      </w:r>
      <w:r>
        <w:rPr>
          <w:rFonts w:hint="eastAsia" w:ascii="仿宋_GB2312" w:hAnsi="仿宋_GB2312" w:cs="仿宋_GB2312"/>
          <w:sz w:val="32"/>
          <w:szCs w:val="32"/>
        </w:rPr>
        <w:t>亿元</w:t>
      </w:r>
      <w:r>
        <w:rPr>
          <w:rFonts w:hint="default" w:ascii="仿宋_GB2312" w:hAnsi="仿宋_GB2312" w:cs="仿宋_GB2312"/>
          <w:sz w:val="32"/>
          <w:szCs w:val="32"/>
          <w:lang w:val="en-US"/>
        </w:rPr>
        <w:t>。跟踪服务好2023年在谈的73个项目，围绕招商引资项目全生命周期管理，实施清单化管理、台账式推进，构建从洽谈到投产的全链条工作闭环。</w:t>
      </w:r>
      <w:r>
        <w:rPr>
          <w:rFonts w:hint="eastAsia" w:ascii="仿宋_GB2312" w:hAnsi="仿宋_GB2312" w:cs="仿宋_GB2312"/>
          <w:b/>
          <w:bCs/>
          <w:sz w:val="32"/>
          <w:szCs w:val="32"/>
          <w:lang w:eastAsia="zh-CN"/>
        </w:rPr>
        <w:t>二</w:t>
      </w:r>
      <w:r>
        <w:rPr>
          <w:rFonts w:hint="eastAsia" w:ascii="仿宋_GB2312" w:hAnsi="仿宋_GB2312" w:cs="仿宋_GB2312"/>
          <w:b/>
          <w:bCs/>
          <w:sz w:val="32"/>
          <w:szCs w:val="32"/>
        </w:rPr>
        <w:t>是</w:t>
      </w:r>
      <w:r>
        <w:rPr>
          <w:rFonts w:hint="eastAsia" w:ascii="仿宋_GB2312" w:hAnsi="仿宋_GB2312" w:cs="仿宋_GB2312"/>
          <w:sz w:val="32"/>
          <w:szCs w:val="32"/>
        </w:rPr>
        <w:t>促进现有企业增资扩产。积极引导企业开展技术改造，稳固企业基本盘，增强发展支撑力，提升技术竞争力。今年将力推投资12.78亿元韶冶新能源汽车高端部件智能制造项目和投资4.75亿元高纯半导体衬底材料项目开工建设。依托韶冶厂区2300余亩土地、韶铸厂区1000余亩土地以及产业园部分企业闲置土地，加快闲置土地资源盘活，延伸上下游产业链，推动传统产业转型升级。</w:t>
      </w:r>
      <w:r>
        <w:rPr>
          <w:rFonts w:hint="eastAsia" w:ascii="仿宋_GB2312" w:hAnsi="仿宋_GB2312" w:cs="仿宋_GB2312"/>
          <w:b/>
          <w:bCs/>
          <w:sz w:val="32"/>
          <w:szCs w:val="32"/>
        </w:rPr>
        <w:t>三是</w:t>
      </w:r>
      <w:r>
        <w:rPr>
          <w:rFonts w:hint="default" w:ascii="仿宋_GB2312" w:hAnsi="仿宋_GB2312" w:cs="仿宋_GB2312"/>
          <w:sz w:val="32"/>
          <w:szCs w:val="32"/>
          <w:lang w:val="en-US"/>
        </w:rPr>
        <w:t>科学</w:t>
      </w:r>
      <w:r>
        <w:rPr>
          <w:rFonts w:hint="eastAsia" w:ascii="仿宋_GB2312" w:hAnsi="仿宋_GB2312" w:cs="仿宋_GB2312"/>
          <w:sz w:val="32"/>
          <w:szCs w:val="32"/>
        </w:rPr>
        <w:t>制定2024年招商引资工作方案。与</w:t>
      </w:r>
      <w:r>
        <w:rPr>
          <w:rFonts w:hint="default" w:ascii="仿宋_GB2312" w:hAnsi="仿宋_GB2312" w:cs="仿宋_GB2312"/>
          <w:sz w:val="32"/>
          <w:szCs w:val="32"/>
          <w:lang w:val="en-US"/>
        </w:rPr>
        <w:t>市商务局</w:t>
      </w:r>
      <w:r>
        <w:rPr>
          <w:rFonts w:hint="eastAsia" w:ascii="仿宋_GB2312" w:hAnsi="仿宋_GB2312" w:cs="仿宋_GB2312"/>
          <w:sz w:val="32"/>
          <w:szCs w:val="32"/>
        </w:rPr>
        <w:t>保持紧密沟通，了解</w:t>
      </w:r>
      <w:r>
        <w:rPr>
          <w:rFonts w:hint="default" w:ascii="仿宋_GB2312" w:hAnsi="仿宋_GB2312" w:cs="仿宋_GB2312"/>
          <w:sz w:val="32"/>
          <w:szCs w:val="32"/>
          <w:lang w:val="en-US"/>
        </w:rPr>
        <w:t>上级</w:t>
      </w:r>
      <w:r>
        <w:rPr>
          <w:rFonts w:hint="eastAsia" w:ascii="仿宋_GB2312" w:hAnsi="仿宋_GB2312" w:cs="仿宋_GB2312"/>
          <w:sz w:val="32"/>
          <w:szCs w:val="32"/>
        </w:rPr>
        <w:t>对招商引资工作的</w:t>
      </w:r>
      <w:r>
        <w:rPr>
          <w:rFonts w:hint="default" w:ascii="仿宋_GB2312" w:hAnsi="仿宋_GB2312" w:cs="仿宋_GB2312"/>
          <w:sz w:val="32"/>
          <w:szCs w:val="32"/>
          <w:lang w:val="en-US"/>
        </w:rPr>
        <w:t>目标</w:t>
      </w:r>
      <w:r>
        <w:rPr>
          <w:rFonts w:hint="eastAsia" w:ascii="仿宋_GB2312" w:hAnsi="仿宋_GB2312" w:cs="仿宋_GB2312"/>
          <w:sz w:val="32"/>
          <w:szCs w:val="32"/>
        </w:rPr>
        <w:t>与要求，结合我区实际，</w:t>
      </w:r>
      <w:r>
        <w:rPr>
          <w:rFonts w:hint="default" w:ascii="仿宋_GB2312" w:hAnsi="仿宋_GB2312" w:cs="仿宋_GB2312"/>
          <w:sz w:val="32"/>
          <w:szCs w:val="32"/>
          <w:lang w:val="en-US"/>
        </w:rPr>
        <w:t>科学</w:t>
      </w:r>
      <w:r>
        <w:rPr>
          <w:rFonts w:hint="eastAsia" w:ascii="仿宋_GB2312" w:hAnsi="仿宋_GB2312" w:cs="仿宋_GB2312"/>
          <w:sz w:val="32"/>
          <w:szCs w:val="32"/>
        </w:rPr>
        <w:t>制定2024年招商引资工作方案，确保工作有序推进</w:t>
      </w:r>
      <w:r>
        <w:rPr>
          <w:rFonts w:hint="default" w:ascii="仿宋_GB2312" w:hAnsi="仿宋_GB2312" w:cs="仿宋_GB2312"/>
          <w:sz w:val="32"/>
          <w:szCs w:val="32"/>
          <w:lang w:val="en-US"/>
        </w:rPr>
        <w:t>，取得实效</w:t>
      </w:r>
      <w:r>
        <w:rPr>
          <w:rFonts w:hint="eastAsia" w:ascii="仿宋_GB2312" w:hAnsi="仿宋_GB2312" w:cs="仿宋_GB2312"/>
          <w:sz w:val="32"/>
          <w:szCs w:val="32"/>
        </w:rPr>
        <w:t>。</w:t>
      </w:r>
      <w:r>
        <w:rPr>
          <w:rFonts w:hint="eastAsia" w:ascii="仿宋_GB2312" w:hAnsi="仿宋_GB2312" w:cs="仿宋_GB2312"/>
          <w:b/>
          <w:bCs/>
          <w:sz w:val="32"/>
          <w:szCs w:val="32"/>
        </w:rPr>
        <w:t>四是</w:t>
      </w:r>
      <w:r>
        <w:rPr>
          <w:rFonts w:hint="eastAsia" w:ascii="仿宋_GB2312" w:hAnsi="仿宋_GB2312" w:cs="仿宋_GB2312"/>
          <w:sz w:val="32"/>
          <w:szCs w:val="32"/>
        </w:rPr>
        <w:t>压实行业主管部门责任，充分发挥重点产业牵头部门在招商引资中的引领作用。推动各行业主管部门树立全产业链招商思维，与要素保障部门积极配合，统筹重点产业招商部门制作本行业、本领域的招商PPT、举办专场招商推介会等方式，展示本产业链投资优势和发展潜力，实现“招商+行业”的精准对接。全年计划举办各</w:t>
      </w:r>
      <w:r>
        <w:rPr>
          <w:rFonts w:hint="default" w:ascii="仿宋_GB2312" w:hAnsi="仿宋_GB2312" w:cs="仿宋_GB2312"/>
          <w:sz w:val="32"/>
          <w:szCs w:val="32"/>
          <w:lang w:val="en-US"/>
        </w:rPr>
        <w:t>类</w:t>
      </w:r>
      <w:r>
        <w:rPr>
          <w:rFonts w:hint="eastAsia" w:ascii="仿宋_GB2312" w:hAnsi="仿宋_GB2312" w:cs="仿宋_GB2312"/>
          <w:sz w:val="32"/>
          <w:szCs w:val="32"/>
        </w:rPr>
        <w:t>招商</w:t>
      </w:r>
      <w:r>
        <w:rPr>
          <w:rFonts w:hint="default" w:ascii="仿宋_GB2312" w:hAnsi="仿宋_GB2312" w:cs="仿宋_GB2312"/>
          <w:sz w:val="32"/>
          <w:szCs w:val="32"/>
          <w:lang w:val="en-US"/>
        </w:rPr>
        <w:t>推介</w:t>
      </w:r>
      <w:r>
        <w:rPr>
          <w:rFonts w:hint="eastAsia" w:ascii="仿宋_GB2312" w:hAnsi="仿宋_GB2312" w:cs="仿宋_GB2312"/>
          <w:sz w:val="32"/>
          <w:szCs w:val="32"/>
        </w:rPr>
        <w:t>会</w:t>
      </w:r>
      <w:r>
        <w:rPr>
          <w:rFonts w:hint="default" w:ascii="仿宋_GB2312" w:hAnsi="仿宋_GB2312" w:cs="仿宋_GB2312"/>
          <w:sz w:val="32"/>
          <w:szCs w:val="32"/>
          <w:lang w:val="en-US"/>
        </w:rPr>
        <w:t>不少于</w:t>
      </w:r>
      <w:r>
        <w:rPr>
          <w:rFonts w:hint="eastAsia" w:ascii="仿宋_GB2312" w:hAnsi="仿宋_GB2312" w:cs="仿宋_GB2312"/>
          <w:sz w:val="32"/>
          <w:szCs w:val="32"/>
        </w:rPr>
        <w:t>10</w:t>
      </w:r>
      <w:r>
        <w:rPr>
          <w:rFonts w:hint="default" w:ascii="仿宋_GB2312" w:hAnsi="仿宋_GB2312" w:cs="仿宋_GB2312"/>
          <w:sz w:val="32"/>
          <w:szCs w:val="32"/>
          <w:lang w:val="en-US"/>
        </w:rPr>
        <w:t>场（</w:t>
      </w:r>
      <w:r>
        <w:rPr>
          <w:rFonts w:hint="eastAsia" w:ascii="仿宋_GB2312" w:hAnsi="仿宋_GB2312" w:cs="仿宋_GB2312"/>
          <w:sz w:val="32"/>
          <w:szCs w:val="32"/>
        </w:rPr>
        <w:t>次</w:t>
      </w:r>
      <w:r>
        <w:rPr>
          <w:rFonts w:hint="default" w:ascii="仿宋_GB2312" w:hAnsi="仿宋_GB2312" w:cs="仿宋_GB2312"/>
          <w:sz w:val="32"/>
          <w:szCs w:val="32"/>
          <w:lang w:val="en-US"/>
        </w:rPr>
        <w:t>）</w:t>
      </w:r>
      <w:r>
        <w:rPr>
          <w:rFonts w:hint="eastAsia" w:ascii="仿宋_GB2312" w:hAnsi="仿宋_GB2312" w:cs="仿宋_GB2312"/>
          <w:sz w:val="32"/>
          <w:szCs w:val="32"/>
        </w:rPr>
        <w:t>。</w:t>
      </w:r>
      <w:r>
        <w:rPr>
          <w:rFonts w:hint="eastAsia" w:ascii="仿宋_GB2312" w:hAnsi="仿宋_GB2312" w:eastAsia="仿宋_GB2312" w:cs="仿宋_GB2312"/>
          <w:b/>
          <w:bCs/>
          <w:sz w:val="32"/>
          <w:szCs w:val="32"/>
        </w:rPr>
        <w:t>五是</w:t>
      </w:r>
      <w:r>
        <w:rPr>
          <w:rFonts w:hint="eastAsia" w:ascii="仿宋_GB2312" w:hAnsi="仿宋_GB2312" w:eastAsia="仿宋_GB2312" w:cs="仿宋_GB2312"/>
          <w:sz w:val="32"/>
          <w:szCs w:val="32"/>
        </w:rPr>
        <w:t>把握机遇，加大外出招商频次。持续深入实施“走出去，请进来”战略，发挥党政主要领导带头招商、小分队招商、驻点招商等多元化渠道优势，围绕主导产业及重点区域，高密度、高频率开展“点对点”招商活动，确保招商引资工作高效推进。</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汇报完毕，请审议。</w:t>
      </w:r>
    </w:p>
    <w:p>
      <w:pPr>
        <w:keepNext w:val="0"/>
        <w:keepLines w:val="0"/>
        <w:pageBreakBefore w:val="0"/>
        <w:kinsoku/>
        <w:wordWrap/>
        <w:overflowPunct/>
        <w:topLinePunct w:val="0"/>
        <w:autoSpaceDE/>
        <w:autoSpaceDN/>
        <w:bidi w:val="0"/>
        <w:adjustRightInd/>
        <w:snapToGrid/>
        <w:spacing w:line="240" w:lineRule="auto"/>
        <w:ind w:firstLine="560"/>
        <w:textAlignment w:val="auto"/>
        <w:rPr>
          <w:rFonts w:ascii="仿宋_GB2312" w:hAnsi="仿宋_GB2312" w:eastAsia="仿宋_GB2312" w:cs="仿宋_GB2312"/>
          <w:sz w:val="32"/>
          <w:szCs w:val="32"/>
        </w:rPr>
      </w:pPr>
      <w:bookmarkStart w:id="0" w:name="_GoBack"/>
      <w:bookmarkEnd w:id="0"/>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pPr>
      <w:r>
        <w:rPr>
          <w:rFonts w:hint="eastAsia" w:ascii="仿宋_GB2312" w:hAnsi="仿宋_GB2312" w:eastAsia="仿宋_GB2312" w:cs="仿宋_GB2312"/>
          <w:sz w:val="32"/>
          <w:szCs w:val="32"/>
        </w:rPr>
        <w:t>附件：2023年浈江区区直部门完成招商任务情况表</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Arial Narrow">
    <w:altName w:val="Arial"/>
    <w:panose1 w:val="020B0606020202030204"/>
    <w:charset w:val="00"/>
    <w:family w:val="swiss"/>
    <w:pitch w:val="default"/>
    <w:sig w:usb0="00000000" w:usb1="00000000" w:usb2="00000000" w:usb3="00000000" w:csb0="2000009F" w:csb1="DFD7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0" distR="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7"/>
                            <w:rPr>
                              <w:rFonts w:ascii="宋体" w:hAnsi="宋体" w:cs="宋体"/>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wps:txbx>
                    <wps:bodyPr wrap="none" lIns="0" tIns="0" rIns="0" bIns="0" upright="1">
                      <a:spAutoFit/>
                    </wps:bodyPr>
                  </wps:wsp>
                </a:graphicData>
              </a:graphic>
            </wp:anchor>
          </w:drawing>
        </mc:Choice>
        <mc:Fallback>
          <w:pict>
            <v:rect id="文本框 1"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5dblS0AAAAAUBAAAPAAAAAAAAAAEAIAAAACIAAABkcnMvZG93bnJldi54bWxQSwEC&#10;FAAUAAAACACHTuJAT0m7K8MBAACHAwAADgAAAAAAAAABACAAAAAfAQAAZHJzL2Uyb0RvYy54bWxQ&#10;SwUGAAAAAAYABgBZAQAAVAUAAAAA&#10;">
              <v:fill on="f" focussize="0,0"/>
              <v:stroke on="f"/>
              <v:imagedata o:title=""/>
              <o:lock v:ext="edit" aspectratio="f"/>
              <v:textbox inset="0mm,0mm,0mm,0mm" style="mso-fit-shape-to-text:t;">
                <w:txbxContent>
                  <w:p>
                    <w:pPr>
                      <w:pStyle w:val="7"/>
                      <w:rPr>
                        <w:rFonts w:ascii="宋体" w:hAnsi="宋体" w:cs="宋体"/>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yMzYxMDFkYTYyMDk0ZDRkY2I3MmQ4OWQ2MmU4NTQifQ=="/>
  </w:docVars>
  <w:rsids>
    <w:rsidRoot w:val="00000000"/>
    <w:rsid w:val="095B770C"/>
    <w:rsid w:val="0AFA086D"/>
    <w:rsid w:val="17152B0D"/>
    <w:rsid w:val="1E9D4929"/>
    <w:rsid w:val="29A463E6"/>
    <w:rsid w:val="58580223"/>
    <w:rsid w:val="623D6ACF"/>
    <w:rsid w:val="63E97EF1"/>
    <w:rsid w:val="795543BD"/>
    <w:rsid w:val="7FA21F8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宋体"/>
      <w:kern w:val="2"/>
      <w:sz w:val="21"/>
      <w:szCs w:val="24"/>
      <w:lang w:val="en-US" w:eastAsia="zh-CN" w:bidi="ar-SA"/>
    </w:rPr>
  </w:style>
  <w:style w:type="paragraph" w:styleId="2">
    <w:name w:val="heading 1"/>
    <w:basedOn w:val="1"/>
    <w:next w:val="1"/>
    <w:qFormat/>
    <w:uiPriority w:val="9"/>
    <w:pPr>
      <w:keepNext/>
      <w:keepLines/>
      <w:widowControl w:val="0"/>
      <w:spacing w:before="340" w:after="330" w:line="578" w:lineRule="auto"/>
      <w:jc w:val="both"/>
      <w:outlineLvl w:val="0"/>
    </w:pPr>
    <w:rPr>
      <w:rFonts w:ascii="Times New Roman" w:hAnsi="Times New Roman" w:eastAsia="宋体" w:cs="Times New Roman"/>
      <w:b/>
      <w:bCs/>
      <w:kern w:val="44"/>
      <w:sz w:val="44"/>
      <w:szCs w:val="44"/>
      <w:lang w:val="en-US" w:eastAsia="zh-CN" w:bidi="ar-SA"/>
    </w:rPr>
  </w:style>
  <w:style w:type="character" w:default="1" w:styleId="10">
    <w:name w:val="Default Paragraph Font"/>
    <w:autoRedefine/>
    <w:qFormat/>
    <w:uiPriority w:val="1"/>
  </w:style>
  <w:style w:type="table" w:default="1" w:styleId="9">
    <w:name w:val="Normal Table"/>
    <w:autoRedefine/>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Arial Unicode MS" w:hAnsi="Arial Unicode MS" w:eastAsia="仿宋_GB2312" w:cs="Times New Roman"/>
    </w:rPr>
  </w:style>
  <w:style w:type="paragraph" w:styleId="4">
    <w:name w:val="Body Text"/>
    <w:basedOn w:val="1"/>
    <w:next w:val="5"/>
    <w:autoRedefine/>
    <w:qFormat/>
    <w:uiPriority w:val="0"/>
    <w:rPr>
      <w:rFonts w:ascii="Calibri" w:hAnsi="Calibri"/>
    </w:rPr>
  </w:style>
  <w:style w:type="paragraph" w:styleId="5">
    <w:name w:val="toc 5"/>
    <w:basedOn w:val="1"/>
    <w:next w:val="1"/>
    <w:qFormat/>
    <w:uiPriority w:val="0"/>
    <w:pPr>
      <w:ind w:left="1680"/>
    </w:pPr>
  </w:style>
  <w:style w:type="paragraph" w:styleId="6">
    <w:name w:val="Plain Text"/>
    <w:basedOn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11">
    <w:name w:val="Strong"/>
    <w:basedOn w:val="10"/>
    <w:autoRedefine/>
    <w:qFormat/>
    <w:uiPriority w:val="0"/>
    <w:rPr>
      <w:b/>
    </w:rPr>
  </w:style>
  <w:style w:type="character" w:customStyle="1" w:styleId="12">
    <w:name w:val="页眉 Char"/>
    <w:basedOn w:val="10"/>
    <w:link w:val="8"/>
    <w:autoRedefine/>
    <w:qFormat/>
    <w:uiPriority w:val="0"/>
    <w:rPr>
      <w:kern w:val="2"/>
      <w:sz w:val="18"/>
      <w:szCs w:val="18"/>
    </w:rPr>
  </w:style>
  <w:style w:type="paragraph" w:customStyle="1" w:styleId="13">
    <w:name w:val="正文缩进1"/>
    <w:basedOn w:val="1"/>
    <w:autoRedefine/>
    <w:qFormat/>
    <w:uiPriority w:val="0"/>
    <w:pPr>
      <w:spacing w:line="560" w:lineRule="exact"/>
      <w:ind w:firstLine="420" w:firstLineChars="200"/>
    </w:pPr>
    <w:rPr>
      <w:rFonts w:ascii="Arial Narrow" w:hAnsi="Arial Narro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1648</Words>
  <Characters>1793</Characters>
  <Paragraphs>23</Paragraphs>
  <TotalTime>0</TotalTime>
  <ScaleCrop>false</ScaleCrop>
  <LinksUpToDate>false</LinksUpToDate>
  <CharactersWithSpaces>1795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2024-01-10T09:34:00Z</dcterms:created>
  <dc:creator>Administrator</dc:creator>
  <cp:lastModifiedBy>名字是多么的难取</cp:lastModifiedBy>
  <dcterms:modified xsi:type="dcterms:W3CDTF">2024-01-17T00:36:00Z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DA2A2297FD6A4E938991CC45CEF5B3E3_13</vt:lpwstr>
  </property>
</Properties>
</file>