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20</w:t>
      </w:r>
      <w:r>
        <w:rPr>
          <w:rFonts w:hint="eastAsia" w:ascii="华文中宋" w:hAnsi="华文中宋" w:eastAsia="华文中宋" w:cs="黑体"/>
          <w:color w:val="000000"/>
          <w:sz w:val="36"/>
          <w:szCs w:val="32"/>
          <w:lang w:val="en-US" w:eastAsia="zh-CN"/>
        </w:rPr>
        <w:t>21</w:t>
      </w:r>
      <w:r>
        <w:rPr>
          <w:rFonts w:hint="eastAsia" w:ascii="华文中宋" w:hAnsi="华文中宋" w:eastAsia="华文中宋" w:cs="黑体"/>
          <w:color w:val="000000"/>
          <w:sz w:val="36"/>
          <w:szCs w:val="32"/>
        </w:rPr>
        <w:t>年度部门决算报表填报说明</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一、决算信息来源说明</w:t>
      </w:r>
    </w:p>
    <w:p>
      <w:pPr>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本套决算依据本单位登记完整、核对无误的账簿记录和其他有关会计核算资料编制，账证相符、账实相符、账表相符、表表相符，真实、准确、完整地反映了本单位预算执行结果和财务状况。</w:t>
      </w:r>
    </w:p>
    <w:p>
      <w:pPr>
        <w:ind w:firstLine="640" w:firstLineChars="200"/>
        <w:rPr>
          <w:rFonts w:ascii="仿宋_GB2312" w:hAnsi="仿宋" w:eastAsia="仿宋_GB2312" w:cs="黑体"/>
          <w:color w:val="000000"/>
          <w:sz w:val="32"/>
          <w:szCs w:val="32"/>
        </w:rPr>
      </w:pPr>
      <w:r>
        <w:rPr>
          <w:rFonts w:hint="eastAsia" w:ascii="仿宋_GB2312" w:hAnsi="仿宋" w:eastAsia="仿宋_GB2312"/>
          <w:sz w:val="32"/>
          <w:szCs w:val="32"/>
        </w:rPr>
        <w:t>（一）本套决算主表数据主要依据本单位会计账簿总账及明细账数据填列，预算数据依据本单位预、决算批复文件及预算调整文件填列。</w:t>
      </w:r>
    </w:p>
    <w:p>
      <w:pPr>
        <w:ind w:firstLine="640" w:firstLineChars="200"/>
        <w:rPr>
          <w:rFonts w:ascii="仿宋_GB2312" w:hAnsi="仿宋" w:eastAsia="仿宋_GB2312"/>
          <w:sz w:val="32"/>
          <w:szCs w:val="32"/>
        </w:rPr>
      </w:pPr>
      <w:r>
        <w:rPr>
          <w:rFonts w:hint="eastAsia" w:ascii="仿宋_GB2312" w:hAnsi="仿宋" w:eastAsia="仿宋_GB2312"/>
          <w:sz w:val="32"/>
          <w:szCs w:val="32"/>
        </w:rPr>
        <w:t>（二）本套决算附表数据主要依据本单位会计账簿、资产、人事台账及相关资料填列。</w:t>
      </w:r>
    </w:p>
    <w:p>
      <w:pPr>
        <w:ind w:firstLine="640" w:firstLineChars="200"/>
        <w:rPr>
          <w:rFonts w:ascii="黑体" w:hAnsi="黑体" w:eastAsia="黑体" w:cs="黑体"/>
          <w:sz w:val="32"/>
          <w:szCs w:val="32"/>
        </w:rPr>
      </w:pPr>
      <w:r>
        <w:rPr>
          <w:rFonts w:hint="eastAsia" w:ascii="黑体" w:hAnsi="黑体" w:eastAsia="黑体" w:cs="黑体"/>
          <w:sz w:val="32"/>
          <w:szCs w:val="32"/>
        </w:rPr>
        <w:t>二、决算编制基本情况</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本单位为</w:t>
      </w:r>
      <w:r>
        <w:rPr>
          <w:rFonts w:hint="eastAsia" w:ascii="仿宋_GB2312" w:hAnsi="仿宋" w:eastAsia="仿宋_GB2312" w:cs="仿宋"/>
          <w:bCs/>
          <w:sz w:val="32"/>
          <w:szCs w:val="32"/>
          <w:u w:val="single"/>
        </w:rPr>
        <w:t>韶关市浈江区市场监督管理局</w:t>
      </w:r>
      <w:r>
        <w:rPr>
          <w:rFonts w:hint="eastAsia" w:ascii="仿宋_GB2312" w:hAnsi="仿宋" w:eastAsia="仿宋_GB2312" w:cs="仿宋"/>
          <w:bCs/>
          <w:sz w:val="32"/>
          <w:szCs w:val="32"/>
        </w:rPr>
        <w:t>，所属</w:t>
      </w:r>
      <w:r>
        <w:rPr>
          <w:rFonts w:hint="eastAsia" w:ascii="仿宋_GB2312" w:hAnsi="仿宋" w:eastAsia="仿宋_GB2312" w:cs="仿宋"/>
          <w:bCs/>
          <w:sz w:val="32"/>
          <w:szCs w:val="32"/>
          <w:u w:val="single"/>
        </w:rPr>
        <w:t>1</w:t>
      </w:r>
      <w:r>
        <w:rPr>
          <w:rFonts w:hint="eastAsia" w:ascii="仿宋_GB2312" w:hAnsi="仿宋" w:eastAsia="仿宋_GB2312" w:cs="仿宋"/>
          <w:bCs/>
          <w:sz w:val="32"/>
          <w:szCs w:val="32"/>
        </w:rPr>
        <w:t>级</w:t>
      </w:r>
      <w:r>
        <w:rPr>
          <w:rFonts w:hint="eastAsia" w:ascii="仿宋_GB2312" w:hAnsi="仿宋" w:eastAsia="仿宋_GB2312" w:cs="仿宋"/>
          <w:bCs/>
          <w:spacing w:val="14"/>
          <w:sz w:val="32"/>
          <w:szCs w:val="32"/>
        </w:rPr>
        <w:t>预算单位，单位性质</w:t>
      </w:r>
      <w:r>
        <w:rPr>
          <w:rFonts w:hint="eastAsia" w:ascii="仿宋_GB2312" w:hAnsi="仿宋" w:eastAsia="仿宋_GB2312" w:cs="仿宋"/>
          <w:bCs/>
          <w:sz w:val="32"/>
          <w:szCs w:val="32"/>
        </w:rPr>
        <w:t>为</w:t>
      </w:r>
      <w:r>
        <w:rPr>
          <w:rFonts w:hint="eastAsia" w:ascii="仿宋_GB2312" w:hAnsi="仿宋" w:eastAsia="仿宋_GB2312" w:cs="仿宋"/>
          <w:bCs/>
          <w:sz w:val="32"/>
          <w:szCs w:val="32"/>
          <w:u w:val="single"/>
        </w:rPr>
        <w:t>行政单位</w:t>
      </w:r>
      <w:r>
        <w:rPr>
          <w:rFonts w:hint="eastAsia" w:ascii="仿宋_GB2312" w:hAnsi="仿宋" w:eastAsia="仿宋_GB2312" w:cs="仿宋"/>
          <w:bCs/>
          <w:sz w:val="32"/>
          <w:szCs w:val="32"/>
        </w:rPr>
        <w:t>，决算编报类型为</w:t>
      </w:r>
      <w:r>
        <w:rPr>
          <w:rFonts w:hint="eastAsia" w:ascii="仿宋_GB2312" w:hAnsi="仿宋" w:eastAsia="仿宋_GB2312" w:cs="仿宋"/>
          <w:bCs/>
          <w:sz w:val="32"/>
          <w:szCs w:val="32"/>
          <w:u w:val="single"/>
        </w:rPr>
        <w:t>单户表</w:t>
      </w:r>
      <w:r>
        <w:rPr>
          <w:rFonts w:hint="eastAsia" w:ascii="仿宋_GB2312" w:hAnsi="仿宋" w:eastAsia="仿宋_GB2312" w:cs="仿宋"/>
          <w:bCs/>
          <w:sz w:val="32"/>
          <w:szCs w:val="32"/>
        </w:rPr>
        <w:t>，按照</w:t>
      </w:r>
      <w:r>
        <w:rPr>
          <w:rFonts w:hint="eastAsia" w:ascii="仿宋_GB2312" w:hAnsi="仿宋" w:eastAsia="仿宋_GB2312" w:cs="仿宋"/>
          <w:bCs/>
          <w:sz w:val="32"/>
          <w:szCs w:val="32"/>
          <w:u w:val="single"/>
        </w:rPr>
        <w:t>政府</w:t>
      </w:r>
      <w:r>
        <w:rPr>
          <w:rFonts w:hint="eastAsia" w:ascii="仿宋_GB2312" w:hAnsi="仿宋" w:eastAsia="仿宋_GB2312" w:cs="仿宋"/>
          <w:bCs/>
          <w:sz w:val="32"/>
          <w:szCs w:val="32"/>
          <w:u w:val="single"/>
          <w:lang w:eastAsia="zh-CN"/>
        </w:rPr>
        <w:t>会计准则制度</w:t>
      </w:r>
      <w:r>
        <w:rPr>
          <w:rFonts w:hint="eastAsia" w:ascii="仿宋_GB2312" w:hAnsi="仿宋" w:eastAsia="仿宋_GB2312" w:cs="仿宋"/>
          <w:bCs/>
          <w:sz w:val="32"/>
          <w:szCs w:val="32"/>
        </w:rPr>
        <w:t>填报决算数据。</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纳入本套决算编制范围的独立核算单位共</w:t>
      </w:r>
      <w:r>
        <w:rPr>
          <w:rFonts w:hint="eastAsia" w:ascii="仿宋_GB2312" w:hAnsi="仿宋" w:eastAsia="仿宋_GB2312" w:cs="仿宋"/>
          <w:bCs/>
          <w:sz w:val="32"/>
          <w:szCs w:val="32"/>
          <w:u w:val="single"/>
        </w:rPr>
        <w:t xml:space="preserve"> 1</w:t>
      </w:r>
      <w:r>
        <w:rPr>
          <w:rFonts w:hint="eastAsia" w:ascii="仿宋_GB2312" w:hAnsi="仿宋" w:eastAsia="仿宋_GB2312" w:cs="仿宋"/>
          <w:bCs/>
          <w:sz w:val="32"/>
          <w:szCs w:val="32"/>
        </w:rPr>
        <w:t>个，比上年增减</w:t>
      </w:r>
      <w:r>
        <w:rPr>
          <w:rFonts w:hint="eastAsia" w:ascii="仿宋_GB2312" w:hAnsi="仿宋" w:eastAsia="仿宋_GB2312" w:cs="仿宋"/>
          <w:bCs/>
          <w:sz w:val="32"/>
          <w:szCs w:val="32"/>
          <w:u w:val="single"/>
        </w:rPr>
        <w:t>0</w:t>
      </w:r>
      <w:r>
        <w:rPr>
          <w:rFonts w:hint="eastAsia" w:ascii="仿宋_GB2312" w:hAnsi="仿宋" w:eastAsia="仿宋_GB2312" w:cs="仿宋"/>
          <w:bCs/>
          <w:sz w:val="32"/>
          <w:szCs w:val="32"/>
        </w:rPr>
        <w:t>个。</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三、基础数据核对情况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（1）单位本年度实际收到的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hAnsi="仿宋" w:eastAsia="仿宋_GB2312" w:cs="仿宋"/>
          <w:color w:val="000000"/>
          <w:sz w:val="32"/>
          <w:szCs w:val="32"/>
          <w:u w:val="single"/>
        </w:rPr>
        <w:t>2</w:t>
      </w:r>
      <w:r>
        <w:rPr>
          <w:rFonts w:hint="eastAsia" w:ascii="仿宋_GB2312" w:hAnsi="仿宋" w:eastAsia="仿宋_GB2312" w:cs="仿宋"/>
          <w:color w:val="000000"/>
          <w:sz w:val="32"/>
          <w:szCs w:val="32"/>
          <w:u w:val="single"/>
          <w:lang w:val="en-US" w:eastAsia="zh-CN"/>
        </w:rPr>
        <w:t>930.56</w:t>
      </w:r>
      <w:r>
        <w:rPr>
          <w:rFonts w:hint="eastAsia" w:ascii="仿宋_GB2312" w:hAnsi="仿宋" w:eastAsia="仿宋_GB2312" w:cs="仿宋"/>
          <w:color w:val="000000"/>
          <w:sz w:val="32"/>
          <w:szCs w:val="32"/>
        </w:rPr>
        <w:t>万元，财政部门拨款对账单</w:t>
      </w:r>
      <w:r>
        <w:rPr>
          <w:rFonts w:hint="eastAsia" w:ascii="仿宋_GB2312" w:hAnsi="仿宋" w:eastAsia="仿宋_GB2312" w:cs="仿宋"/>
          <w:color w:val="000000"/>
          <w:sz w:val="32"/>
          <w:szCs w:val="32"/>
          <w:u w:val="single"/>
        </w:rPr>
        <w:t>2</w:t>
      </w:r>
      <w:r>
        <w:rPr>
          <w:rFonts w:hint="eastAsia" w:ascii="仿宋_GB2312" w:hAnsi="仿宋" w:eastAsia="仿宋_GB2312" w:cs="仿宋"/>
          <w:color w:val="000000"/>
          <w:sz w:val="32"/>
          <w:szCs w:val="32"/>
          <w:u w:val="single"/>
          <w:lang w:val="en-US" w:eastAsia="zh-CN"/>
        </w:rPr>
        <w:t>930.56</w:t>
      </w:r>
      <w:r>
        <w:rPr>
          <w:rFonts w:hint="eastAsia" w:ascii="仿宋_GB2312" w:hAnsi="仿宋" w:eastAsia="仿宋_GB2312" w:cs="仿宋"/>
          <w:color w:val="000000"/>
          <w:sz w:val="32"/>
          <w:szCs w:val="32"/>
        </w:rPr>
        <w:t>万元，差额0万元。</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（2）单位本年度政府性基金预算财政拨款收入</w:t>
      </w:r>
      <w:r>
        <w:rPr>
          <w:rFonts w:hint="eastAsia" w:ascii="仿宋_GB2312" w:eastAsia="仿宋_GB2312" w:cs="Times New Roman"/>
          <w:color w:val="000000"/>
          <w:sz w:val="32"/>
          <w:szCs w:val="32"/>
          <w:u w:val="single"/>
        </w:rPr>
        <w:t> 0</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0</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0</w:t>
      </w:r>
      <w:r>
        <w:rPr>
          <w:rFonts w:hint="eastAsia" w:ascii="仿宋_GB2312" w:hAnsi="仿宋" w:eastAsia="仿宋_GB2312" w:cs="仿宋"/>
          <w:color w:val="000000"/>
          <w:sz w:val="32"/>
          <w:szCs w:val="32"/>
        </w:rPr>
        <w:t>万元。</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（3）单位本年度国有资本经营预算财政拨款收入</w:t>
      </w:r>
      <w:r>
        <w:rPr>
          <w:rFonts w:hint="eastAsia" w:ascii="仿宋_GB2312" w:eastAsia="仿宋_GB2312" w:cs="Times New Roman"/>
          <w:color w:val="000000"/>
          <w:sz w:val="32"/>
          <w:szCs w:val="32"/>
          <w:u w:val="single"/>
        </w:rPr>
        <w:t> </w:t>
      </w:r>
      <w:r>
        <w:rPr>
          <w:rFonts w:hint="eastAsia" w:ascii="仿宋_GB2312" w:eastAsia="仿宋_GB2312" w:cs="Times New Roman"/>
          <w:color w:val="000000"/>
          <w:sz w:val="32"/>
          <w:szCs w:val="32"/>
          <w:u w:val="single"/>
          <w:lang w:val="en-US" w:eastAsia="zh-CN"/>
        </w:rPr>
        <w:t>0</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r>
        <w:rPr>
          <w:rFonts w:hint="eastAsia" w:ascii="仿宋_GB2312" w:eastAsia="仿宋_GB2312" w:cs="Times New Roman"/>
          <w:color w:val="000000"/>
          <w:sz w:val="32"/>
          <w:szCs w:val="32"/>
          <w:u w:val="single"/>
          <w:lang w:val="en-US" w:eastAsia="zh-CN"/>
        </w:rPr>
        <w:t>0</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w:t>
      </w:r>
      <w:r>
        <w:rPr>
          <w:rFonts w:hint="eastAsia" w:ascii="仿宋_GB2312" w:eastAsia="仿宋_GB2312" w:cs="Times New Roman"/>
          <w:color w:val="000000"/>
          <w:sz w:val="32"/>
          <w:szCs w:val="32"/>
          <w:u w:val="single"/>
          <w:lang w:val="en-US" w:eastAsia="zh-CN"/>
        </w:rPr>
        <w:t>0</w:t>
      </w:r>
      <w:r>
        <w:rPr>
          <w:rFonts w:hint="eastAsia" w:ascii="仿宋_GB2312" w:hAnsi="仿宋" w:eastAsia="仿宋_GB2312" w:cs="仿宋"/>
          <w:color w:val="000000"/>
          <w:sz w:val="32"/>
          <w:szCs w:val="32"/>
        </w:rPr>
        <w:t>万元。</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2．其他需要说明的情况。</w:t>
      </w:r>
      <w:r>
        <w:rPr>
          <w:rFonts w:hint="eastAsia" w:ascii="仿宋_GB2312" w:hAnsi="仿宋" w:eastAsia="仿宋_GB2312" w:cs="仿宋"/>
          <w:color w:val="000000"/>
          <w:sz w:val="32"/>
          <w:szCs w:val="32"/>
        </w:rPr>
        <w:t>（无）</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（二）与上年指标核对情况。</w:t>
      </w:r>
    </w:p>
    <w:p>
      <w:pPr>
        <w:ind w:firstLine="640" w:firstLineChars="200"/>
        <w:rPr>
          <w:rFonts w:eastAsia="仿宋_GB2312"/>
          <w:color w:val="C00000"/>
        </w:rPr>
      </w:pPr>
      <w:r>
        <w:rPr>
          <w:rFonts w:hint="eastAsia" w:ascii="仿宋_GB2312" w:hAnsi="仿宋" w:eastAsia="仿宋_GB2312" w:cs="仿宋"/>
          <w:color w:val="000000"/>
          <w:sz w:val="32"/>
          <w:szCs w:val="32"/>
        </w:rPr>
        <w:t>1．全口径、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公共预算财政拨款和政府性基金预算财政拨款的结转和结余资金本年年初数与上年年末数一致</w:t>
      </w:r>
      <w:r>
        <w:rPr>
          <w:rFonts w:hint="eastAsia" w:ascii="仿宋_GB2312" w:hAnsi="仿宋" w:eastAsia="仿宋_GB2312" w:cs="仿宋"/>
          <w:sz w:val="32"/>
          <w:szCs w:val="32"/>
        </w:rPr>
        <w:t>。</w:t>
      </w:r>
    </w:p>
    <w:p>
      <w:pPr>
        <w:spacing w:line="360" w:lineRule="auto"/>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2．主要指标上下年变动情况。</w:t>
      </w:r>
      <w:bookmarkStart w:id="0" w:name="_GoBack"/>
      <w:bookmarkEnd w:id="0"/>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rPr>
        <w:t>⑴“本年收入”</w:t>
      </w:r>
      <w:r>
        <w:rPr>
          <w:rFonts w:hint="eastAsia" w:ascii="仿宋_GB2312" w:hAnsi="仿宋" w:eastAsia="仿宋_GB2312" w:cs="仿宋"/>
          <w:color w:val="000000"/>
          <w:sz w:val="32"/>
          <w:szCs w:val="32"/>
          <w:lang w:eastAsia="zh-CN"/>
        </w:rPr>
        <w:t>和“其中：一般公共预算财政拨款”均</w:t>
      </w:r>
      <w:r>
        <w:rPr>
          <w:rFonts w:hint="eastAsia" w:ascii="仿宋_GB2312" w:hAnsi="仿宋" w:eastAsia="仿宋_GB2312" w:cs="仿宋"/>
          <w:color w:val="000000"/>
          <w:sz w:val="32"/>
          <w:szCs w:val="32"/>
        </w:rPr>
        <w:t>比上年增加35.66</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w:t>
      </w:r>
      <w:r>
        <w:rPr>
          <w:rFonts w:hint="eastAsia" w:ascii="仿宋_GB2312" w:hAnsi="仿宋" w:eastAsia="仿宋_GB2312" w:cs="仿宋"/>
          <w:color w:val="000000"/>
          <w:sz w:val="32"/>
          <w:szCs w:val="32"/>
          <w:lang w:eastAsia="zh-CN"/>
        </w:rPr>
        <w:t>都</w:t>
      </w:r>
      <w:r>
        <w:rPr>
          <w:rFonts w:hint="eastAsia" w:ascii="仿宋_GB2312" w:hAnsi="仿宋" w:eastAsia="仿宋_GB2312" w:cs="仿宋"/>
          <w:color w:val="000000"/>
          <w:sz w:val="32"/>
          <w:szCs w:val="32"/>
        </w:rPr>
        <w:t>是因为人员经费增加了2019年2020年度考核绩效奖励687万元</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公用经费也提高了标准。</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⑵“本年支出”比上年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29.53</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，主要因为人员经费</w:t>
      </w:r>
      <w:r>
        <w:rPr>
          <w:rFonts w:hint="eastAsia" w:ascii="仿宋_GB2312" w:hAnsi="仿宋" w:eastAsia="仿宋_GB2312" w:cs="仿宋"/>
          <w:color w:val="000000"/>
          <w:sz w:val="32"/>
          <w:szCs w:val="32"/>
          <w:lang w:eastAsia="zh-CN"/>
        </w:rPr>
        <w:t>支出</w:t>
      </w:r>
      <w:r>
        <w:rPr>
          <w:rFonts w:hint="eastAsia" w:ascii="仿宋_GB2312" w:hAnsi="仿宋" w:eastAsia="仿宋_GB2312" w:cs="仿宋"/>
          <w:color w:val="000000"/>
          <w:sz w:val="32"/>
          <w:szCs w:val="32"/>
        </w:rPr>
        <w:t>增加了2019年2020年度考核绩效奖励687万元；“其中</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基本支出”比上年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41.64</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和“（</w:t>
      </w:r>
      <w:r>
        <w:rPr>
          <w:rFonts w:ascii="仿宋_GB2312" w:hAnsi="仿宋" w:eastAsia="仿宋_GB2312" w:cs="仿宋"/>
          <w:color w:val="000000"/>
          <w:sz w:val="32"/>
          <w:szCs w:val="32"/>
        </w:rPr>
        <w:t>1</w:t>
      </w:r>
      <w:r>
        <w:rPr>
          <w:rFonts w:hint="eastAsia" w:ascii="仿宋_GB2312" w:hAnsi="仿宋" w:eastAsia="仿宋_GB2312" w:cs="仿宋"/>
          <w:color w:val="000000"/>
          <w:sz w:val="32"/>
          <w:szCs w:val="32"/>
        </w:rPr>
        <w:t>）人员经费”比上年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41.67</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，主要都是因为人员经费</w:t>
      </w:r>
      <w:r>
        <w:rPr>
          <w:rFonts w:hint="eastAsia" w:ascii="仿宋_GB2312" w:hAnsi="仿宋" w:eastAsia="仿宋_GB2312" w:cs="仿宋"/>
          <w:color w:val="000000"/>
          <w:sz w:val="32"/>
          <w:szCs w:val="32"/>
          <w:lang w:eastAsia="zh-CN"/>
        </w:rPr>
        <w:t>支出</w:t>
      </w:r>
      <w:r>
        <w:rPr>
          <w:rFonts w:hint="eastAsia" w:ascii="仿宋_GB2312" w:hAnsi="仿宋" w:eastAsia="仿宋_GB2312" w:cs="仿宋"/>
          <w:color w:val="000000"/>
          <w:sz w:val="32"/>
          <w:szCs w:val="32"/>
        </w:rPr>
        <w:t>增加了2019年2020年度考核绩效奖励687万元</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val="en-US" w:eastAsia="zh-CN"/>
        </w:rPr>
        <w:t>2</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公用</w:t>
      </w:r>
      <w:r>
        <w:rPr>
          <w:rFonts w:hint="eastAsia" w:ascii="仿宋_GB2312" w:hAnsi="仿宋" w:eastAsia="仿宋_GB2312" w:cs="仿宋"/>
          <w:color w:val="000000"/>
          <w:sz w:val="32"/>
          <w:szCs w:val="32"/>
        </w:rPr>
        <w:t>经费”比上年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41.15</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，主要是本年度公用经费预算拨款比上年度大幅增加</w:t>
      </w:r>
      <w:r>
        <w:rPr>
          <w:rFonts w:hint="eastAsia" w:ascii="仿宋_GB2312" w:hAnsi="仿宋" w:eastAsia="仿宋_GB2312" w:cs="仿宋"/>
          <w:color w:val="000000"/>
          <w:sz w:val="32"/>
          <w:szCs w:val="32"/>
          <w:lang w:eastAsia="zh-CN"/>
        </w:rPr>
        <w:t>，相应支出增加；</w:t>
      </w:r>
      <w:r>
        <w:rPr>
          <w:rFonts w:hint="eastAsia" w:ascii="仿宋_GB2312" w:hAnsi="仿宋" w:eastAsia="仿宋_GB2312" w:cs="仿宋"/>
          <w:color w:val="000000"/>
          <w:sz w:val="32"/>
          <w:szCs w:val="32"/>
        </w:rPr>
        <w:t>“项目支出”比上年</w:t>
      </w:r>
      <w:r>
        <w:rPr>
          <w:rFonts w:hint="eastAsia" w:ascii="仿宋_GB2312" w:hAnsi="仿宋" w:eastAsia="仿宋_GB2312" w:cs="仿宋"/>
          <w:color w:val="000000"/>
          <w:sz w:val="32"/>
          <w:szCs w:val="32"/>
          <w:lang w:eastAsia="zh-CN"/>
        </w:rPr>
        <w:t>减少</w:t>
      </w:r>
      <w:r>
        <w:rPr>
          <w:rFonts w:hint="eastAsia" w:ascii="仿宋_GB2312" w:hAnsi="仿宋" w:eastAsia="仿宋_GB2312" w:cs="仿宋"/>
          <w:color w:val="000000"/>
          <w:sz w:val="32"/>
          <w:szCs w:val="32"/>
          <w:lang w:val="en-US" w:eastAsia="zh-CN"/>
        </w:rPr>
        <w:t>50.20</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，因为上年度有较多前一年度未支付的项目经费支出。</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⑶“年末结余和结转”和“其中：一般公共预算财政拨款”比上年增加</w:t>
      </w:r>
      <w:r>
        <w:rPr>
          <w:rFonts w:hint="eastAsia" w:ascii="仿宋_GB2312" w:hAnsi="仿宋" w:eastAsia="仿宋_GB2312" w:cs="仿宋"/>
          <w:color w:val="000000"/>
          <w:sz w:val="32"/>
          <w:szCs w:val="32"/>
          <w:lang w:val="en-US" w:eastAsia="zh-CN"/>
        </w:rPr>
        <w:t>190.51</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，主要是因为年末到账一笔项目资金结转到下一年支出。</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⑷“年末资产负债信息”中的“1.货币资金”比上年度</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161.79</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，主要是因为年末到账一笔项目资金结转到下一年支出</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rPr>
        <w:t>⑸“3.年末实有人数”</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“在职人员”和“其中：行政人员”</w:t>
      </w:r>
      <w:r>
        <w:rPr>
          <w:rFonts w:hint="eastAsia" w:ascii="仿宋_GB2312" w:hAnsi="仿宋" w:eastAsia="仿宋_GB2312" w:cs="仿宋"/>
          <w:color w:val="000000"/>
          <w:sz w:val="32"/>
          <w:szCs w:val="32"/>
          <w:lang w:eastAsia="zh-CN"/>
        </w:rPr>
        <w:t>均</w:t>
      </w:r>
      <w:r>
        <w:rPr>
          <w:rFonts w:hint="eastAsia" w:ascii="仿宋_GB2312" w:hAnsi="仿宋" w:eastAsia="仿宋_GB2312" w:cs="仿宋"/>
          <w:color w:val="000000"/>
          <w:sz w:val="32"/>
          <w:szCs w:val="32"/>
        </w:rPr>
        <w:t>比上年</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1</w:t>
      </w:r>
      <w:r>
        <w:rPr>
          <w:rFonts w:hint="eastAsia" w:ascii="仿宋_GB2312" w:hAnsi="仿宋" w:eastAsia="仿宋_GB2312" w:cs="仿宋"/>
          <w:color w:val="000000"/>
          <w:sz w:val="32"/>
          <w:szCs w:val="32"/>
        </w:rPr>
        <w:t>人，是因为我局本年度</w:t>
      </w:r>
      <w:r>
        <w:rPr>
          <w:rFonts w:hint="eastAsia" w:ascii="仿宋_GB2312" w:hAnsi="仿宋" w:eastAsia="仿宋_GB2312" w:cs="仿宋"/>
          <w:color w:val="000000"/>
          <w:sz w:val="32"/>
          <w:szCs w:val="32"/>
          <w:lang w:eastAsia="zh-CN"/>
        </w:rPr>
        <w:t>新增公务员</w:t>
      </w:r>
      <w:r>
        <w:rPr>
          <w:rFonts w:hint="eastAsia" w:ascii="仿宋_GB2312" w:hAnsi="仿宋" w:eastAsia="仿宋_GB2312" w:cs="仿宋"/>
          <w:color w:val="000000"/>
          <w:sz w:val="32"/>
          <w:szCs w:val="32"/>
          <w:lang w:val="en-US" w:eastAsia="zh-CN"/>
        </w:rPr>
        <w:t>7人，</w:t>
      </w:r>
      <w:r>
        <w:rPr>
          <w:rFonts w:hint="eastAsia" w:ascii="仿宋_GB2312" w:hAnsi="仿宋" w:eastAsia="仿宋_GB2312" w:cs="仿宋"/>
          <w:color w:val="000000"/>
          <w:sz w:val="32"/>
          <w:szCs w:val="32"/>
        </w:rPr>
        <w:t>调出行政在职</w:t>
      </w:r>
      <w:r>
        <w:rPr>
          <w:rFonts w:hint="eastAsia" w:ascii="仿宋_GB2312" w:hAnsi="仿宋" w:eastAsia="仿宋_GB2312" w:cs="仿宋"/>
          <w:color w:val="000000"/>
          <w:sz w:val="32"/>
          <w:szCs w:val="32"/>
          <w:lang w:val="en-US" w:eastAsia="zh-CN"/>
        </w:rPr>
        <w:t>3</w:t>
      </w:r>
      <w:r>
        <w:rPr>
          <w:rFonts w:hint="eastAsia" w:ascii="仿宋_GB2312" w:hAnsi="仿宋" w:eastAsia="仿宋_GB2312" w:cs="仿宋"/>
          <w:color w:val="000000"/>
          <w:sz w:val="32"/>
          <w:szCs w:val="32"/>
        </w:rPr>
        <w:t>人，行政在职</w:t>
      </w:r>
      <w:r>
        <w:rPr>
          <w:rFonts w:hint="eastAsia" w:ascii="仿宋_GB2312" w:hAnsi="仿宋" w:eastAsia="仿宋_GB2312" w:cs="仿宋"/>
          <w:color w:val="000000"/>
          <w:sz w:val="32"/>
          <w:szCs w:val="32"/>
          <w:lang w:val="en-US" w:eastAsia="zh-CN"/>
        </w:rPr>
        <w:t>3人退休，因此对比增加1人</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rPr>
        <w:t>⑹“ 3.培训费” 比上年</w:t>
      </w:r>
      <w:r>
        <w:rPr>
          <w:rFonts w:hint="eastAsia" w:ascii="仿宋_GB2312" w:hAnsi="仿宋" w:eastAsia="仿宋_GB2312" w:cs="仿宋"/>
          <w:color w:val="000000"/>
          <w:sz w:val="32"/>
          <w:szCs w:val="32"/>
          <w:lang w:eastAsia="zh-CN"/>
        </w:rPr>
        <w:t>减少</w:t>
      </w:r>
      <w:r>
        <w:rPr>
          <w:rFonts w:hint="eastAsia" w:ascii="仿宋_GB2312" w:hAnsi="仿宋" w:eastAsia="仿宋_GB2312" w:cs="仿宋"/>
          <w:color w:val="000000"/>
          <w:sz w:val="32"/>
          <w:szCs w:val="32"/>
          <w:lang w:val="en-US" w:eastAsia="zh-CN"/>
        </w:rPr>
        <w:t>81.63</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主要原因上年度有以前年度的省级专项资金培训支出</w:t>
      </w:r>
      <w:r>
        <w:rPr>
          <w:rFonts w:hint="eastAsia" w:ascii="仿宋_GB2312" w:hAnsi="仿宋" w:eastAsia="仿宋_GB2312" w:cs="仿宋"/>
          <w:color w:val="000000"/>
          <w:sz w:val="32"/>
          <w:szCs w:val="32"/>
          <w:lang w:eastAsia="zh-CN"/>
        </w:rPr>
        <w:t>在上年度列支</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rPr>
        <w:t>⑺</w:t>
      </w: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5.机关运行经费”比上年增加</w:t>
      </w:r>
      <w:r>
        <w:rPr>
          <w:rFonts w:hint="eastAsia" w:ascii="仿宋_GB2312" w:hAnsi="仿宋" w:eastAsia="仿宋_GB2312" w:cs="仿宋"/>
          <w:color w:val="000000"/>
          <w:sz w:val="32"/>
          <w:szCs w:val="32"/>
          <w:lang w:val="en-US" w:eastAsia="zh-CN"/>
        </w:rPr>
        <w:t>41.17</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主要是</w:t>
      </w:r>
      <w:r>
        <w:rPr>
          <w:rFonts w:hint="eastAsia" w:ascii="仿宋_GB2312" w:hAnsi="仿宋" w:eastAsia="仿宋_GB2312" w:cs="仿宋"/>
          <w:color w:val="000000"/>
          <w:sz w:val="32"/>
          <w:szCs w:val="32"/>
        </w:rPr>
        <w:t>因为本年度公用经费预算拨款比上年度大幅增加，机关运行经费支出相应增加。</w:t>
      </w:r>
      <w:r>
        <w:rPr>
          <w:rFonts w:hint="eastAsia" w:ascii="仿宋_GB2312" w:hAnsi="仿宋" w:eastAsia="仿宋_GB2312" w:cs="仿宋"/>
          <w:color w:val="000000"/>
          <w:sz w:val="32"/>
          <w:szCs w:val="32"/>
          <w:lang w:val="en-US" w:eastAsia="zh-CN"/>
        </w:rPr>
        <w:t xml:space="preserve"> ⑻</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7.调整预算数</w:t>
      </w:r>
      <w:r>
        <w:rPr>
          <w:rFonts w:hint="eastAsia" w:ascii="仿宋_GB2312" w:hAnsi="仿宋" w:eastAsia="仿宋_GB2312" w:cs="仿宋"/>
          <w:color w:val="000000"/>
          <w:sz w:val="32"/>
          <w:szCs w:val="32"/>
          <w:lang w:eastAsia="zh-CN"/>
        </w:rPr>
        <w:t>”中“本年收入合计”和“本年支出合计”均比上年增加</w:t>
      </w:r>
      <w:r>
        <w:rPr>
          <w:rFonts w:hint="eastAsia" w:ascii="仿宋_GB2312" w:hAnsi="仿宋" w:eastAsia="仿宋_GB2312" w:cs="仿宋"/>
          <w:color w:val="000000"/>
          <w:sz w:val="32"/>
          <w:szCs w:val="32"/>
          <w:lang w:val="en-US" w:eastAsia="zh-CN"/>
        </w:rPr>
        <w:t>35.66%，主要是</w:t>
      </w:r>
      <w:r>
        <w:rPr>
          <w:rFonts w:hint="eastAsia" w:ascii="仿宋_GB2312" w:hAnsi="仿宋" w:eastAsia="仿宋_GB2312" w:cs="仿宋"/>
          <w:color w:val="000000"/>
          <w:sz w:val="32"/>
          <w:szCs w:val="32"/>
          <w:lang w:eastAsia="zh-CN"/>
        </w:rPr>
        <w:t>因为年中</w:t>
      </w:r>
      <w:r>
        <w:rPr>
          <w:rFonts w:hint="eastAsia" w:ascii="仿宋_GB2312" w:hAnsi="仿宋" w:eastAsia="仿宋_GB2312" w:cs="仿宋"/>
          <w:color w:val="000000"/>
          <w:sz w:val="32"/>
          <w:szCs w:val="32"/>
        </w:rPr>
        <w:t>追加了2019年2020年度考核绩效奖励预算拨款687万元。</w:t>
      </w:r>
    </w:p>
    <w:p>
      <w:pPr>
        <w:ind w:firstLine="709"/>
        <w:rPr>
          <w:rFonts w:ascii="黑体" w:hAnsi="黑体" w:eastAsia="黑体" w:cs="黑体"/>
          <w:color w:val="000000"/>
          <w:sz w:val="32"/>
          <w:szCs w:val="32"/>
        </w:rPr>
      </w:pPr>
      <w:r>
        <w:rPr>
          <w:rFonts w:hint="eastAsia" w:ascii="仿宋_GB2312" w:eastAsia="仿宋_GB2312" w:cs="Times New Roman"/>
          <w:color w:val="000000"/>
          <w:sz w:val="32"/>
          <w:szCs w:val="32"/>
        </w:rPr>
        <w:t> </w:t>
      </w:r>
      <w:r>
        <w:rPr>
          <w:rFonts w:hint="eastAsia" w:ascii="黑体" w:hAnsi="黑体" w:eastAsia="黑体" w:cs="黑体"/>
          <w:color w:val="000000"/>
          <w:sz w:val="32"/>
          <w:szCs w:val="32"/>
        </w:rPr>
        <w:t>四、报表审核情况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1．审核公式。</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审核公式共提示</w:t>
      </w:r>
      <w:r>
        <w:rPr>
          <w:rFonts w:hint="eastAsia" w:ascii="仿宋_GB2312" w:hAnsi="仿宋" w:eastAsia="仿宋_GB2312" w:cs="仿宋"/>
          <w:color w:val="000000"/>
          <w:sz w:val="32"/>
          <w:szCs w:val="32"/>
          <w:lang w:val="en-US" w:eastAsia="zh-CN"/>
        </w:rPr>
        <w:t>2</w:t>
      </w:r>
      <w:r>
        <w:rPr>
          <w:rFonts w:hint="eastAsia" w:ascii="仿宋_GB2312" w:hAnsi="仿宋" w:eastAsia="仿宋_GB2312" w:cs="仿宋"/>
          <w:color w:val="000000"/>
          <w:sz w:val="32"/>
          <w:szCs w:val="32"/>
        </w:rPr>
        <w:t>条。其中：</w:t>
      </w:r>
    </w:p>
    <w:p>
      <w:pPr>
        <w:ind w:firstLine="709"/>
        <w:rPr>
          <w:rFonts w:ascii="仿宋_GB2312" w:hAnsi="仿宋" w:eastAsia="仿宋_GB2312" w:cs="仿宋"/>
          <w:color w:val="000000"/>
          <w:sz w:val="32"/>
          <w:szCs w:val="32"/>
        </w:rPr>
      </w:pPr>
      <w:r>
        <w:rPr>
          <w:rFonts w:hint="eastAsia" w:ascii="仿宋_GB2312" w:hAnsi="仿宋" w:eastAsia="仿宋_GB2312" w:cs="仿宋"/>
          <w:bCs/>
          <w:color w:val="000000"/>
          <w:sz w:val="32"/>
          <w:szCs w:val="32"/>
        </w:rPr>
        <w:t>（1）</w:t>
      </w:r>
      <w:r>
        <w:rPr>
          <w:rFonts w:ascii="仿宋_GB2312" w:hAnsi="仿宋" w:eastAsia="仿宋_GB2312" w:cs="仿宋"/>
          <w:color w:val="000000"/>
          <w:sz w:val="32"/>
          <w:szCs w:val="32"/>
        </w:rPr>
        <w:t>B1-101</w:t>
      </w:r>
      <w:r>
        <w:rPr>
          <w:rFonts w:hint="eastAsia" w:ascii="仿宋_GB2312" w:hAnsi="仿宋" w:eastAsia="仿宋_GB2312" w:cs="仿宋"/>
          <w:color w:val="000000"/>
          <w:sz w:val="32"/>
          <w:szCs w:val="32"/>
        </w:rPr>
        <w:t>公式，提示内容：单位预算级次若选择“一级预算单位”，则预算代码为3位，保留原因是：按照国库支付中心预算代码填写。。</w:t>
      </w:r>
    </w:p>
    <w:p>
      <w:pPr>
        <w:ind w:firstLine="709"/>
        <w:rPr>
          <w:rFonts w:ascii="仿宋_GB2312" w:hAnsi="仿宋" w:eastAsia="仿宋_GB2312" w:cs="仿宋"/>
          <w:color w:val="000000"/>
          <w:sz w:val="32"/>
          <w:szCs w:val="32"/>
        </w:rPr>
      </w:pP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B0-1268公式，提示内容：如果F02表中第5列离休人员大于或等于机构运行信息表F03表中第50行离休人员统计数(纳入社保管理的离退休人员不在F02表反映)，则核实说明。保留原因是：本单位离休人员3人为财政全额保障，非从养老保险基金中发放养老金。。</w:t>
      </w:r>
    </w:p>
    <w:p>
      <w:pPr>
        <w:ind w:firstLine="709"/>
        <w:rPr>
          <w:rFonts w:ascii="楷体_GB2312" w:hAnsi="Times New Roman" w:eastAsia="楷体_GB2312" w:cs="Times New Roman"/>
          <w:b/>
          <w:sz w:val="32"/>
          <w:szCs w:val="32"/>
        </w:rPr>
      </w:pPr>
      <w:r>
        <w:rPr>
          <w:rFonts w:hint="eastAsia" w:ascii="楷体_GB2312" w:hAnsi="仿宋" w:eastAsia="楷体_GB2312" w:cs="仿宋"/>
          <w:b/>
          <w:sz w:val="32"/>
          <w:szCs w:val="32"/>
        </w:rPr>
        <w:t>（二）对报表指标、审核公式和审核模板的设置建议。</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暂无设置建议。</w:t>
      </w:r>
    </w:p>
    <w:p>
      <w:pPr>
        <w:ind w:firstLine="709"/>
        <w:rPr>
          <w:rFonts w:ascii="黑体" w:hAnsi="黑体" w:eastAsia="黑体" w:cs="Times New Roman"/>
          <w:sz w:val="32"/>
          <w:szCs w:val="32"/>
        </w:rPr>
      </w:pPr>
      <w:r>
        <w:rPr>
          <w:rFonts w:hint="eastAsia" w:ascii="黑体" w:hAnsi="黑体" w:eastAsia="黑体" w:cs="黑体"/>
          <w:sz w:val="32"/>
          <w:szCs w:val="32"/>
        </w:rPr>
        <w:t>五、决算数据其他需要说明的情况</w:t>
      </w:r>
    </w:p>
    <w:p>
      <w:pPr>
        <w:ind w:firstLine="709"/>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color w:val="000000"/>
          <w:sz w:val="32"/>
          <w:szCs w:val="32"/>
        </w:rPr>
        <w:t xml:space="preserve"> “收入决算表”</w:t>
      </w:r>
      <w:r>
        <w:rPr>
          <w:rFonts w:hint="eastAsia" w:ascii="仿宋_GB2312" w:hAnsi="仿宋" w:eastAsia="仿宋_GB2312"/>
          <w:sz w:val="32"/>
          <w:szCs w:val="32"/>
        </w:rPr>
        <w:t>中</w:t>
      </w:r>
      <w:r>
        <w:rPr>
          <w:rFonts w:ascii="仿宋_GB2312" w:hAnsi="仿宋" w:eastAsia="仿宋_GB2312"/>
          <w:sz w:val="32"/>
          <w:szCs w:val="32"/>
        </w:rPr>
        <w:t xml:space="preserve"> </w:t>
      </w:r>
      <w:r>
        <w:rPr>
          <w:rFonts w:hint="eastAsia" w:ascii="仿宋_GB2312" w:hAnsi="仿宋" w:eastAsia="仿宋_GB2312"/>
          <w:sz w:val="32"/>
          <w:szCs w:val="32"/>
        </w:rPr>
        <w:t>“</w:t>
      </w:r>
      <w:r>
        <w:rPr>
          <w:rFonts w:hint="eastAsia" w:ascii="仿宋_GB2312" w:hAnsi="仿宋" w:eastAsia="仿宋_GB2312"/>
          <w:spacing w:val="6"/>
          <w:sz w:val="32"/>
          <w:szCs w:val="32"/>
        </w:rPr>
        <w:t>其他收入”</w:t>
      </w:r>
      <w:r>
        <w:rPr>
          <w:rFonts w:hint="eastAsia" w:ascii="仿宋_GB2312" w:hAnsi="仿宋" w:eastAsia="仿宋_GB2312"/>
          <w:spacing w:val="6"/>
          <w:sz w:val="32"/>
          <w:szCs w:val="32"/>
          <w:lang w:val="en-US" w:eastAsia="zh-CN"/>
        </w:rPr>
        <w:t>0.16</w:t>
      </w:r>
      <w:r>
        <w:rPr>
          <w:rFonts w:hint="eastAsia" w:ascii="仿宋_GB2312" w:hAnsi="仿宋" w:eastAsia="仿宋_GB2312"/>
          <w:spacing w:val="6"/>
          <w:sz w:val="32"/>
          <w:szCs w:val="32"/>
        </w:rPr>
        <w:t>万元，</w:t>
      </w:r>
      <w:r>
        <w:rPr>
          <w:rFonts w:hint="eastAsia" w:ascii="仿宋_GB2312" w:hAnsi="仿宋" w:eastAsia="仿宋_GB2312"/>
          <w:spacing w:val="6"/>
          <w:sz w:val="32"/>
          <w:szCs w:val="32"/>
          <w:lang w:eastAsia="zh-CN"/>
        </w:rPr>
        <w:t>为</w:t>
      </w:r>
      <w:r>
        <w:rPr>
          <w:rFonts w:hint="eastAsia" w:ascii="仿宋_GB2312" w:hAnsi="仿宋" w:eastAsia="仿宋_GB2312"/>
          <w:spacing w:val="6"/>
          <w:sz w:val="32"/>
          <w:szCs w:val="32"/>
        </w:rPr>
        <w:t>我局基本账户银行存款利息收入0.</w:t>
      </w:r>
      <w:r>
        <w:rPr>
          <w:rFonts w:hint="eastAsia" w:ascii="仿宋_GB2312" w:hAnsi="仿宋" w:eastAsia="仿宋_GB2312"/>
          <w:spacing w:val="6"/>
          <w:sz w:val="32"/>
          <w:szCs w:val="32"/>
          <w:lang w:val="en-US" w:eastAsia="zh-CN"/>
        </w:rPr>
        <w:t>16</w:t>
      </w:r>
      <w:r>
        <w:rPr>
          <w:rFonts w:hint="eastAsia" w:ascii="仿宋_GB2312" w:hAnsi="仿宋" w:eastAsia="仿宋_GB2312"/>
          <w:spacing w:val="6"/>
          <w:sz w:val="32"/>
          <w:szCs w:val="32"/>
        </w:rPr>
        <w:t>万元</w:t>
      </w:r>
      <w:r>
        <w:rPr>
          <w:rFonts w:hint="eastAsia" w:ascii="仿宋_GB2312" w:hAnsi="仿宋" w:eastAsia="仿宋_GB2312" w:cs="仿宋"/>
          <w:color w:val="000000"/>
          <w:sz w:val="32"/>
          <w:szCs w:val="32"/>
        </w:rPr>
        <w:t>。</w:t>
      </w:r>
    </w:p>
    <w:p>
      <w:pPr>
        <w:ind w:firstLine="709"/>
        <w:rPr>
          <w:rFonts w:hint="eastAsia" w:ascii="仿宋_GB2312" w:eastAsia="仿宋_GB2312"/>
          <w:sz w:val="32"/>
          <w:szCs w:val="32"/>
        </w:rPr>
      </w:pPr>
      <w:r>
        <w:rPr>
          <w:rFonts w:hint="eastAsia" w:ascii="仿宋_GB2312" w:hAnsi="仿宋" w:eastAsia="仿宋_GB2312" w:cs="仿宋"/>
          <w:sz w:val="32"/>
          <w:szCs w:val="32"/>
        </w:rPr>
        <w:t>2.</w:t>
      </w:r>
      <w:r>
        <w:rPr>
          <w:rFonts w:hint="eastAsia" w:ascii="仿宋_GB2312" w:eastAsia="仿宋_GB2312"/>
          <w:sz w:val="32"/>
          <w:szCs w:val="32"/>
        </w:rPr>
        <w:t>本年度单位机关运行经费</w:t>
      </w:r>
      <w:r>
        <w:rPr>
          <w:rFonts w:hint="eastAsia" w:ascii="仿宋_GB2312" w:eastAsia="仿宋_GB2312"/>
          <w:sz w:val="32"/>
          <w:szCs w:val="32"/>
          <w:lang w:val="en-US" w:eastAsia="zh-CN"/>
        </w:rPr>
        <w:t>166.73</w:t>
      </w:r>
      <w:r>
        <w:rPr>
          <w:rFonts w:hint="eastAsia" w:ascii="仿宋_GB2312" w:eastAsia="仿宋_GB2312"/>
          <w:sz w:val="32"/>
          <w:szCs w:val="32"/>
        </w:rPr>
        <w:t>万元，比上年度</w:t>
      </w:r>
      <w:r>
        <w:rPr>
          <w:rFonts w:hint="eastAsia" w:ascii="仿宋_GB2312" w:eastAsia="仿宋_GB2312"/>
          <w:sz w:val="32"/>
          <w:szCs w:val="32"/>
          <w:lang w:eastAsia="zh-CN"/>
        </w:rPr>
        <w:t>增加</w:t>
      </w:r>
      <w:r>
        <w:rPr>
          <w:rFonts w:hint="eastAsia" w:ascii="仿宋_GB2312" w:eastAsia="仿宋_GB2312"/>
          <w:sz w:val="32"/>
          <w:szCs w:val="32"/>
          <w:lang w:val="en-US" w:eastAsia="zh-CN"/>
        </w:rPr>
        <w:t>48.63</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主要是因为本年度本年度公用经费预算拨款比上年度大幅增加，机关运行经费支出相应增加。</w:t>
      </w:r>
    </w:p>
    <w:p>
      <w:pPr>
        <w:ind w:firstLine="709"/>
        <w:rPr>
          <w:rFonts w:hint="eastAsia" w:ascii="仿宋_GB2312" w:hAnsi="仿宋" w:eastAsia="仿宋_GB2312" w:cs="仿宋"/>
          <w:bCs/>
          <w:sz w:val="32"/>
          <w:szCs w:val="32"/>
        </w:rPr>
      </w:pPr>
      <w:r>
        <w:rPr>
          <w:rFonts w:hint="eastAsia" w:ascii="仿宋_GB2312" w:hAnsi="仿宋" w:eastAsia="仿宋_GB2312" w:cs="仿宋"/>
          <w:color w:val="000000"/>
          <w:sz w:val="32"/>
          <w:szCs w:val="32"/>
        </w:rPr>
        <w:t>3</w:t>
      </w:r>
      <w:r>
        <w:rPr>
          <w:rFonts w:hint="eastAsia" w:ascii="仿宋_GB2312" w:hAnsi="仿宋" w:eastAsia="仿宋_GB2312" w:cs="仿宋"/>
          <w:color w:val="000000"/>
          <w:sz w:val="32"/>
          <w:szCs w:val="32"/>
          <w:lang w:val="en-US" w:eastAsia="zh-CN"/>
        </w:rPr>
        <w:t>.</w:t>
      </w:r>
      <w:r>
        <w:rPr>
          <w:rFonts w:hint="eastAsia" w:ascii="仿宋_GB2312" w:eastAsia="仿宋_GB2312"/>
          <w:sz w:val="32"/>
          <w:szCs w:val="32"/>
        </w:rPr>
        <w:t>本年度政府采购支出</w:t>
      </w:r>
      <w:r>
        <w:rPr>
          <w:rFonts w:hint="eastAsia" w:ascii="仿宋_GB2312" w:eastAsia="仿宋_GB2312"/>
          <w:sz w:val="32"/>
          <w:szCs w:val="32"/>
          <w:lang w:val="en-US" w:eastAsia="zh-CN"/>
        </w:rPr>
        <w:t>12.70</w:t>
      </w:r>
      <w:r>
        <w:rPr>
          <w:rFonts w:hint="eastAsia" w:ascii="仿宋_GB2312" w:eastAsia="仿宋_GB2312"/>
          <w:sz w:val="32"/>
          <w:szCs w:val="32"/>
        </w:rPr>
        <w:t>万元，均为政府采购货物支出，</w:t>
      </w:r>
      <w:r>
        <w:rPr>
          <w:rFonts w:hint="eastAsia" w:ascii="仿宋_GB2312" w:hAnsi="仿宋" w:eastAsia="仿宋_GB2312" w:cs="仿宋"/>
          <w:bCs/>
          <w:sz w:val="32"/>
          <w:szCs w:val="32"/>
        </w:rPr>
        <w:t>授予中小企业合同金额</w:t>
      </w:r>
      <w:r>
        <w:rPr>
          <w:rFonts w:hint="eastAsia" w:ascii="仿宋_GB2312" w:hAnsi="仿宋" w:eastAsia="仿宋_GB2312" w:cs="仿宋"/>
          <w:bCs/>
          <w:sz w:val="32"/>
          <w:szCs w:val="32"/>
          <w:lang w:val="en-US" w:eastAsia="zh-CN"/>
        </w:rPr>
        <w:t>12.70</w:t>
      </w:r>
      <w:r>
        <w:rPr>
          <w:rFonts w:hint="eastAsia" w:ascii="仿宋_GB2312" w:hAnsi="仿宋" w:eastAsia="仿宋_GB2312" w:cs="仿宋"/>
          <w:bCs/>
          <w:sz w:val="32"/>
          <w:szCs w:val="32"/>
        </w:rPr>
        <w:t>万元，其中：授予小微企业合同金额</w:t>
      </w:r>
      <w:r>
        <w:rPr>
          <w:rFonts w:hint="eastAsia" w:ascii="仿宋_GB2312" w:hAnsi="仿宋" w:eastAsia="仿宋_GB2312" w:cs="仿宋"/>
          <w:bCs/>
          <w:sz w:val="32"/>
          <w:szCs w:val="32"/>
          <w:lang w:val="en-US" w:eastAsia="zh-CN"/>
        </w:rPr>
        <w:t>12.70</w:t>
      </w:r>
      <w:r>
        <w:rPr>
          <w:rFonts w:hint="eastAsia" w:ascii="仿宋_GB2312" w:hAnsi="仿宋" w:eastAsia="仿宋_GB2312" w:cs="仿宋"/>
          <w:bCs/>
          <w:sz w:val="32"/>
          <w:szCs w:val="32"/>
        </w:rPr>
        <w:t>万元。</w:t>
      </w:r>
    </w:p>
    <w:p>
      <w:pPr>
        <w:ind w:firstLine="709"/>
        <w:rPr>
          <w:rFonts w:ascii="仿宋_GB2312" w:hAnsi="仿宋" w:eastAsia="仿宋_GB2312" w:cs="Times New Roman"/>
          <w:color w:val="000000"/>
          <w:sz w:val="32"/>
          <w:szCs w:val="32"/>
        </w:rPr>
      </w:pPr>
      <w:r>
        <w:rPr>
          <w:rFonts w:hint="eastAsia" w:ascii="仿宋_GB2312" w:hAnsi="仿宋" w:eastAsia="仿宋_GB2312" w:cs="仿宋"/>
          <w:bCs/>
          <w:sz w:val="32"/>
          <w:szCs w:val="32"/>
          <w:lang w:val="en-US" w:eastAsia="zh-CN"/>
        </w:rPr>
        <w:t>4</w:t>
      </w:r>
      <w:r>
        <w:rPr>
          <w:rFonts w:hint="eastAsia" w:ascii="仿宋_GB2312" w:hAnsi="仿宋" w:eastAsia="仿宋_GB2312" w:cs="仿宋"/>
          <w:bCs/>
          <w:sz w:val="32"/>
          <w:szCs w:val="32"/>
        </w:rPr>
        <w:t>. 本年度“收入支出决算总表”中调</w:t>
      </w:r>
      <w:r>
        <w:rPr>
          <w:rFonts w:hint="eastAsia" w:ascii="仿宋_GB2312" w:hAnsi="仿宋" w:eastAsia="仿宋_GB2312" w:cs="仿宋"/>
          <w:bCs/>
          <w:color w:val="000000"/>
          <w:sz w:val="32"/>
          <w:szCs w:val="32"/>
        </w:rPr>
        <w:t>整预算数大于年初预算数，</w:t>
      </w:r>
      <w:r>
        <w:rPr>
          <w:rFonts w:hint="eastAsia" w:ascii="仿宋_GB2312" w:hAnsi="仿宋" w:eastAsia="仿宋_GB2312" w:cs="仿宋"/>
          <w:color w:val="000000"/>
          <w:sz w:val="32"/>
          <w:szCs w:val="32"/>
        </w:rPr>
        <w:t>主要是</w:t>
      </w:r>
      <w:r>
        <w:rPr>
          <w:rFonts w:hint="eastAsia" w:ascii="仿宋_GB2312" w:hAnsi="仿宋" w:eastAsia="仿宋_GB2312" w:cs="仿宋"/>
          <w:color w:val="000000"/>
          <w:sz w:val="32"/>
          <w:szCs w:val="32"/>
          <w:lang w:eastAsia="zh-CN"/>
        </w:rPr>
        <w:t>因为年中</w:t>
      </w:r>
      <w:r>
        <w:rPr>
          <w:rFonts w:hint="eastAsia" w:ascii="仿宋_GB2312" w:hAnsi="仿宋" w:eastAsia="仿宋_GB2312" w:cs="仿宋"/>
          <w:color w:val="000000"/>
          <w:sz w:val="32"/>
          <w:szCs w:val="32"/>
        </w:rPr>
        <w:t>追加了2019年2020年度考核绩效奖励预算拨款687万元。</w:t>
      </w:r>
      <w:r>
        <w:rPr>
          <w:rFonts w:ascii="仿宋_GB2312" w:hAnsi="仿宋" w:eastAsia="仿宋_GB2312" w:cs="Times New Roman"/>
          <w:color w:val="000000"/>
          <w:sz w:val="32"/>
          <w:szCs w:val="32"/>
        </w:rPr>
        <w:t xml:space="preserve"> </w:t>
      </w:r>
    </w:p>
    <w:p>
      <w:pPr>
        <w:ind w:firstLine="709"/>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仿宋"/>
          <w:color w:val="000000"/>
          <w:sz w:val="32"/>
          <w:szCs w:val="32"/>
        </w:rPr>
        <w:t>其他需要说明的问题。</w:t>
      </w:r>
      <w:r>
        <w:rPr>
          <w:rFonts w:hint="eastAsia" w:ascii="仿宋_GB2312" w:hAnsi="仿宋" w:eastAsia="仿宋_GB2312" w:cs="仿宋"/>
          <w:color w:val="000000"/>
          <w:sz w:val="32"/>
          <w:szCs w:val="32"/>
          <w:lang w:eastAsia="zh-CN"/>
        </w:rPr>
        <w:t>（无）</w:t>
      </w:r>
    </w:p>
    <w:p>
      <w:pPr>
        <w:ind w:firstLine="709"/>
        <w:rPr>
          <w:rFonts w:ascii="仿宋_GB2312" w:hAnsi="仿宋" w:eastAsia="仿宋_GB2312" w:cs="仿宋"/>
          <w:bCs/>
          <w:sz w:val="32"/>
          <w:szCs w:val="32"/>
        </w:rPr>
      </w:pPr>
      <w:r>
        <w:rPr>
          <w:rFonts w:hint="eastAsia" w:ascii="仿宋_GB2312" w:hAnsi="仿宋" w:eastAsia="仿宋_GB2312" w:cs="仿宋"/>
          <w:bCs/>
          <w:sz w:val="32"/>
          <w:szCs w:val="32"/>
        </w:rPr>
        <w:t xml:space="preserve"> </w:t>
      </w:r>
    </w:p>
    <w:p>
      <w:pPr>
        <w:ind w:firstLine="709"/>
        <w:rPr>
          <w:rFonts w:ascii="仿宋_GB2312" w:hAnsi="仿宋" w:eastAsia="仿宋_GB2312" w:cs="仿宋"/>
          <w:bCs/>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2</w:t>
    </w:r>
    <w:r>
      <w:rPr>
        <w:rFonts w:ascii="Arial" w:hAnsi="Arial" w:cs="Arial"/>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7C3"/>
    <w:rsid w:val="0007373E"/>
    <w:rsid w:val="000A1A07"/>
    <w:rsid w:val="001051AF"/>
    <w:rsid w:val="00133878"/>
    <w:rsid w:val="00180091"/>
    <w:rsid w:val="001932F3"/>
    <w:rsid w:val="001A527B"/>
    <w:rsid w:val="002C0140"/>
    <w:rsid w:val="002C4215"/>
    <w:rsid w:val="002C6963"/>
    <w:rsid w:val="003178C9"/>
    <w:rsid w:val="0035577D"/>
    <w:rsid w:val="003877C3"/>
    <w:rsid w:val="00391808"/>
    <w:rsid w:val="00392E0B"/>
    <w:rsid w:val="00522486"/>
    <w:rsid w:val="005502D5"/>
    <w:rsid w:val="00576055"/>
    <w:rsid w:val="00596D1C"/>
    <w:rsid w:val="005E21A7"/>
    <w:rsid w:val="00601750"/>
    <w:rsid w:val="006210EA"/>
    <w:rsid w:val="006231DE"/>
    <w:rsid w:val="0068308D"/>
    <w:rsid w:val="006B17A2"/>
    <w:rsid w:val="007329D4"/>
    <w:rsid w:val="00760F51"/>
    <w:rsid w:val="007C00B5"/>
    <w:rsid w:val="00822C60"/>
    <w:rsid w:val="00845BA2"/>
    <w:rsid w:val="008B4CF8"/>
    <w:rsid w:val="008D1A61"/>
    <w:rsid w:val="008E5B2B"/>
    <w:rsid w:val="009E41A0"/>
    <w:rsid w:val="009E77A1"/>
    <w:rsid w:val="009F16A1"/>
    <w:rsid w:val="00AA6628"/>
    <w:rsid w:val="00AF40A1"/>
    <w:rsid w:val="00B92FCF"/>
    <w:rsid w:val="00BB0B4D"/>
    <w:rsid w:val="00BD6CD3"/>
    <w:rsid w:val="00C00BB8"/>
    <w:rsid w:val="00C07167"/>
    <w:rsid w:val="00C53FFD"/>
    <w:rsid w:val="00C64C36"/>
    <w:rsid w:val="00CE6780"/>
    <w:rsid w:val="00D17763"/>
    <w:rsid w:val="00D6432C"/>
    <w:rsid w:val="00DA1F66"/>
    <w:rsid w:val="00DA4E30"/>
    <w:rsid w:val="00DE7359"/>
    <w:rsid w:val="00E1090A"/>
    <w:rsid w:val="00E329F1"/>
    <w:rsid w:val="00EB18AC"/>
    <w:rsid w:val="00EC59C8"/>
    <w:rsid w:val="00EE0CEF"/>
    <w:rsid w:val="00F036AB"/>
    <w:rsid w:val="00FC360F"/>
    <w:rsid w:val="00FE6666"/>
    <w:rsid w:val="0E5F15F8"/>
    <w:rsid w:val="0E8D72FF"/>
    <w:rsid w:val="11D51D34"/>
    <w:rsid w:val="12863EF6"/>
    <w:rsid w:val="17784E74"/>
    <w:rsid w:val="197D72D0"/>
    <w:rsid w:val="1A757130"/>
    <w:rsid w:val="1DC32584"/>
    <w:rsid w:val="224C2753"/>
    <w:rsid w:val="22657E82"/>
    <w:rsid w:val="24790FA9"/>
    <w:rsid w:val="24FE70ED"/>
    <w:rsid w:val="27152366"/>
    <w:rsid w:val="2C4227BF"/>
    <w:rsid w:val="30A047F9"/>
    <w:rsid w:val="34D963E2"/>
    <w:rsid w:val="35BD5D3A"/>
    <w:rsid w:val="38007442"/>
    <w:rsid w:val="38AA2D76"/>
    <w:rsid w:val="390D2C24"/>
    <w:rsid w:val="3AAE3851"/>
    <w:rsid w:val="42A33A00"/>
    <w:rsid w:val="45844C17"/>
    <w:rsid w:val="49201FD2"/>
    <w:rsid w:val="4BA312B6"/>
    <w:rsid w:val="4EE429A3"/>
    <w:rsid w:val="59A02E3A"/>
    <w:rsid w:val="5D521C1E"/>
    <w:rsid w:val="5FE378E6"/>
    <w:rsid w:val="608B239C"/>
    <w:rsid w:val="69E52D45"/>
    <w:rsid w:val="6D5A3AEB"/>
    <w:rsid w:val="713939FA"/>
    <w:rsid w:val="765724D8"/>
    <w:rsid w:val="790F65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rPr>
      <w:rFonts w:cs="Times New Roman"/>
      <w:sz w:val="18"/>
      <w:szCs w:val="18"/>
    </w:rPr>
  </w:style>
  <w:style w:type="paragraph" w:styleId="3">
    <w:name w:val="footer"/>
    <w:basedOn w:val="1"/>
    <w:link w:val="10"/>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6">
    <w:name w:val="FollowedHyperlink"/>
    <w:semiHidden/>
    <w:qFormat/>
    <w:uiPriority w:val="99"/>
    <w:rPr>
      <w:color w:val="800080"/>
      <w:u w:val="single"/>
    </w:rPr>
  </w:style>
  <w:style w:type="character" w:styleId="7">
    <w:name w:val="Hyperlink"/>
    <w:semiHidden/>
    <w:qFormat/>
    <w:uiPriority w:val="99"/>
    <w:rPr>
      <w:color w:val="0000FF"/>
      <w:u w:val="single"/>
    </w:rPr>
  </w:style>
  <w:style w:type="character" w:customStyle="1" w:styleId="9">
    <w:name w:val="页脚 Char"/>
    <w:basedOn w:val="5"/>
    <w:semiHidden/>
    <w:qFormat/>
    <w:uiPriority w:val="99"/>
    <w:rPr>
      <w:rFonts w:ascii="Calibri" w:hAnsi="Calibri" w:eastAsia="宋体" w:cs="Calibri"/>
      <w:sz w:val="18"/>
      <w:szCs w:val="18"/>
    </w:rPr>
  </w:style>
  <w:style w:type="character" w:customStyle="1" w:styleId="10">
    <w:name w:val="页脚 Char1"/>
    <w:link w:val="3"/>
    <w:qFormat/>
    <w:locked/>
    <w:uiPriority w:val="99"/>
    <w:rPr>
      <w:rFonts w:ascii="Times New Roman" w:hAnsi="Times New Roman" w:eastAsia="宋体" w:cs="Times New Roman"/>
      <w:kern w:val="0"/>
      <w:sz w:val="18"/>
      <w:szCs w:val="18"/>
    </w:rPr>
  </w:style>
  <w:style w:type="character" w:customStyle="1" w:styleId="11">
    <w:name w:val="页眉 Char"/>
    <w:basedOn w:val="5"/>
    <w:semiHidden/>
    <w:qFormat/>
    <w:uiPriority w:val="99"/>
    <w:rPr>
      <w:rFonts w:ascii="Calibri" w:hAnsi="Calibri" w:eastAsia="宋体" w:cs="Calibri"/>
      <w:sz w:val="18"/>
      <w:szCs w:val="18"/>
    </w:rPr>
  </w:style>
  <w:style w:type="character" w:customStyle="1" w:styleId="12">
    <w:name w:val="页眉 Char1"/>
    <w:link w:val="4"/>
    <w:qFormat/>
    <w:locked/>
    <w:uiPriority w:val="99"/>
    <w:rPr>
      <w:rFonts w:ascii="Times New Roman" w:hAnsi="Times New Roman" w:eastAsia="宋体" w:cs="Times New Roman"/>
      <w:kern w:val="0"/>
      <w:sz w:val="18"/>
      <w:szCs w:val="18"/>
    </w:rPr>
  </w:style>
  <w:style w:type="character" w:customStyle="1" w:styleId="13">
    <w:name w:val="apple-converted-space"/>
    <w:basedOn w:val="5"/>
    <w:qFormat/>
    <w:uiPriority w:val="99"/>
  </w:style>
  <w:style w:type="character" w:customStyle="1" w:styleId="14">
    <w:name w:val="批注框文本 Char"/>
    <w:basedOn w:val="5"/>
    <w:semiHidden/>
    <w:qFormat/>
    <w:uiPriority w:val="99"/>
    <w:rPr>
      <w:rFonts w:ascii="Calibri" w:hAnsi="Calibri" w:eastAsia="宋体" w:cs="Calibri"/>
      <w:sz w:val="18"/>
      <w:szCs w:val="18"/>
    </w:rPr>
  </w:style>
  <w:style w:type="character" w:customStyle="1" w:styleId="15">
    <w:name w:val="批注框文本 Char1"/>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413</Words>
  <Characters>2356</Characters>
  <Lines>19</Lines>
  <Paragraphs>5</Paragraphs>
  <TotalTime>14</TotalTime>
  <ScaleCrop>false</ScaleCrop>
  <LinksUpToDate>false</LinksUpToDate>
  <CharactersWithSpaces>2764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2020-01-15T03:16:00Z</dcterms:created>
  <dc:creator>闻吉</dc:creator>
  <cp:lastModifiedBy>Administrator</cp:lastModifiedBy>
  <dcterms:modified xsi:type="dcterms:W3CDTF">2022-01-26T09:21:50Z</dcterms:modified>
  <dc:title>2019年度部门决算报表填报说明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