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11"/>
        <w:keepNext w:val="0"/>
        <w:keepLines w:val="0"/>
        <w:pageBreakBefore w:val="0"/>
        <w:widowControl w:val="0"/>
        <w:tabs>
          <w:tab w:val="right" w:leader="dot" w:pos="8296"/>
        </w:tabs>
        <w:kinsoku/>
        <w:wordWrap/>
        <w:overflowPunct/>
        <w:topLinePunct w:val="0"/>
        <w:autoSpaceDE/>
        <w:autoSpaceDN/>
        <w:bidi w:val="0"/>
        <w:adjustRightInd/>
        <w:snapToGrid/>
        <w:spacing w:before="0" w:after="0" w:line="700" w:lineRule="exact"/>
        <w:ind w:firstLine="0" w:firstLineChars="0"/>
        <w:jc w:val="center"/>
        <w:textAlignment w:val="auto"/>
        <w:rPr>
          <w:rFonts w:hint="eastAsia" w:ascii="方正小标宋简体" w:hAnsi="方正小标宋简体" w:eastAsia="方正小标宋简体" w:cs="方正小标宋简体"/>
          <w:b w:val="0"/>
          <w:bCs/>
          <w:color w:val="000000" w:themeColor="text1"/>
          <w:sz w:val="44"/>
          <w:szCs w:val="44"/>
          <w:lang w:eastAsia="zh-CN"/>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44"/>
          <w:szCs w:val="44"/>
          <w:lang w:eastAsia="zh-CN"/>
          <w14:textFill>
            <w14:solidFill>
              <w14:schemeClr w14:val="tx1"/>
            </w14:solidFill>
          </w14:textFill>
        </w:rPr>
        <w:t>韶关市浈江区2024年度土地征收成片开发方案（第二批）</w:t>
      </w:r>
    </w:p>
    <w:p>
      <w:pPr>
        <w:pStyle w:val="11"/>
        <w:keepNext w:val="0"/>
        <w:keepLines w:val="0"/>
        <w:pageBreakBefore w:val="0"/>
        <w:widowControl w:val="0"/>
        <w:tabs>
          <w:tab w:val="right" w:leader="dot" w:pos="8296"/>
        </w:tabs>
        <w:kinsoku/>
        <w:wordWrap/>
        <w:overflowPunct/>
        <w:topLinePunct w:val="0"/>
        <w:autoSpaceDE/>
        <w:autoSpaceDN/>
        <w:bidi w:val="0"/>
        <w:adjustRightInd/>
        <w:snapToGrid/>
        <w:spacing w:before="0" w:after="0" w:line="700" w:lineRule="exact"/>
        <w:ind w:firstLine="0" w:firstLineChars="0"/>
        <w:jc w:val="center"/>
        <w:textAlignment w:val="auto"/>
        <w:rPr>
          <w:rFonts w:hint="eastAsia" w:ascii="楷体" w:hAnsi="楷体" w:eastAsia="楷体" w:cs="楷体"/>
          <w:b w:val="0"/>
          <w:bCs/>
          <w:color w:val="000000" w:themeColor="text1"/>
          <w:sz w:val="32"/>
          <w:szCs w:val="32"/>
          <w:lang w:eastAsia="zh-CN"/>
          <w14:textFill>
            <w14:solidFill>
              <w14:schemeClr w14:val="tx1"/>
            </w14:solidFill>
          </w14:textFill>
        </w:rPr>
      </w:pPr>
      <w:r>
        <w:rPr>
          <w:rFonts w:hint="eastAsia" w:ascii="楷体" w:hAnsi="楷体" w:eastAsia="楷体" w:cs="楷体"/>
          <w:b w:val="0"/>
          <w:bCs/>
          <w:color w:val="000000" w:themeColor="text1"/>
          <w:sz w:val="32"/>
          <w:szCs w:val="32"/>
          <w:lang w:eastAsia="zh-CN"/>
          <w14:textFill>
            <w14:solidFill>
              <w14:schemeClr w14:val="tx1"/>
            </w14:solidFill>
          </w14:textFill>
        </w:rPr>
        <w:t>（征求意见稿）</w:t>
      </w:r>
    </w:p>
    <w:p>
      <w:pPr>
        <w:spacing w:before="0" w:after="0"/>
        <w:rPr>
          <w:rFonts w:hint="default"/>
          <w:color w:val="000000" w:themeColor="text1"/>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0" w:after="0" w:line="360" w:lineRule="auto"/>
        <w:ind w:firstLine="560"/>
        <w:jc w:val="both"/>
        <w:textAlignment w:val="auto"/>
        <w:rPr>
          <w:rFonts w:hint="default" w:ascii="Times New Roman" w:hAnsi="Times New Roman" w:eastAsia="仿宋_GB2312" w:cs="Times New Roman"/>
          <w:color w:val="000000" w:themeColor="text1"/>
          <w:highlight w:val="none"/>
          <w14:textFill>
            <w14:solidFill>
              <w14:schemeClr w14:val="tx1"/>
            </w14:solidFill>
          </w14:textFill>
        </w:rPr>
      </w:pPr>
      <w:bookmarkStart w:id="0" w:name="_Toc79948067"/>
      <w:r>
        <w:rPr>
          <w:rFonts w:hint="default" w:ascii="Times New Roman" w:hAnsi="Times New Roman" w:eastAsia="仿宋_GB2312" w:cs="Times New Roman"/>
          <w:color w:val="000000" w:themeColor="text1"/>
          <w:highlight w:val="none"/>
          <w14:textFill>
            <w14:solidFill>
              <w14:schemeClr w14:val="tx1"/>
            </w14:solidFill>
          </w14:textFill>
        </w:rPr>
        <w:t>按照《中华人民共和国土地管理法》《土地征收成片开发标准》（自然资规〔2023〕7号）</w:t>
      </w:r>
      <w:r>
        <w:rPr>
          <w:rFonts w:hint="eastAsia" w:eastAsia="仿宋_GB2312" w:cs="Times New Roman"/>
          <w:color w:val="000000" w:themeColor="text1"/>
          <w:highlight w:val="none"/>
          <w:lang w:eastAsia="zh-CN"/>
          <w14:textFill>
            <w14:solidFill>
              <w14:schemeClr w14:val="tx1"/>
            </w14:solidFill>
          </w14:textFill>
        </w:rPr>
        <w:t>、</w:t>
      </w:r>
      <w:r>
        <w:rPr>
          <w:rFonts w:hint="default" w:ascii="Times New Roman" w:hAnsi="Times New Roman" w:eastAsia="仿宋_GB2312" w:cs="Times New Roman"/>
          <w:color w:val="000000" w:themeColor="text1"/>
          <w:highlight w:val="none"/>
          <w14:textFill>
            <w14:solidFill>
              <w14:schemeClr w14:val="tx1"/>
            </w14:solidFill>
          </w14:textFill>
        </w:rPr>
        <w:t>《广东省自然资源厅关于明确市县级国土空间总体规划数据库启用条件及使用规则的通知》（粤自然资函〔2023〕630号）等法律法规的相关规定，依据《韶关市</w:t>
      </w:r>
      <w:r>
        <w:rPr>
          <w:rFonts w:hint="eastAsia" w:eastAsia="仿宋_GB2312" w:cs="Times New Roman"/>
          <w:color w:val="000000" w:themeColor="text1"/>
          <w:highlight w:val="none"/>
          <w:lang w:eastAsia="zh-CN"/>
          <w14:textFill>
            <w14:solidFill>
              <w14:schemeClr w14:val="tx1"/>
            </w14:solidFill>
          </w14:textFill>
        </w:rPr>
        <w:t>浈江区</w:t>
      </w:r>
      <w:r>
        <w:rPr>
          <w:rFonts w:hint="default" w:ascii="Times New Roman" w:hAnsi="Times New Roman" w:eastAsia="仿宋_GB2312" w:cs="Times New Roman"/>
          <w:color w:val="000000" w:themeColor="text1"/>
          <w:highlight w:val="none"/>
          <w14:textFill>
            <w14:solidFill>
              <w14:schemeClr w14:val="tx1"/>
            </w14:solidFill>
          </w14:textFill>
        </w:rPr>
        <w:t>国民经济和社会发展规划》《韶关市国土空间规划》</w:t>
      </w:r>
      <w:r>
        <w:rPr>
          <w:rFonts w:hint="eastAsia" w:eastAsia="仿宋_GB2312" w:cs="Times New Roman"/>
          <w:color w:val="000000" w:themeColor="text1"/>
          <w:highlight w:val="none"/>
          <w:lang w:eastAsia="zh-CN"/>
          <w14:textFill>
            <w14:solidFill>
              <w14:schemeClr w14:val="tx1"/>
            </w14:solidFill>
          </w14:textFill>
        </w:rPr>
        <w:t>，</w:t>
      </w:r>
      <w:r>
        <w:rPr>
          <w:rFonts w:hint="default" w:ascii="Times New Roman" w:hAnsi="Times New Roman" w:eastAsia="仿宋_GB2312" w:cs="Times New Roman"/>
          <w:color w:val="000000" w:themeColor="text1"/>
          <w:highlight w:val="none"/>
          <w14:textFill>
            <w14:solidFill>
              <w14:schemeClr w14:val="tx1"/>
            </w14:solidFill>
          </w14:textFill>
        </w:rPr>
        <w:t>韶关市</w:t>
      </w:r>
      <w:r>
        <w:rPr>
          <w:rFonts w:hint="eastAsia" w:eastAsia="仿宋_GB2312" w:cs="Times New Roman"/>
          <w:color w:val="000000" w:themeColor="text1"/>
          <w:highlight w:val="none"/>
          <w:lang w:eastAsia="zh-CN"/>
          <w14:textFill>
            <w14:solidFill>
              <w14:schemeClr w14:val="tx1"/>
            </w14:solidFill>
          </w14:textFill>
        </w:rPr>
        <w:t>浈江区</w:t>
      </w:r>
      <w:r>
        <w:rPr>
          <w:rFonts w:hint="default" w:ascii="Times New Roman" w:hAnsi="Times New Roman" w:eastAsia="仿宋_GB2312" w:cs="Times New Roman"/>
          <w:color w:val="000000" w:themeColor="text1"/>
          <w:highlight w:val="none"/>
          <w14:textFill>
            <w14:solidFill>
              <w14:schemeClr w14:val="tx1"/>
            </w14:solidFill>
          </w14:textFill>
        </w:rPr>
        <w:t>人民政府组织编制了《韶关市</w:t>
      </w:r>
      <w:r>
        <w:rPr>
          <w:rFonts w:hint="eastAsia" w:eastAsia="仿宋_GB2312" w:cs="Times New Roman"/>
          <w:color w:val="000000" w:themeColor="text1"/>
          <w:highlight w:val="none"/>
          <w:lang w:eastAsia="zh-CN"/>
          <w14:textFill>
            <w14:solidFill>
              <w14:schemeClr w14:val="tx1"/>
            </w14:solidFill>
          </w14:textFill>
        </w:rPr>
        <w:t>浈江区</w:t>
      </w:r>
      <w:r>
        <w:rPr>
          <w:rFonts w:hint="default" w:ascii="Times New Roman" w:hAnsi="Times New Roman" w:eastAsia="仿宋_GB2312" w:cs="Times New Roman"/>
          <w:color w:val="000000" w:themeColor="text1"/>
          <w:highlight w:val="none"/>
          <w14:textFill>
            <w14:solidFill>
              <w14:schemeClr w14:val="tx1"/>
            </w14:solidFill>
          </w14:textFill>
        </w:rPr>
        <w:t>2024年度土地征收成片开发方案（</w:t>
      </w:r>
      <w:r>
        <w:rPr>
          <w:rFonts w:hint="eastAsia" w:eastAsia="仿宋_GB2312" w:cs="Times New Roman"/>
          <w:color w:val="000000" w:themeColor="text1"/>
          <w:highlight w:val="none"/>
          <w:lang w:eastAsia="zh-CN"/>
          <w14:textFill>
            <w14:solidFill>
              <w14:schemeClr w14:val="tx1"/>
            </w14:solidFill>
          </w14:textFill>
        </w:rPr>
        <w:t>第二批</w:t>
      </w:r>
      <w:r>
        <w:rPr>
          <w:rFonts w:hint="default" w:ascii="Times New Roman" w:hAnsi="Times New Roman" w:eastAsia="仿宋_GB2312" w:cs="Times New Roman"/>
          <w:color w:val="000000" w:themeColor="text1"/>
          <w:highlight w:val="none"/>
          <w14:textFill>
            <w14:solidFill>
              <w14:schemeClr w14:val="tx1"/>
            </w14:solidFill>
          </w14:textFill>
        </w:rPr>
        <w:t>）（以下简称《方案》）。《方案》内容如下：</w:t>
      </w:r>
    </w:p>
    <w:p>
      <w:pPr>
        <w:pStyle w:val="3"/>
        <w:pageBreakBefore w:val="0"/>
        <w:kinsoku/>
        <w:wordWrap/>
        <w:overflowPunct/>
        <w:topLinePunct w:val="0"/>
        <w:autoSpaceDE/>
        <w:autoSpaceDN/>
        <w:bidi w:val="0"/>
        <w:adjustRightInd/>
        <w:snapToGrid/>
        <w:spacing w:line="360" w:lineRule="auto"/>
        <w:ind w:left="0" w:firstLine="723" w:firstLineChars="200"/>
        <w:textAlignment w:val="auto"/>
        <w:rPr>
          <w:rFonts w:hint="default" w:ascii="Times New Roman" w:hAnsi="Times New Roman" w:eastAsia="仿宋_GB2312" w:cs="Times New Roman"/>
          <w:color w:val="000000" w:themeColor="text1"/>
          <w:sz w:val="36"/>
          <w:szCs w:val="36"/>
          <w:lang w:eastAsia="zh-CN"/>
          <w14:textFill>
            <w14:solidFill>
              <w14:schemeClr w14:val="tx1"/>
            </w14:solidFill>
          </w14:textFill>
        </w:rPr>
      </w:pPr>
      <w:bookmarkStart w:id="45" w:name="_GoBack"/>
      <w:bookmarkEnd w:id="45"/>
      <w:bookmarkStart w:id="1" w:name="_Toc19256"/>
      <w:bookmarkStart w:id="2" w:name="_Toc17347"/>
      <w:r>
        <w:rPr>
          <w:rFonts w:hint="eastAsia" w:eastAsia="仿宋_GB2312" w:cs="Times New Roman"/>
          <w:color w:val="000000" w:themeColor="text1"/>
          <w:sz w:val="36"/>
          <w:szCs w:val="36"/>
          <w:lang w:eastAsia="zh-CN"/>
          <w14:textFill>
            <w14:solidFill>
              <w14:schemeClr w14:val="tx1"/>
            </w14:solidFill>
          </w14:textFill>
        </w:rPr>
        <w:t>一</w:t>
      </w:r>
      <w:r>
        <w:rPr>
          <w:rFonts w:hint="default" w:ascii="Times New Roman" w:hAnsi="Times New Roman" w:eastAsia="仿宋_GB2312" w:cs="Times New Roman"/>
          <w:color w:val="000000" w:themeColor="text1"/>
          <w:sz w:val="36"/>
          <w:szCs w:val="36"/>
          <w14:textFill>
            <w14:solidFill>
              <w14:schemeClr w14:val="tx1"/>
            </w14:solidFill>
          </w14:textFill>
        </w:rPr>
        <w:t>、</w:t>
      </w:r>
      <w:bookmarkEnd w:id="0"/>
      <w:bookmarkEnd w:id="1"/>
      <w:bookmarkEnd w:id="2"/>
      <w:r>
        <w:rPr>
          <w:rFonts w:hint="default" w:ascii="Times New Roman" w:hAnsi="Times New Roman" w:eastAsia="仿宋_GB2312" w:cs="Times New Roman"/>
          <w:color w:val="000000" w:themeColor="text1"/>
          <w:sz w:val="36"/>
          <w:szCs w:val="36"/>
          <w:lang w:eastAsia="zh-CN"/>
          <w14:textFill>
            <w14:solidFill>
              <w14:schemeClr w14:val="tx1"/>
            </w14:solidFill>
          </w14:textFill>
        </w:rPr>
        <w:t>基本情况</w:t>
      </w:r>
    </w:p>
    <w:p>
      <w:pPr>
        <w:keepNext w:val="0"/>
        <w:keepLines w:val="0"/>
        <w:pageBreakBefore w:val="0"/>
        <w:widowControl w:val="0"/>
        <w:kinsoku/>
        <w:wordWrap/>
        <w:overflowPunct/>
        <w:topLinePunct w:val="0"/>
        <w:autoSpaceDE/>
        <w:autoSpaceDN/>
        <w:bidi w:val="0"/>
        <w:adjustRightInd/>
        <w:snapToGrid/>
        <w:spacing w:before="0" w:after="0"/>
        <w:ind w:left="0" w:leftChars="0" w:right="0" w:firstLine="560"/>
        <w:jc w:val="both"/>
        <w:textAlignment w:val="auto"/>
        <w:rPr>
          <w:rFonts w:hint="eastAsia" w:ascii="仿宋" w:hAnsi="仿宋" w:eastAsia="仿宋_GB2312" w:cs="仿宋"/>
          <w:color w:val="000000" w:themeColor="text1"/>
          <w:lang w:val="en-US" w:eastAsia="zh-CN"/>
          <w14:textFill>
            <w14:solidFill>
              <w14:schemeClr w14:val="tx1"/>
            </w14:solidFill>
          </w14:textFill>
        </w:rPr>
      </w:pPr>
      <w:bookmarkStart w:id="3" w:name="_Toc2017"/>
      <w:bookmarkStart w:id="4" w:name="_Toc5728"/>
      <w:r>
        <w:rPr>
          <w:rFonts w:hint="default" w:ascii="Times New Roman" w:hAnsi="Times New Roman" w:eastAsia="仿宋_GB2312" w:cs="Times New Roman"/>
          <w:color w:val="000000" w:themeColor="text1"/>
          <w:lang w:val="en-US" w:eastAsia="zh-CN"/>
          <w14:textFill>
            <w14:solidFill>
              <w14:schemeClr w14:val="tx1"/>
            </w14:solidFill>
          </w14:textFill>
        </w:rPr>
        <w:t>本次上报的《方案》总面积</w:t>
      </w:r>
      <w:r>
        <w:rPr>
          <w:rFonts w:hint="eastAsia" w:eastAsia="仿宋_GB2312" w:cs="Times New Roman"/>
          <w:color w:val="000000" w:themeColor="text1"/>
          <w:lang w:val="en-US" w:eastAsia="zh-CN"/>
          <w14:textFill>
            <w14:solidFill>
              <w14:schemeClr w14:val="tx1"/>
            </w14:solidFill>
          </w14:textFill>
        </w:rPr>
        <w:t>179.0975</w:t>
      </w:r>
      <w:r>
        <w:rPr>
          <w:rFonts w:hint="default" w:ascii="Times New Roman" w:hAnsi="Times New Roman" w:eastAsia="仿宋_GB2312" w:cs="Times New Roman"/>
          <w:color w:val="000000" w:themeColor="text1"/>
          <w:lang w:val="en-US" w:eastAsia="zh-CN"/>
          <w14:textFill>
            <w14:solidFill>
              <w14:schemeClr w14:val="tx1"/>
            </w14:solidFill>
          </w14:textFill>
        </w:rPr>
        <w:t>公顷，其中国有土地</w:t>
      </w:r>
      <w:r>
        <w:rPr>
          <w:rFonts w:hint="eastAsia" w:eastAsia="仿宋_GB2312" w:cs="Times New Roman"/>
          <w:color w:val="000000" w:themeColor="text1"/>
          <w:lang w:val="en-US" w:eastAsia="zh-CN"/>
          <w14:textFill>
            <w14:solidFill>
              <w14:schemeClr w14:val="tx1"/>
            </w14:solidFill>
          </w14:textFill>
        </w:rPr>
        <w:t>93.0219</w:t>
      </w:r>
      <w:r>
        <w:rPr>
          <w:rFonts w:hint="default" w:ascii="Times New Roman" w:hAnsi="Times New Roman" w:eastAsia="仿宋_GB2312" w:cs="Times New Roman"/>
          <w:color w:val="000000" w:themeColor="text1"/>
          <w:lang w:val="en-US" w:eastAsia="zh-CN"/>
          <w14:textFill>
            <w14:solidFill>
              <w14:schemeClr w14:val="tx1"/>
            </w14:solidFill>
          </w14:textFill>
        </w:rPr>
        <w:t>公顷，集体土地</w:t>
      </w:r>
      <w:r>
        <w:rPr>
          <w:rFonts w:hint="eastAsia" w:eastAsia="仿宋_GB2312" w:cs="Times New Roman"/>
          <w:color w:val="000000" w:themeColor="text1"/>
          <w:lang w:val="en-US" w:eastAsia="zh-CN"/>
          <w14:textFill>
            <w14:solidFill>
              <w14:schemeClr w14:val="tx1"/>
            </w14:solidFill>
          </w14:textFill>
        </w:rPr>
        <w:t>86.0756</w:t>
      </w:r>
      <w:r>
        <w:rPr>
          <w:rFonts w:hint="default" w:ascii="Times New Roman" w:hAnsi="Times New Roman" w:eastAsia="仿宋_GB2312" w:cs="Times New Roman"/>
          <w:color w:val="000000" w:themeColor="text1"/>
          <w:lang w:val="en-US" w:eastAsia="zh-CN"/>
          <w14:textFill>
            <w14:solidFill>
              <w14:schemeClr w14:val="tx1"/>
            </w14:solidFill>
          </w14:textFill>
        </w:rPr>
        <w:t>公顷，涉及犁市镇五四村、犁市镇石下村、犁市镇犁市村、犁市镇黄沙村、花坪镇长地头村、新韶镇石山村、新韶镇莲花村、新韶镇府管村、新韶镇东联村等3个镇9个行政村，土地产权明晰，界址清楚。</w:t>
      </w:r>
    </w:p>
    <w:p>
      <w:pPr>
        <w:keepNext w:val="0"/>
        <w:keepLines w:val="0"/>
        <w:pageBreakBefore w:val="0"/>
        <w:widowControl w:val="0"/>
        <w:kinsoku/>
        <w:wordWrap/>
        <w:overflowPunct/>
        <w:topLinePunct w:val="0"/>
        <w:autoSpaceDE/>
        <w:autoSpaceDN/>
        <w:bidi w:val="0"/>
        <w:adjustRightInd/>
        <w:snapToGrid/>
        <w:spacing w:before="0" w:after="0"/>
        <w:ind w:left="0" w:leftChars="0" w:right="0" w:firstLine="560"/>
        <w:jc w:val="both"/>
        <w:textAlignment w:val="auto"/>
        <w:rPr>
          <w:rFonts w:hint="default" w:ascii="仿宋" w:hAnsi="仿宋" w:eastAsia="仿宋_GB2312" w:cs="仿宋"/>
          <w:color w:val="000000" w:themeColor="text1"/>
          <w:lang w:val="en-US" w:eastAsia="zh-CN"/>
          <w14:textFill>
            <w14:solidFill>
              <w14:schemeClr w14:val="tx1"/>
            </w14:solidFill>
          </w14:textFill>
        </w:rPr>
      </w:pPr>
      <w:r>
        <w:rPr>
          <w:rFonts w:hint="default" w:ascii="仿宋" w:hAnsi="仿宋" w:eastAsia="仿宋_GB2312" w:cs="仿宋"/>
          <w:color w:val="000000" w:themeColor="text1"/>
          <w:lang w:val="en-US" w:eastAsia="zh-CN"/>
          <w14:textFill>
            <w14:solidFill>
              <w14:schemeClr w14:val="tx1"/>
            </w14:solidFill>
          </w14:textFill>
        </w:rPr>
        <w:t>《方案》拟申请征收土地</w:t>
      </w:r>
      <w:r>
        <w:rPr>
          <w:rFonts w:hint="eastAsia" w:eastAsia="仿宋_GB2312" w:cs="Times New Roman"/>
          <w:color w:val="000000" w:themeColor="text1"/>
          <w:lang w:val="en-US" w:eastAsia="zh-CN"/>
          <w14:textFill>
            <w14:solidFill>
              <w14:schemeClr w14:val="tx1"/>
            </w14:solidFill>
          </w14:textFill>
        </w:rPr>
        <w:t>107.6294</w:t>
      </w:r>
      <w:r>
        <w:rPr>
          <w:rFonts w:hint="default" w:eastAsia="仿宋_GB2312" w:cs="Times New Roman"/>
          <w:color w:val="000000" w:themeColor="text1"/>
          <w:lang w:val="en-US" w:eastAsia="zh-CN"/>
          <w14:textFill>
            <w14:solidFill>
              <w14:schemeClr w14:val="tx1"/>
            </w14:solidFill>
          </w14:textFill>
        </w:rPr>
        <w:t>公</w:t>
      </w:r>
      <w:r>
        <w:rPr>
          <w:rFonts w:hint="default" w:ascii="仿宋" w:hAnsi="仿宋" w:eastAsia="仿宋_GB2312" w:cs="仿宋"/>
          <w:color w:val="000000" w:themeColor="text1"/>
          <w:lang w:val="en-US" w:eastAsia="zh-CN"/>
          <w14:textFill>
            <w14:solidFill>
              <w14:schemeClr w14:val="tx1"/>
            </w14:solidFill>
          </w14:textFill>
        </w:rPr>
        <w:t>顷。其中农用地</w:t>
      </w:r>
      <w:r>
        <w:rPr>
          <w:rFonts w:hint="eastAsia" w:eastAsia="仿宋_GB2312" w:cs="Times New Roman"/>
          <w:color w:val="000000" w:themeColor="text1"/>
          <w:lang w:val="en-US" w:eastAsia="zh-CN"/>
          <w14:textFill>
            <w14:solidFill>
              <w14:schemeClr w14:val="tx1"/>
            </w14:solidFill>
          </w14:textFill>
        </w:rPr>
        <w:t>99.1329</w:t>
      </w:r>
      <w:r>
        <w:rPr>
          <w:rFonts w:hint="default" w:ascii="仿宋" w:hAnsi="仿宋" w:eastAsia="仿宋_GB2312" w:cs="仿宋"/>
          <w:color w:val="000000" w:themeColor="text1"/>
          <w:lang w:val="en-US" w:eastAsia="zh-CN"/>
          <w14:textFill>
            <w14:solidFill>
              <w14:schemeClr w14:val="tx1"/>
            </w14:solidFill>
          </w14:textFill>
        </w:rPr>
        <w:t>公顷（含耕地</w:t>
      </w:r>
      <w:r>
        <w:rPr>
          <w:rFonts w:hint="eastAsia" w:eastAsia="仿宋_GB2312" w:cs="Times New Roman"/>
          <w:color w:val="000000" w:themeColor="text1"/>
          <w:lang w:val="en-US" w:eastAsia="zh-CN"/>
          <w14:textFill>
            <w14:solidFill>
              <w14:schemeClr w14:val="tx1"/>
            </w14:solidFill>
          </w14:textFill>
        </w:rPr>
        <w:t>3.4562</w:t>
      </w:r>
      <w:r>
        <w:rPr>
          <w:rFonts w:hint="default" w:ascii="仿宋" w:hAnsi="仿宋" w:eastAsia="仿宋_GB2312" w:cs="仿宋"/>
          <w:color w:val="000000" w:themeColor="text1"/>
          <w:lang w:val="en-US" w:eastAsia="zh-CN"/>
          <w14:textFill>
            <w14:solidFill>
              <w14:schemeClr w14:val="tx1"/>
            </w14:solidFill>
          </w14:textFill>
        </w:rPr>
        <w:t>公顷），建设用地</w:t>
      </w:r>
      <w:r>
        <w:rPr>
          <w:rFonts w:hint="default" w:ascii="Times New Roman" w:hAnsi="Times New Roman" w:eastAsia="仿宋_GB2312" w:cs="Times New Roman"/>
          <w:color w:val="000000" w:themeColor="text1"/>
          <w:lang w:val="en-US" w:eastAsia="zh-CN"/>
          <w14:textFill>
            <w14:solidFill>
              <w14:schemeClr w14:val="tx1"/>
            </w14:solidFill>
          </w14:textFill>
        </w:rPr>
        <w:t>8.4965</w:t>
      </w:r>
      <w:r>
        <w:rPr>
          <w:rFonts w:hint="default" w:ascii="仿宋" w:hAnsi="仿宋" w:eastAsia="仿宋_GB2312" w:cs="仿宋"/>
          <w:color w:val="000000" w:themeColor="text1"/>
          <w:lang w:val="en-US" w:eastAsia="zh-CN"/>
          <w14:textFill>
            <w14:solidFill>
              <w14:schemeClr w14:val="tx1"/>
            </w14:solidFill>
          </w14:textFill>
        </w:rPr>
        <w:t>公顷。</w:t>
      </w:r>
    </w:p>
    <w:p>
      <w:pPr>
        <w:keepNext w:val="0"/>
        <w:keepLines w:val="0"/>
        <w:pageBreakBefore w:val="0"/>
        <w:widowControl w:val="0"/>
        <w:kinsoku/>
        <w:wordWrap/>
        <w:overflowPunct/>
        <w:topLinePunct w:val="0"/>
        <w:autoSpaceDE/>
        <w:autoSpaceDN/>
        <w:bidi w:val="0"/>
        <w:adjustRightInd/>
        <w:snapToGrid/>
        <w:spacing w:before="0" w:after="0"/>
        <w:ind w:left="0" w:leftChars="0" w:right="0" w:firstLine="560"/>
        <w:jc w:val="both"/>
        <w:textAlignment w:val="auto"/>
        <w:rPr>
          <w:rFonts w:hint="eastAsia" w:ascii="仿宋" w:hAnsi="仿宋" w:eastAsia="仿宋_GB2312" w:cs="仿宋"/>
          <w:color w:val="000000" w:themeColor="text1"/>
          <w:lang w:val="en-US" w:eastAsia="zh-CN"/>
          <w14:textFill>
            <w14:solidFill>
              <w14:schemeClr w14:val="tx1"/>
            </w14:solidFill>
          </w14:textFill>
        </w:rPr>
      </w:pPr>
      <w:r>
        <w:rPr>
          <w:rFonts w:hint="eastAsia" w:eastAsia="仿宋_GB2312" w:cs="Times New Roman"/>
          <w:color w:val="000000" w:themeColor="text1"/>
          <w:lang w:eastAsia="zh-CN"/>
          <w14:textFill>
            <w14:solidFill>
              <w14:schemeClr w14:val="tx1"/>
            </w14:solidFill>
          </w14:textFill>
        </w:rPr>
        <w:t>《方案》</w:t>
      </w:r>
      <w:r>
        <w:rPr>
          <w:rFonts w:hint="default" w:ascii="Times New Roman" w:hAnsi="Times New Roman" w:eastAsia="仿宋_GB2312" w:cs="Times New Roman"/>
          <w:color w:val="000000" w:themeColor="text1"/>
          <w:lang w:val="en-US" w:eastAsia="zh-CN"/>
          <w14:textFill>
            <w14:solidFill>
              <w14:schemeClr w14:val="tx1"/>
            </w14:solidFill>
          </w14:textFill>
        </w:rPr>
        <w:t>共包含</w:t>
      </w:r>
      <w:r>
        <w:rPr>
          <w:rFonts w:hint="eastAsia" w:eastAsia="仿宋_GB2312" w:cs="Times New Roman"/>
          <w:color w:val="000000" w:themeColor="text1"/>
          <w:lang w:val="en-US" w:eastAsia="zh-CN"/>
          <w14:textFill>
            <w14:solidFill>
              <w14:schemeClr w14:val="tx1"/>
            </w14:solidFill>
          </w14:textFill>
        </w:rPr>
        <w:t>6</w:t>
      </w:r>
      <w:r>
        <w:rPr>
          <w:rFonts w:hint="default" w:ascii="Times New Roman" w:hAnsi="Times New Roman" w:eastAsia="仿宋_GB2312" w:cs="Times New Roman"/>
          <w:color w:val="000000" w:themeColor="text1"/>
          <w:lang w:val="en-US" w:eastAsia="zh-CN"/>
          <w14:textFill>
            <w14:solidFill>
              <w14:schemeClr w14:val="tx1"/>
            </w14:solidFill>
          </w14:textFill>
        </w:rPr>
        <w:t>个片区，</w:t>
      </w:r>
      <w:r>
        <w:rPr>
          <w:rFonts w:hint="eastAsia" w:eastAsia="仿宋_GB2312" w:cs="Times New Roman"/>
          <w:color w:val="000000" w:themeColor="text1"/>
          <w:lang w:val="en-US" w:eastAsia="zh-CN"/>
          <w14:textFill>
            <w14:solidFill>
              <w14:schemeClr w14:val="tx1"/>
            </w14:solidFill>
          </w14:textFill>
        </w:rPr>
        <w:t>9</w:t>
      </w:r>
      <w:r>
        <w:rPr>
          <w:rFonts w:hint="default" w:ascii="Times New Roman" w:hAnsi="Times New Roman" w:eastAsia="仿宋_GB2312" w:cs="Times New Roman"/>
          <w:color w:val="000000" w:themeColor="text1"/>
          <w:lang w:val="en-US" w:eastAsia="zh-CN"/>
          <w14:textFill>
            <w14:solidFill>
              <w14:schemeClr w14:val="tx1"/>
            </w14:solidFill>
          </w14:textFill>
        </w:rPr>
        <w:t>个拟征地项目，成片范围总面积</w:t>
      </w:r>
      <w:r>
        <w:rPr>
          <w:rFonts w:hint="eastAsia" w:eastAsia="仿宋_GB2312" w:cs="Times New Roman"/>
          <w:color w:val="000000" w:themeColor="text1"/>
          <w:lang w:val="en-US" w:eastAsia="zh-CN"/>
          <w14:textFill>
            <w14:solidFill>
              <w14:schemeClr w14:val="tx1"/>
            </w14:solidFill>
          </w14:textFill>
        </w:rPr>
        <w:t>179.0975</w:t>
      </w:r>
      <w:r>
        <w:rPr>
          <w:rFonts w:hint="default" w:ascii="Times New Roman" w:hAnsi="Times New Roman" w:eastAsia="仿宋_GB2312" w:cs="Times New Roman"/>
          <w:color w:val="000000" w:themeColor="text1"/>
          <w:lang w:val="en-US" w:eastAsia="zh-CN"/>
          <w14:textFill>
            <w14:solidFill>
              <w14:schemeClr w14:val="tx1"/>
            </w14:solidFill>
          </w14:textFill>
        </w:rPr>
        <w:t>公顷，拟征收面积</w:t>
      </w:r>
      <w:r>
        <w:rPr>
          <w:rFonts w:hint="eastAsia" w:eastAsia="仿宋_GB2312" w:cs="Times New Roman"/>
          <w:color w:val="000000" w:themeColor="text1"/>
          <w:lang w:val="en-US" w:eastAsia="zh-CN"/>
          <w14:textFill>
            <w14:solidFill>
              <w14:schemeClr w14:val="tx1"/>
            </w14:solidFill>
          </w14:textFill>
        </w:rPr>
        <w:t>107.6294</w:t>
      </w:r>
      <w:r>
        <w:rPr>
          <w:rFonts w:hint="default" w:ascii="Times New Roman" w:hAnsi="Times New Roman" w:eastAsia="仿宋_GB2312" w:cs="Times New Roman"/>
          <w:color w:val="000000" w:themeColor="text1"/>
          <w:lang w:val="en-US" w:eastAsia="zh-CN"/>
          <w14:textFill>
            <w14:solidFill>
              <w14:schemeClr w14:val="tx1"/>
            </w14:solidFill>
          </w14:textFill>
        </w:rPr>
        <w:t>公顷，占比</w:t>
      </w:r>
      <w:r>
        <w:rPr>
          <w:rFonts w:hint="eastAsia" w:eastAsia="仿宋_GB2312" w:cs="Times New Roman"/>
          <w:color w:val="000000" w:themeColor="text1"/>
          <w:lang w:val="en-US" w:eastAsia="zh-CN"/>
          <w14:textFill>
            <w14:solidFill>
              <w14:schemeClr w14:val="tx1"/>
            </w14:solidFill>
          </w14:textFill>
        </w:rPr>
        <w:t>60.10%</w:t>
      </w:r>
      <w:r>
        <w:rPr>
          <w:rFonts w:hint="default" w:ascii="Times New Roman" w:hAnsi="Times New Roman" w:eastAsia="仿宋_GB2312" w:cs="Times New Roman"/>
          <w:color w:val="000000" w:themeColor="text1"/>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0" w:after="0" w:line="360" w:lineRule="auto"/>
        <w:ind w:right="278" w:firstLine="0" w:firstLineChars="0"/>
        <w:jc w:val="center"/>
        <w:textAlignment w:val="auto"/>
        <w:rPr>
          <w:rFonts w:hint="eastAsia"/>
          <w:b/>
          <w:sz w:val="24"/>
          <w:szCs w:val="24"/>
        </w:rPr>
      </w:pPr>
      <w:r>
        <w:rPr>
          <w:rFonts w:hint="default" w:ascii="Times New Roman" w:hAnsi="Times New Roman" w:eastAsia="仿宋_GB2312" w:cs="Times New Roman"/>
          <w:b/>
          <w:bCs/>
          <w:color w:val="000000" w:themeColor="text1"/>
          <w:sz w:val="24"/>
          <w:szCs w:val="24"/>
          <w14:textFill>
            <w14:solidFill>
              <w14:schemeClr w14:val="tx1"/>
            </w14:solidFill>
          </w14:textFill>
        </w:rPr>
        <w:t>表</w:t>
      </w:r>
      <w:r>
        <w:rPr>
          <w:rFonts w:hint="eastAsia" w:eastAsia="仿宋_GB2312" w:cs="Times New Roman"/>
          <w:b/>
          <w:bCs/>
          <w:color w:val="000000" w:themeColor="text1"/>
          <w:sz w:val="24"/>
          <w:szCs w:val="24"/>
          <w:lang w:val="en-US" w:eastAsia="zh-CN"/>
          <w14:textFill>
            <w14:solidFill>
              <w14:schemeClr w14:val="tx1"/>
            </w14:solidFill>
          </w14:textFill>
        </w:rPr>
        <w:t>1-1</w:t>
      </w:r>
      <w:r>
        <w:rPr>
          <w:rFonts w:hint="default" w:ascii="Times New Roman" w:hAnsi="Times New Roman" w:eastAsia="仿宋_GB2312" w:cs="Times New Roman"/>
          <w:b/>
          <w:bCs/>
          <w:color w:val="000000" w:themeColor="text1"/>
          <w:sz w:val="24"/>
          <w:szCs w:val="24"/>
          <w14:textFill>
            <w14:solidFill>
              <w14:schemeClr w14:val="tx1"/>
            </w14:solidFill>
          </w14:textFill>
        </w:rPr>
        <w:t>位置和面积情况一览表</w:t>
      </w:r>
    </w:p>
    <w:tbl>
      <w:tblPr>
        <w:tblStyle w:val="15"/>
        <w:tblW w:w="7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6"/>
        <w:gridCol w:w="1953"/>
        <w:gridCol w:w="2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blHeader/>
          <w:jc w:val="center"/>
        </w:trPr>
        <w:tc>
          <w:tcPr>
            <w:tcW w:w="3136"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420" w:lineRule="exact"/>
              <w:ind w:left="0" w:right="0" w:firstLine="0" w:firstLineChars="0"/>
              <w:jc w:val="center"/>
              <w:rPr>
                <w:rFonts w:hint="eastAsia"/>
                <w:b/>
                <w:kern w:val="0"/>
                <w:sz w:val="24"/>
                <w:szCs w:val="24"/>
              </w:rPr>
            </w:pPr>
            <w:r>
              <w:rPr>
                <w:rFonts w:hint="eastAsia" w:eastAsia="仿宋_GB2312"/>
                <w:b/>
                <w:kern w:val="0"/>
                <w:sz w:val="24"/>
                <w:szCs w:val="24"/>
              </w:rPr>
              <w:t>成片开发范围名称</w:t>
            </w:r>
          </w:p>
        </w:tc>
        <w:tc>
          <w:tcPr>
            <w:tcW w:w="195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420" w:lineRule="exact"/>
              <w:ind w:left="0" w:right="0" w:firstLine="0" w:firstLineChars="0"/>
              <w:jc w:val="center"/>
              <w:rPr>
                <w:rFonts w:hint="eastAsia"/>
                <w:b/>
                <w:kern w:val="0"/>
                <w:sz w:val="24"/>
                <w:szCs w:val="24"/>
              </w:rPr>
            </w:pPr>
            <w:r>
              <w:rPr>
                <w:rFonts w:hint="eastAsia" w:eastAsia="仿宋_GB2312"/>
                <w:b/>
                <w:kern w:val="0"/>
                <w:sz w:val="24"/>
                <w:szCs w:val="24"/>
              </w:rPr>
              <w:t>面积（公顷）</w:t>
            </w:r>
          </w:p>
        </w:tc>
        <w:tc>
          <w:tcPr>
            <w:tcW w:w="2787"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420" w:lineRule="exact"/>
              <w:ind w:left="0" w:right="0" w:firstLine="0" w:firstLineChars="0"/>
              <w:jc w:val="center"/>
              <w:rPr>
                <w:rFonts w:hint="eastAsia"/>
                <w:b/>
                <w:kern w:val="0"/>
                <w:sz w:val="24"/>
                <w:szCs w:val="24"/>
              </w:rPr>
            </w:pPr>
            <w:r>
              <w:rPr>
                <w:rFonts w:hint="eastAsia" w:eastAsia="仿宋_GB2312"/>
                <w:b/>
                <w:kern w:val="0"/>
                <w:sz w:val="24"/>
                <w:szCs w:val="24"/>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136"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400" w:lineRule="exact"/>
              <w:ind w:left="0" w:right="0" w:firstLine="0" w:firstLineChars="0"/>
              <w:jc w:val="center"/>
              <w:rPr>
                <w:rFonts w:hint="eastAsia"/>
                <w:kern w:val="0"/>
                <w:sz w:val="24"/>
                <w:szCs w:val="24"/>
              </w:rPr>
            </w:pPr>
            <w:r>
              <w:rPr>
                <w:rFonts w:hint="eastAsia" w:eastAsia="仿宋_GB2312"/>
                <w:kern w:val="0"/>
                <w:sz w:val="24"/>
                <w:szCs w:val="24"/>
              </w:rPr>
              <w:t>犁市镇石下片区</w:t>
            </w:r>
          </w:p>
        </w:tc>
        <w:tc>
          <w:tcPr>
            <w:tcW w:w="195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400" w:lineRule="exact"/>
              <w:ind w:left="0" w:right="0" w:firstLine="0" w:firstLineChars="0"/>
              <w:jc w:val="center"/>
              <w:rPr>
                <w:rFonts w:hint="eastAsia" w:eastAsia="仿宋"/>
                <w:kern w:val="0"/>
                <w:sz w:val="24"/>
                <w:szCs w:val="24"/>
                <w:lang w:eastAsia="zh-CN"/>
              </w:rPr>
            </w:pPr>
            <w:r>
              <w:rPr>
                <w:rFonts w:hint="eastAsia" w:eastAsia="仿宋_GB2312"/>
                <w:kern w:val="0"/>
                <w:sz w:val="24"/>
                <w:szCs w:val="24"/>
                <w:lang w:eastAsia="zh-CN"/>
              </w:rPr>
              <w:t>67.8826</w:t>
            </w:r>
          </w:p>
        </w:tc>
        <w:tc>
          <w:tcPr>
            <w:tcW w:w="2787"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400" w:lineRule="exact"/>
              <w:ind w:left="0" w:right="0" w:firstLine="0" w:firstLineChars="0"/>
              <w:jc w:val="center"/>
              <w:rPr>
                <w:rFonts w:hint="eastAsia"/>
                <w:kern w:val="0"/>
                <w:sz w:val="24"/>
                <w:szCs w:val="24"/>
              </w:rPr>
            </w:pPr>
            <w:r>
              <w:rPr>
                <w:rFonts w:hint="eastAsia" w:eastAsia="仿宋_GB2312"/>
                <w:kern w:val="0"/>
                <w:sz w:val="24"/>
                <w:szCs w:val="24"/>
              </w:rPr>
              <w:t>犁市镇、花坪镇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36"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400" w:lineRule="exact"/>
              <w:ind w:left="0" w:right="0" w:firstLine="0" w:firstLineChars="0"/>
              <w:jc w:val="center"/>
              <w:rPr>
                <w:rFonts w:hint="eastAsia" w:eastAsia="仿宋_GB2312"/>
                <w:kern w:val="0"/>
                <w:sz w:val="24"/>
                <w:szCs w:val="24"/>
              </w:rPr>
            </w:pPr>
            <w:r>
              <w:rPr>
                <w:rFonts w:hint="eastAsia" w:eastAsia="仿宋_GB2312"/>
                <w:kern w:val="0"/>
                <w:sz w:val="24"/>
                <w:szCs w:val="24"/>
              </w:rPr>
              <w:t>犁市镇黄沙片区</w:t>
            </w:r>
          </w:p>
        </w:tc>
        <w:tc>
          <w:tcPr>
            <w:tcW w:w="195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400" w:lineRule="exact"/>
              <w:ind w:left="0" w:right="0" w:firstLine="0" w:firstLineChars="0"/>
              <w:jc w:val="center"/>
              <w:rPr>
                <w:rFonts w:hint="eastAsia" w:eastAsia="仿宋"/>
                <w:kern w:val="0"/>
                <w:sz w:val="24"/>
                <w:szCs w:val="24"/>
                <w:lang w:eastAsia="zh-CN"/>
              </w:rPr>
            </w:pPr>
            <w:r>
              <w:rPr>
                <w:rFonts w:hint="eastAsia" w:eastAsia="仿宋_GB2312"/>
                <w:kern w:val="0"/>
                <w:sz w:val="24"/>
                <w:szCs w:val="24"/>
                <w:lang w:eastAsia="zh-CN"/>
              </w:rPr>
              <w:t>40.2503</w:t>
            </w:r>
          </w:p>
        </w:tc>
        <w:tc>
          <w:tcPr>
            <w:tcW w:w="2787"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400" w:lineRule="exact"/>
              <w:ind w:left="0" w:right="0" w:firstLine="0" w:firstLineChars="0"/>
              <w:jc w:val="center"/>
              <w:rPr>
                <w:rFonts w:hint="eastAsia"/>
                <w:kern w:val="0"/>
                <w:sz w:val="24"/>
                <w:szCs w:val="24"/>
              </w:rPr>
            </w:pPr>
            <w:r>
              <w:rPr>
                <w:rFonts w:hint="eastAsia" w:eastAsia="仿宋_GB2312"/>
                <w:kern w:val="0"/>
                <w:sz w:val="24"/>
                <w:szCs w:val="24"/>
              </w:rPr>
              <w:t>犁市镇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36"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400" w:lineRule="exact"/>
              <w:ind w:left="0" w:right="0" w:firstLine="0" w:firstLineChars="0"/>
              <w:jc w:val="center"/>
              <w:rPr>
                <w:rFonts w:hint="eastAsia"/>
                <w:kern w:val="0"/>
                <w:sz w:val="24"/>
                <w:szCs w:val="24"/>
              </w:rPr>
            </w:pPr>
            <w:r>
              <w:rPr>
                <w:rFonts w:hint="eastAsia" w:eastAsia="仿宋_GB2312"/>
                <w:kern w:val="0"/>
                <w:sz w:val="24"/>
                <w:szCs w:val="24"/>
              </w:rPr>
              <w:t>犁市镇犁市片区</w:t>
            </w:r>
          </w:p>
        </w:tc>
        <w:tc>
          <w:tcPr>
            <w:tcW w:w="195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400" w:lineRule="exact"/>
              <w:ind w:left="0" w:right="0" w:firstLine="0" w:firstLineChars="0"/>
              <w:jc w:val="center"/>
              <w:rPr>
                <w:rFonts w:hint="eastAsia"/>
                <w:kern w:val="0"/>
                <w:sz w:val="24"/>
                <w:szCs w:val="24"/>
              </w:rPr>
            </w:pPr>
            <w:r>
              <w:rPr>
                <w:rFonts w:hint="eastAsia" w:eastAsia="仿宋_GB2312"/>
                <w:kern w:val="0"/>
                <w:sz w:val="24"/>
                <w:szCs w:val="24"/>
              </w:rPr>
              <w:t>0.9559</w:t>
            </w:r>
          </w:p>
        </w:tc>
        <w:tc>
          <w:tcPr>
            <w:tcW w:w="2787"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400" w:lineRule="exact"/>
              <w:ind w:left="0" w:right="0" w:firstLine="0" w:firstLineChars="0"/>
              <w:jc w:val="center"/>
              <w:rPr>
                <w:rFonts w:hint="eastAsia"/>
                <w:kern w:val="0"/>
                <w:sz w:val="24"/>
                <w:szCs w:val="24"/>
              </w:rPr>
            </w:pPr>
            <w:r>
              <w:rPr>
                <w:rFonts w:hint="eastAsia" w:eastAsia="仿宋_GB2312"/>
                <w:kern w:val="0"/>
                <w:sz w:val="24"/>
                <w:szCs w:val="24"/>
              </w:rPr>
              <w:t>犁市镇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136"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400" w:lineRule="exact"/>
              <w:ind w:left="0" w:right="0" w:firstLine="0" w:firstLineChars="0"/>
              <w:jc w:val="center"/>
              <w:rPr>
                <w:rFonts w:hint="eastAsia"/>
                <w:kern w:val="0"/>
                <w:sz w:val="24"/>
                <w:szCs w:val="24"/>
              </w:rPr>
            </w:pPr>
            <w:r>
              <w:rPr>
                <w:rFonts w:hint="eastAsia" w:eastAsia="仿宋_GB2312"/>
                <w:kern w:val="0"/>
                <w:sz w:val="24"/>
                <w:szCs w:val="24"/>
              </w:rPr>
              <w:t>新韶镇东联片区</w:t>
            </w:r>
          </w:p>
        </w:tc>
        <w:tc>
          <w:tcPr>
            <w:tcW w:w="195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400" w:lineRule="exact"/>
              <w:ind w:left="0" w:right="0" w:firstLine="0" w:firstLineChars="0"/>
              <w:jc w:val="center"/>
              <w:rPr>
                <w:rFonts w:hint="eastAsia" w:eastAsia="仿宋"/>
                <w:kern w:val="0"/>
                <w:sz w:val="24"/>
                <w:szCs w:val="24"/>
                <w:lang w:eastAsia="zh-CN"/>
              </w:rPr>
            </w:pPr>
            <w:r>
              <w:rPr>
                <w:rFonts w:hint="eastAsia" w:eastAsia="仿宋_GB2312"/>
                <w:kern w:val="0"/>
                <w:sz w:val="24"/>
                <w:szCs w:val="24"/>
                <w:lang w:eastAsia="zh-CN"/>
              </w:rPr>
              <w:t>64.7142</w:t>
            </w:r>
          </w:p>
        </w:tc>
        <w:tc>
          <w:tcPr>
            <w:tcW w:w="2787"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400" w:lineRule="exact"/>
              <w:ind w:left="0" w:right="0" w:firstLine="0" w:firstLineChars="0"/>
              <w:jc w:val="center"/>
              <w:rPr>
                <w:rFonts w:hint="eastAsia"/>
                <w:kern w:val="0"/>
                <w:sz w:val="24"/>
                <w:szCs w:val="24"/>
              </w:rPr>
            </w:pPr>
            <w:r>
              <w:rPr>
                <w:rFonts w:hint="eastAsia" w:eastAsia="仿宋_GB2312"/>
                <w:kern w:val="0"/>
                <w:sz w:val="24"/>
                <w:szCs w:val="24"/>
              </w:rPr>
              <w:t>新韶镇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3136"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400" w:lineRule="exact"/>
              <w:ind w:left="0" w:right="0" w:firstLine="0" w:firstLineChars="0"/>
              <w:jc w:val="center"/>
              <w:rPr>
                <w:rFonts w:hint="eastAsia"/>
                <w:kern w:val="0"/>
                <w:sz w:val="24"/>
                <w:szCs w:val="24"/>
              </w:rPr>
            </w:pPr>
            <w:r>
              <w:rPr>
                <w:rFonts w:hint="eastAsia" w:eastAsia="仿宋_GB2312"/>
                <w:kern w:val="0"/>
                <w:sz w:val="24"/>
                <w:szCs w:val="24"/>
              </w:rPr>
              <w:t>新韶镇石山片区</w:t>
            </w:r>
          </w:p>
        </w:tc>
        <w:tc>
          <w:tcPr>
            <w:tcW w:w="195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400" w:lineRule="exact"/>
              <w:ind w:left="0" w:right="0" w:firstLine="0" w:firstLineChars="0"/>
              <w:jc w:val="center"/>
              <w:rPr>
                <w:rFonts w:hint="eastAsia" w:eastAsia="仿宋"/>
                <w:kern w:val="0"/>
                <w:sz w:val="24"/>
                <w:szCs w:val="24"/>
                <w:lang w:eastAsia="zh-CN"/>
              </w:rPr>
            </w:pPr>
            <w:r>
              <w:rPr>
                <w:rFonts w:hint="eastAsia" w:eastAsia="仿宋_GB2312"/>
                <w:kern w:val="0"/>
                <w:sz w:val="24"/>
                <w:szCs w:val="24"/>
                <w:lang w:eastAsia="zh-CN"/>
              </w:rPr>
              <w:t>3.5958</w:t>
            </w:r>
          </w:p>
        </w:tc>
        <w:tc>
          <w:tcPr>
            <w:tcW w:w="2787"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400" w:lineRule="exact"/>
              <w:ind w:left="0" w:right="0" w:firstLine="0" w:firstLineChars="0"/>
              <w:jc w:val="center"/>
              <w:rPr>
                <w:rFonts w:hint="eastAsia"/>
                <w:kern w:val="0"/>
                <w:sz w:val="24"/>
                <w:szCs w:val="24"/>
              </w:rPr>
            </w:pPr>
            <w:r>
              <w:rPr>
                <w:rFonts w:hint="eastAsia" w:eastAsia="仿宋_GB2312"/>
                <w:kern w:val="0"/>
                <w:sz w:val="24"/>
                <w:szCs w:val="24"/>
              </w:rPr>
              <w:t>新韶镇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3136"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400" w:lineRule="exact"/>
              <w:ind w:left="0" w:right="0" w:firstLine="0" w:firstLineChars="0"/>
              <w:jc w:val="center"/>
              <w:rPr>
                <w:rFonts w:hint="eastAsia" w:eastAsia="仿宋_GB2312"/>
                <w:kern w:val="0"/>
                <w:sz w:val="24"/>
                <w:szCs w:val="24"/>
              </w:rPr>
            </w:pPr>
            <w:r>
              <w:rPr>
                <w:rFonts w:hint="eastAsia" w:eastAsia="仿宋_GB2312"/>
                <w:kern w:val="0"/>
                <w:sz w:val="24"/>
                <w:szCs w:val="24"/>
              </w:rPr>
              <w:t>新韶镇</w:t>
            </w:r>
            <w:r>
              <w:rPr>
                <w:rFonts w:hint="eastAsia" w:eastAsia="仿宋_GB2312"/>
                <w:kern w:val="0"/>
                <w:sz w:val="24"/>
                <w:szCs w:val="24"/>
                <w:lang w:eastAsia="zh-CN"/>
              </w:rPr>
              <w:t>莲花</w:t>
            </w:r>
            <w:r>
              <w:rPr>
                <w:rFonts w:hint="eastAsia" w:eastAsia="仿宋_GB2312"/>
                <w:kern w:val="0"/>
                <w:sz w:val="24"/>
                <w:szCs w:val="24"/>
              </w:rPr>
              <w:t>片区</w:t>
            </w:r>
          </w:p>
        </w:tc>
        <w:tc>
          <w:tcPr>
            <w:tcW w:w="195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400" w:lineRule="exact"/>
              <w:ind w:left="0" w:right="0" w:firstLine="0" w:firstLineChars="0"/>
              <w:jc w:val="center"/>
              <w:rPr>
                <w:rFonts w:hint="eastAsia" w:eastAsia="仿宋_GB2312"/>
                <w:kern w:val="0"/>
                <w:sz w:val="24"/>
                <w:szCs w:val="24"/>
                <w:lang w:eastAsia="zh-CN"/>
              </w:rPr>
            </w:pPr>
            <w:r>
              <w:rPr>
                <w:rFonts w:hint="eastAsia" w:eastAsia="仿宋_GB2312"/>
                <w:kern w:val="0"/>
                <w:sz w:val="24"/>
                <w:szCs w:val="24"/>
                <w:lang w:eastAsia="zh-CN"/>
              </w:rPr>
              <w:t>1.6987</w:t>
            </w:r>
          </w:p>
        </w:tc>
        <w:tc>
          <w:tcPr>
            <w:tcW w:w="2787"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400" w:lineRule="exact"/>
              <w:ind w:left="0" w:right="0" w:firstLine="0" w:firstLineChars="0"/>
              <w:jc w:val="center"/>
              <w:rPr>
                <w:rFonts w:hint="eastAsia" w:eastAsia="仿宋_GB2312"/>
                <w:kern w:val="0"/>
                <w:sz w:val="24"/>
                <w:szCs w:val="24"/>
              </w:rPr>
            </w:pPr>
            <w:r>
              <w:rPr>
                <w:rFonts w:hint="eastAsia" w:eastAsia="仿宋_GB2312"/>
                <w:kern w:val="0"/>
                <w:sz w:val="24"/>
                <w:szCs w:val="24"/>
              </w:rPr>
              <w:t>新韶镇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136"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400" w:lineRule="exact"/>
              <w:ind w:left="0" w:right="0" w:firstLine="0" w:firstLineChars="0"/>
              <w:jc w:val="center"/>
              <w:rPr>
                <w:rFonts w:hint="eastAsia"/>
                <w:kern w:val="0"/>
                <w:sz w:val="24"/>
                <w:szCs w:val="24"/>
              </w:rPr>
            </w:pPr>
            <w:r>
              <w:rPr>
                <w:rFonts w:hint="eastAsia" w:eastAsia="仿宋_GB2312"/>
                <w:b/>
                <w:kern w:val="0"/>
                <w:sz w:val="24"/>
                <w:szCs w:val="24"/>
              </w:rPr>
              <w:t>合计</w:t>
            </w:r>
          </w:p>
        </w:tc>
        <w:tc>
          <w:tcPr>
            <w:tcW w:w="195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400" w:lineRule="exact"/>
              <w:ind w:left="0" w:right="0" w:firstLine="0" w:firstLineChars="0"/>
              <w:jc w:val="center"/>
              <w:rPr>
                <w:rFonts w:hint="eastAsia" w:eastAsia="仿宋"/>
                <w:kern w:val="0"/>
                <w:sz w:val="24"/>
                <w:szCs w:val="24"/>
                <w:lang w:eastAsia="zh-CN"/>
              </w:rPr>
            </w:pPr>
            <w:r>
              <w:rPr>
                <w:rFonts w:hint="eastAsia" w:eastAsia="仿宋_GB2312"/>
                <w:b/>
                <w:kern w:val="0"/>
                <w:sz w:val="24"/>
                <w:szCs w:val="24"/>
                <w:lang w:eastAsia="zh-CN"/>
              </w:rPr>
              <w:t>179.0975</w:t>
            </w:r>
          </w:p>
        </w:tc>
        <w:tc>
          <w:tcPr>
            <w:tcW w:w="2787"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400" w:lineRule="exact"/>
              <w:ind w:left="0" w:right="0" w:firstLine="0" w:firstLineChars="0"/>
              <w:jc w:val="center"/>
              <w:rPr>
                <w:rFonts w:hint="eastAsia"/>
                <w:kern w:val="0"/>
                <w:sz w:val="24"/>
                <w:szCs w:val="24"/>
              </w:rPr>
            </w:pPr>
            <w:r>
              <w:rPr>
                <w:rFonts w:hint="eastAsia"/>
                <w:b/>
                <w:kern w:val="0"/>
                <w:sz w:val="24"/>
                <w:szCs w:val="24"/>
              </w:rPr>
              <w:t>——</w:t>
            </w:r>
          </w:p>
        </w:tc>
      </w:tr>
    </w:tbl>
    <w:p>
      <w:pPr>
        <w:keepNext w:val="0"/>
        <w:keepLines w:val="0"/>
        <w:pageBreakBefore w:val="0"/>
        <w:widowControl w:val="0"/>
        <w:kinsoku/>
        <w:wordWrap/>
        <w:overflowPunct/>
        <w:topLinePunct w:val="0"/>
        <w:autoSpaceDE/>
        <w:autoSpaceDN/>
        <w:bidi w:val="0"/>
        <w:adjustRightInd/>
        <w:snapToGrid/>
        <w:spacing w:before="0" w:after="0" w:line="240" w:lineRule="atLeast"/>
        <w:ind w:left="0" w:leftChars="0" w:right="0" w:firstLine="560"/>
        <w:jc w:val="both"/>
        <w:textAlignment w:val="auto"/>
        <w:rPr>
          <w:rFonts w:hint="eastAsia" w:ascii="仿宋" w:hAnsi="仿宋" w:eastAsia="仿宋_GB2312" w:cs="仿宋"/>
          <w:color w:val="000000" w:themeColor="text1"/>
          <w:sz w:val="24"/>
          <w:szCs w:val="21"/>
          <w:lang w:val="en-US" w:eastAsia="zh-CN"/>
          <w14:textFill>
            <w14:solidFill>
              <w14:schemeClr w14:val="tx1"/>
            </w14:solidFill>
          </w14:textFill>
        </w:rPr>
      </w:pPr>
    </w:p>
    <w:p>
      <w:pPr>
        <w:pStyle w:val="3"/>
        <w:spacing w:line="360" w:lineRule="auto"/>
        <w:ind w:left="0" w:firstLine="723" w:firstLineChars="200"/>
        <w:rPr>
          <w:rFonts w:hint="default" w:ascii="Times New Roman" w:hAnsi="Times New Roman" w:eastAsia="仿宋_GB2312" w:cs="Times New Roman"/>
          <w:b/>
          <w:bCs w:val="0"/>
          <w:color w:val="000000" w:themeColor="text1"/>
          <w:sz w:val="36"/>
          <w:szCs w:val="36"/>
          <w:lang w:eastAsia="zh-CN"/>
          <w14:textFill>
            <w14:solidFill>
              <w14:schemeClr w14:val="tx1"/>
            </w14:solidFill>
          </w14:textFill>
        </w:rPr>
      </w:pPr>
      <w:r>
        <w:rPr>
          <w:rFonts w:hint="eastAsia" w:eastAsia="仿宋_GB2312" w:cs="Times New Roman"/>
          <w:b/>
          <w:bCs w:val="0"/>
          <w:color w:val="000000" w:themeColor="text1"/>
          <w:sz w:val="36"/>
          <w:szCs w:val="36"/>
          <w:lang w:eastAsia="zh-CN"/>
          <w14:textFill>
            <w14:solidFill>
              <w14:schemeClr w14:val="tx1"/>
            </w14:solidFill>
          </w14:textFill>
        </w:rPr>
        <w:t>二</w:t>
      </w:r>
      <w:r>
        <w:rPr>
          <w:rFonts w:hint="default" w:ascii="Times New Roman" w:hAnsi="Times New Roman" w:eastAsia="仿宋_GB2312" w:cs="Times New Roman"/>
          <w:b/>
          <w:bCs w:val="0"/>
          <w:color w:val="000000" w:themeColor="text1"/>
          <w:sz w:val="36"/>
          <w:szCs w:val="36"/>
          <w14:textFill>
            <w14:solidFill>
              <w14:schemeClr w14:val="tx1"/>
            </w14:solidFill>
          </w14:textFill>
        </w:rPr>
        <w:t>、</w:t>
      </w:r>
      <w:bookmarkEnd w:id="3"/>
      <w:bookmarkEnd w:id="4"/>
      <w:r>
        <w:rPr>
          <w:rFonts w:hint="eastAsia" w:eastAsia="仿宋_GB2312" w:cs="Times New Roman"/>
          <w:b/>
          <w:bCs w:val="0"/>
          <w:color w:val="000000" w:themeColor="text1"/>
          <w:sz w:val="36"/>
          <w:szCs w:val="36"/>
          <w:lang w:eastAsia="zh-CN"/>
          <w14:textFill>
            <w14:solidFill>
              <w14:schemeClr w14:val="tx1"/>
            </w14:solidFill>
          </w14:textFill>
        </w:rPr>
        <w:t>必要性及主要内容</w:t>
      </w:r>
    </w:p>
    <w:p>
      <w:pPr>
        <w:pStyle w:val="4"/>
        <w:widowControl/>
        <w:spacing w:before="0" w:after="0" w:line="360" w:lineRule="auto"/>
        <w:ind w:firstLine="643" w:firstLineChars="200"/>
        <w:rPr>
          <w:rFonts w:hint="default" w:ascii="Times New Roman" w:hAnsi="Times New Roman" w:eastAsia="仿宋_GB2312" w:cs="Times New Roman"/>
          <w:color w:val="000000" w:themeColor="text1"/>
          <w14:textFill>
            <w14:solidFill>
              <w14:schemeClr w14:val="tx1"/>
            </w14:solidFill>
          </w14:textFill>
        </w:rPr>
      </w:pPr>
      <w:bookmarkStart w:id="5" w:name="_Toc79948071"/>
      <w:bookmarkStart w:id="6" w:name="_Toc31612"/>
      <w:bookmarkStart w:id="7" w:name="_Toc69918853"/>
      <w:bookmarkStart w:id="8" w:name="_Toc69918898"/>
      <w:bookmarkStart w:id="9" w:name="_Toc2211"/>
      <w:r>
        <w:rPr>
          <w:rFonts w:hint="default" w:ascii="Times New Roman" w:hAnsi="Times New Roman" w:eastAsia="仿宋_GB2312" w:cs="Times New Roman"/>
          <w:color w:val="000000" w:themeColor="text1"/>
          <w14:textFill>
            <w14:solidFill>
              <w14:schemeClr w14:val="tx1"/>
            </w14:solidFill>
          </w14:textFill>
        </w:rPr>
        <w:t>（一）</w:t>
      </w:r>
      <w:bookmarkEnd w:id="5"/>
      <w:bookmarkEnd w:id="6"/>
      <w:bookmarkEnd w:id="7"/>
      <w:bookmarkEnd w:id="8"/>
      <w:bookmarkEnd w:id="9"/>
      <w:r>
        <w:rPr>
          <w:rFonts w:hint="eastAsia" w:ascii="Times New Roman" w:hAnsi="Times New Roman" w:eastAsia="仿宋_GB2312" w:cs="Times New Roman"/>
          <w:color w:val="000000" w:themeColor="text1"/>
          <w:lang w:eastAsia="zh-CN"/>
          <w14:textFill>
            <w14:solidFill>
              <w14:schemeClr w14:val="tx1"/>
            </w14:solidFill>
          </w14:textFill>
        </w:rPr>
        <w:t>实施</w:t>
      </w:r>
      <w:r>
        <w:rPr>
          <w:rFonts w:hint="default" w:ascii="Times New Roman" w:hAnsi="Times New Roman" w:eastAsia="仿宋_GB2312" w:cs="Times New Roman"/>
          <w:color w:val="000000" w:themeColor="text1"/>
          <w:lang w:eastAsia="zh-CN"/>
          <w14:textFill>
            <w14:solidFill>
              <w14:schemeClr w14:val="tx1"/>
            </w14:solidFill>
          </w14:textFill>
        </w:rPr>
        <w:t>必要性</w:t>
      </w:r>
    </w:p>
    <w:p>
      <w:pPr>
        <w:keepNext w:val="0"/>
        <w:keepLines w:val="0"/>
        <w:pageBreakBefore w:val="0"/>
        <w:widowControl/>
        <w:kinsoku/>
        <w:wordWrap/>
        <w:overflowPunct/>
        <w:topLinePunct w:val="0"/>
        <w:autoSpaceDE/>
        <w:autoSpaceDN/>
        <w:bidi w:val="0"/>
        <w:adjustRightInd/>
        <w:snapToGrid/>
        <w:spacing w:before="0" w:after="0"/>
        <w:ind w:firstLine="560"/>
        <w:jc w:val="both"/>
        <w:textAlignment w:val="auto"/>
        <w:rPr>
          <w:rFonts w:hint="eastAsia" w:ascii="Times New Roman" w:hAnsi="Times New Roman" w:eastAsia="仿宋_GB2312" w:cs="Times New Roman"/>
          <w:color w:val="000000" w:themeColor="text1"/>
          <w:lang w:val="en-US" w:eastAsia="zh-CN"/>
          <w14:textFill>
            <w14:solidFill>
              <w14:schemeClr w14:val="tx1"/>
            </w14:solidFill>
          </w14:textFill>
        </w:rPr>
      </w:pPr>
      <w:r>
        <w:rPr>
          <w:rFonts w:hint="eastAsia" w:ascii="Times New Roman" w:hAnsi="Times New Roman" w:eastAsia="仿宋_GB2312" w:cs="Times New Roman"/>
          <w:color w:val="000000" w:themeColor="text1"/>
          <w:lang w:val="en-US" w:eastAsia="zh-CN"/>
          <w14:textFill>
            <w14:solidFill>
              <w14:schemeClr w14:val="tx1"/>
            </w14:solidFill>
          </w14:textFill>
        </w:rPr>
        <w:t>本次拟实施土地征收成片开发建设，是深入推进“百县千镇万村高质量发展工程”重大战略的需要，是加快构建现代化产业体系，推动韶关市和浈江区高质量融入“双区”建设的重要抓手，是优化片区功能结构，有效推进片区重点项目建设的重要路径。因此，本次拟实施土地征收成片开发建设是十分必要的。</w:t>
      </w:r>
    </w:p>
    <w:p>
      <w:pPr>
        <w:pStyle w:val="4"/>
        <w:widowControl/>
        <w:spacing w:before="0" w:after="0" w:line="360" w:lineRule="auto"/>
        <w:ind w:firstLine="643" w:firstLineChars="200"/>
        <w:rPr>
          <w:rFonts w:hint="default" w:ascii="Times New Roman" w:hAnsi="Times New Roman" w:eastAsia="仿宋_GB2312" w:cs="Times New Roman"/>
          <w:color w:val="000000" w:themeColor="text1"/>
          <w:lang w:eastAsia="zh-CN"/>
          <w14:textFill>
            <w14:solidFill>
              <w14:schemeClr w14:val="tx1"/>
            </w14:solidFill>
          </w14:textFill>
        </w:rPr>
      </w:pPr>
      <w:bookmarkStart w:id="10" w:name="_Toc90278921"/>
      <w:bookmarkStart w:id="11" w:name="_Toc30845"/>
      <w:bookmarkStart w:id="12" w:name="_Toc19349"/>
      <w:bookmarkStart w:id="13" w:name="_Toc86963780"/>
      <w:r>
        <w:rPr>
          <w:rFonts w:hint="default" w:ascii="Times New Roman" w:hAnsi="Times New Roman" w:eastAsia="仿宋_GB2312" w:cs="Times New Roman"/>
          <w:color w:val="000000" w:themeColor="text1"/>
          <w14:textFill>
            <w14:solidFill>
              <w14:schemeClr w14:val="tx1"/>
            </w14:solidFill>
          </w14:textFill>
        </w:rPr>
        <w:t>（二）</w:t>
      </w:r>
      <w:bookmarkEnd w:id="10"/>
      <w:bookmarkEnd w:id="11"/>
      <w:r>
        <w:rPr>
          <w:rFonts w:hint="default" w:ascii="Times New Roman" w:hAnsi="Times New Roman" w:eastAsia="仿宋_GB2312" w:cs="Times New Roman"/>
          <w:color w:val="000000" w:themeColor="text1"/>
          <w:lang w:eastAsia="zh-CN"/>
          <w14:textFill>
            <w14:solidFill>
              <w14:schemeClr w14:val="tx1"/>
            </w14:solidFill>
          </w14:textFill>
        </w:rPr>
        <w:t>主要用途及功能</w:t>
      </w:r>
    </w:p>
    <w:bookmarkEnd w:id="12"/>
    <w:bookmarkEnd w:id="13"/>
    <w:p>
      <w:pPr>
        <w:keepNext w:val="0"/>
        <w:keepLines w:val="0"/>
        <w:pageBreakBefore w:val="0"/>
        <w:widowControl/>
        <w:kinsoku/>
        <w:wordWrap/>
        <w:overflowPunct/>
        <w:topLinePunct w:val="0"/>
        <w:autoSpaceDE/>
        <w:autoSpaceDN/>
        <w:bidi w:val="0"/>
        <w:adjustRightInd/>
        <w:snapToGrid/>
        <w:spacing w:before="0" w:after="0"/>
        <w:ind w:firstLine="560"/>
        <w:jc w:val="both"/>
        <w:textAlignment w:val="auto"/>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本次成片开发方案拟实施</w:t>
      </w:r>
      <w:r>
        <w:rPr>
          <w:rFonts w:hint="eastAsia" w:eastAsia="仿宋_GB2312" w:cs="Times New Roman"/>
          <w:color w:val="000000" w:themeColor="text1"/>
          <w:lang w:val="en-US" w:eastAsia="zh-CN"/>
          <w14:textFill>
            <w14:solidFill>
              <w14:schemeClr w14:val="tx1"/>
            </w14:solidFill>
          </w14:textFill>
        </w:rPr>
        <w:t>8</w:t>
      </w:r>
      <w:r>
        <w:rPr>
          <w:rFonts w:hint="default" w:ascii="Times New Roman" w:hAnsi="Times New Roman" w:eastAsia="仿宋_GB2312" w:cs="Times New Roman"/>
          <w:color w:val="000000" w:themeColor="text1"/>
          <w14:textFill>
            <w14:solidFill>
              <w14:schemeClr w14:val="tx1"/>
            </w14:solidFill>
          </w14:textFill>
        </w:rPr>
        <w:t>个项目。主要用途为工业用地、城镇住宅用地、城镇道路用地、教育用地、供电用地、</w:t>
      </w:r>
      <w:r>
        <w:rPr>
          <w:rFonts w:hint="eastAsia" w:eastAsia="仿宋_GB2312" w:cs="Times New Roman"/>
          <w:color w:val="000000" w:themeColor="text1"/>
          <w:lang w:eastAsia="zh-CN"/>
          <w14:textFill>
            <w14:solidFill>
              <w14:schemeClr w14:val="tx1"/>
            </w14:solidFill>
          </w14:textFill>
        </w:rPr>
        <w:t>消防用地、</w:t>
      </w:r>
      <w:r>
        <w:rPr>
          <w:rFonts w:hint="default" w:ascii="Times New Roman" w:hAnsi="Times New Roman" w:eastAsia="仿宋_GB2312" w:cs="Times New Roman"/>
          <w:color w:val="000000" w:themeColor="text1"/>
          <w14:textFill>
            <w14:solidFill>
              <w14:schemeClr w14:val="tx1"/>
            </w14:solidFill>
          </w14:textFill>
        </w:rPr>
        <w:t>广场用地、防护绿地。</w:t>
      </w:r>
    </w:p>
    <w:p>
      <w:pPr>
        <w:keepNext w:val="0"/>
        <w:keepLines w:val="0"/>
        <w:pageBreakBefore w:val="0"/>
        <w:widowControl w:val="0"/>
        <w:kinsoku/>
        <w:wordWrap/>
        <w:overflowPunct/>
        <w:topLinePunct w:val="0"/>
        <w:autoSpaceDE/>
        <w:autoSpaceDN/>
        <w:bidi w:val="0"/>
        <w:adjustRightInd/>
        <w:snapToGrid/>
        <w:spacing w:before="0" w:after="0"/>
        <w:ind w:firstLine="560"/>
        <w:jc w:val="both"/>
        <w:textAlignment w:val="auto"/>
        <w:rPr>
          <w:rFonts w:hint="eastAsia" w:eastAsia="仿宋_GB2312"/>
          <w:lang w:eastAsia="zh-CN"/>
        </w:rPr>
      </w:pPr>
      <w:r>
        <w:rPr>
          <w:rFonts w:hint="default" w:ascii="Times New Roman" w:hAnsi="Times New Roman" w:eastAsia="仿宋_GB2312" w:cs="Times New Roman"/>
          <w:color w:val="000000" w:themeColor="text1"/>
          <w14:textFill>
            <w14:solidFill>
              <w14:schemeClr w14:val="tx1"/>
            </w14:solidFill>
          </w14:textFill>
        </w:rPr>
        <w:t>通过成片开发进一步完善公共基础设施建设、提升公共服务能力、改善城市生态环境。旨在加速先进装备制造产业扩容提质</w:t>
      </w:r>
      <w:r>
        <w:rPr>
          <w:rFonts w:hint="eastAsia" w:eastAsia="仿宋_GB2312" w:cs="Times New Roman"/>
          <w:color w:val="000000" w:themeColor="text1"/>
          <w:lang w:eastAsia="zh-CN"/>
          <w14:textFill>
            <w14:solidFill>
              <w14:schemeClr w14:val="tx1"/>
            </w14:solidFill>
          </w14:textFill>
        </w:rPr>
        <w:t>，努力将浈江产业园打造成为韶关新兴产业发展的重要平台，加快构建现代产业体系。</w:t>
      </w:r>
      <w:r>
        <w:rPr>
          <w:rFonts w:hint="eastAsia" w:ascii="Times New Roman" w:hAnsi="Times New Roman" w:eastAsia="仿宋_GB2312" w:cs="Times New Roman"/>
          <w:color w:val="auto"/>
          <w:highlight w:val="none"/>
          <w:lang w:val="en-US" w:eastAsia="zh-CN"/>
        </w:rPr>
        <w:t>将东环线商贸经济带打造成为我市高效联通粤港澳大湾区与红三角地区的集物流、仓储、交易中心一体的商贸物流集聚地</w:t>
      </w:r>
      <w:r>
        <w:rPr>
          <w:rFonts w:hint="eastAsia" w:eastAsia="仿宋_GB2312" w:cs="Times New Roman"/>
          <w:color w:val="auto"/>
          <w:highlight w:val="none"/>
          <w:lang w:val="en-US" w:eastAsia="zh-CN"/>
        </w:rPr>
        <w:t>。</w:t>
      </w:r>
    </w:p>
    <w:p>
      <w:pPr>
        <w:pStyle w:val="4"/>
        <w:widowControl/>
        <w:spacing w:before="0" w:after="0" w:line="360" w:lineRule="auto"/>
        <w:ind w:firstLine="643" w:firstLineChars="200"/>
        <w:rPr>
          <w:rFonts w:hint="default" w:ascii="Times New Roman" w:hAnsi="Times New Roman" w:eastAsia="仿宋_GB2312" w:cs="Times New Roman"/>
          <w:color w:val="000000" w:themeColor="text1"/>
          <w:lang w:eastAsia="zh-CN"/>
          <w14:textFill>
            <w14:solidFill>
              <w14:schemeClr w14:val="tx1"/>
            </w14:solidFill>
          </w14:textFill>
        </w:rPr>
      </w:pPr>
      <w:bookmarkStart w:id="14" w:name="_Toc25402"/>
      <w:bookmarkStart w:id="15" w:name="_Toc2304"/>
      <w:bookmarkStart w:id="16" w:name="_Toc80086080"/>
      <w:r>
        <w:rPr>
          <w:rFonts w:hint="default" w:ascii="Times New Roman" w:hAnsi="Times New Roman" w:eastAsia="仿宋_GB2312" w:cs="Times New Roman"/>
          <w:color w:val="000000" w:themeColor="text1"/>
          <w14:textFill>
            <w14:solidFill>
              <w14:schemeClr w14:val="tx1"/>
            </w14:solidFill>
          </w14:textFill>
        </w:rPr>
        <w:t>（</w:t>
      </w:r>
      <w:r>
        <w:rPr>
          <w:rFonts w:hint="default" w:ascii="Times New Roman" w:hAnsi="Times New Roman" w:eastAsia="仿宋_GB2312" w:cs="Times New Roman"/>
          <w:color w:val="000000" w:themeColor="text1"/>
          <w:lang w:eastAsia="zh-CN"/>
          <w14:textFill>
            <w14:solidFill>
              <w14:schemeClr w14:val="tx1"/>
            </w14:solidFill>
          </w14:textFill>
        </w:rPr>
        <w:t>三</w:t>
      </w:r>
      <w:r>
        <w:rPr>
          <w:rFonts w:hint="default" w:ascii="Times New Roman" w:hAnsi="Times New Roman" w:eastAsia="仿宋_GB2312" w:cs="Times New Roman"/>
          <w:color w:val="000000" w:themeColor="text1"/>
          <w14:textFill>
            <w14:solidFill>
              <w14:schemeClr w14:val="tx1"/>
            </w14:solidFill>
          </w14:textFill>
        </w:rPr>
        <w:t>）</w:t>
      </w:r>
      <w:r>
        <w:rPr>
          <w:rFonts w:hint="default" w:ascii="Times New Roman" w:hAnsi="Times New Roman" w:eastAsia="仿宋_GB2312" w:cs="Times New Roman"/>
          <w:color w:val="000000" w:themeColor="text1"/>
          <w:lang w:eastAsia="zh-CN"/>
          <w14:textFill>
            <w14:solidFill>
              <w14:schemeClr w14:val="tx1"/>
            </w14:solidFill>
          </w14:textFill>
        </w:rPr>
        <w:t>实施计划</w:t>
      </w:r>
    </w:p>
    <w:p>
      <w:pPr>
        <w:keepNext w:val="0"/>
        <w:keepLines w:val="0"/>
        <w:pageBreakBefore w:val="0"/>
        <w:widowControl/>
        <w:kinsoku/>
        <w:wordWrap/>
        <w:overflowPunct/>
        <w:topLinePunct w:val="0"/>
        <w:autoSpaceDE/>
        <w:autoSpaceDN/>
        <w:bidi w:val="0"/>
        <w:adjustRightInd/>
        <w:snapToGrid/>
        <w:spacing w:before="0" w:after="0"/>
        <w:ind w:firstLine="560"/>
        <w:jc w:val="both"/>
        <w:textAlignment w:val="auto"/>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方案拟计划202</w:t>
      </w:r>
      <w:r>
        <w:rPr>
          <w:rFonts w:hint="eastAsia" w:eastAsia="仿宋_GB2312" w:cs="Times New Roman"/>
          <w:color w:val="000000" w:themeColor="text1"/>
          <w:lang w:val="en-US" w:eastAsia="zh-CN"/>
          <w14:textFill>
            <w14:solidFill>
              <w14:schemeClr w14:val="tx1"/>
            </w14:solidFill>
          </w14:textFill>
        </w:rPr>
        <w:t>5</w:t>
      </w:r>
      <w:r>
        <w:rPr>
          <w:rFonts w:hint="default" w:ascii="Times New Roman" w:hAnsi="Times New Roman" w:eastAsia="仿宋_GB2312" w:cs="Times New Roman"/>
          <w:color w:val="000000" w:themeColor="text1"/>
          <w14:textFill>
            <w14:solidFill>
              <w14:schemeClr w14:val="tx1"/>
            </w14:solidFill>
          </w14:textFill>
        </w:rPr>
        <w:t>年～2026年实施完成，并纳入相关年度的国民经济和社会发展年度计划。其中第</w:t>
      </w:r>
      <w:r>
        <w:rPr>
          <w:rFonts w:hint="eastAsia" w:eastAsia="仿宋_GB2312" w:cs="Times New Roman"/>
          <w:color w:val="000000" w:themeColor="text1"/>
          <w:lang w:eastAsia="zh-CN"/>
          <w14:textFill>
            <w14:solidFill>
              <w14:schemeClr w14:val="tx1"/>
            </w14:solidFill>
          </w14:textFill>
        </w:rPr>
        <w:t>一</w:t>
      </w:r>
      <w:r>
        <w:rPr>
          <w:rFonts w:hint="default" w:ascii="Times New Roman" w:hAnsi="Times New Roman" w:eastAsia="仿宋_GB2312" w:cs="Times New Roman"/>
          <w:color w:val="000000" w:themeColor="text1"/>
          <w14:textFill>
            <w14:solidFill>
              <w14:schemeClr w14:val="tx1"/>
            </w14:solidFill>
          </w14:textFill>
        </w:rPr>
        <w:t>年计划实施面积</w:t>
      </w:r>
      <w:r>
        <w:rPr>
          <w:rFonts w:hint="eastAsia" w:eastAsia="仿宋_GB2312" w:cs="Times New Roman"/>
          <w:color w:val="000000" w:themeColor="text1"/>
          <w:lang w:eastAsia="zh-CN"/>
          <w14:textFill>
            <w14:solidFill>
              <w14:schemeClr w14:val="tx1"/>
            </w14:solidFill>
          </w14:textFill>
        </w:rPr>
        <w:t>26.0001</w:t>
      </w:r>
      <w:r>
        <w:rPr>
          <w:rFonts w:hint="default" w:ascii="Times New Roman" w:hAnsi="Times New Roman" w:eastAsia="仿宋_GB2312" w:cs="Times New Roman"/>
          <w:color w:val="000000" w:themeColor="text1"/>
          <w14:textFill>
            <w14:solidFill>
              <w14:schemeClr w14:val="tx1"/>
            </w14:solidFill>
          </w14:textFill>
        </w:rPr>
        <w:t>公顷，第二年计划实施面积</w:t>
      </w:r>
      <w:r>
        <w:rPr>
          <w:rFonts w:hint="eastAsia" w:eastAsia="仿宋_GB2312" w:cs="Times New Roman"/>
          <w:color w:val="000000" w:themeColor="text1"/>
          <w:lang w:eastAsia="zh-CN"/>
          <w14:textFill>
            <w14:solidFill>
              <w14:schemeClr w14:val="tx1"/>
            </w14:solidFill>
          </w14:textFill>
        </w:rPr>
        <w:t>81.6293</w:t>
      </w:r>
      <w:r>
        <w:rPr>
          <w:rFonts w:hint="default" w:ascii="Times New Roman" w:hAnsi="Times New Roman" w:eastAsia="仿宋_GB2312" w:cs="Times New Roman"/>
          <w:color w:val="000000" w:themeColor="text1"/>
          <w14:textFill>
            <w14:solidFill>
              <w14:schemeClr w14:val="tx1"/>
            </w14:solidFill>
          </w14:textFill>
        </w:rPr>
        <w:t>公顷。</w:t>
      </w:r>
    </w:p>
    <w:p>
      <w:pPr>
        <w:pStyle w:val="3"/>
        <w:spacing w:line="360" w:lineRule="auto"/>
        <w:ind w:left="0" w:firstLine="723" w:firstLineChars="200"/>
        <w:rPr>
          <w:rFonts w:hint="eastAsia" w:ascii="Times New Roman" w:hAnsi="Times New Roman" w:eastAsia="仿宋_GB2312" w:cs="Times New Roman"/>
          <w:bCs w:val="0"/>
          <w:color w:val="000000" w:themeColor="text1"/>
          <w:sz w:val="36"/>
          <w:szCs w:val="36"/>
          <w:lang w:eastAsia="zh-CN"/>
          <w14:textFill>
            <w14:solidFill>
              <w14:schemeClr w14:val="tx1"/>
            </w14:solidFill>
          </w14:textFill>
        </w:rPr>
      </w:pPr>
      <w:r>
        <w:rPr>
          <w:rFonts w:hint="eastAsia" w:eastAsia="仿宋_GB2312" w:cs="Times New Roman"/>
          <w:bCs w:val="0"/>
          <w:color w:val="000000" w:themeColor="text1"/>
          <w:sz w:val="36"/>
          <w:szCs w:val="36"/>
          <w:lang w:eastAsia="zh-CN"/>
          <w14:textFill>
            <w14:solidFill>
              <w14:schemeClr w14:val="tx1"/>
            </w14:solidFill>
          </w14:textFill>
        </w:rPr>
        <w:t>三</w:t>
      </w:r>
      <w:r>
        <w:rPr>
          <w:rFonts w:hint="eastAsia" w:ascii="Times New Roman" w:hAnsi="Times New Roman" w:eastAsia="仿宋_GB2312" w:cs="Times New Roman"/>
          <w:bCs w:val="0"/>
          <w:color w:val="000000" w:themeColor="text1"/>
          <w:sz w:val="36"/>
          <w:szCs w:val="36"/>
          <w14:textFill>
            <w14:solidFill>
              <w14:schemeClr w14:val="tx1"/>
            </w14:solidFill>
          </w14:textFill>
        </w:rPr>
        <w:t>、</w:t>
      </w:r>
      <w:r>
        <w:rPr>
          <w:rFonts w:hint="eastAsia" w:eastAsia="仿宋_GB2312" w:cs="Times New Roman"/>
          <w:bCs w:val="0"/>
          <w:color w:val="000000" w:themeColor="text1"/>
          <w:sz w:val="36"/>
          <w:szCs w:val="36"/>
          <w:lang w:eastAsia="zh-CN"/>
          <w14:textFill>
            <w14:solidFill>
              <w14:schemeClr w14:val="tx1"/>
            </w14:solidFill>
          </w14:textFill>
        </w:rPr>
        <w:t>公益性用地分析</w:t>
      </w:r>
    </w:p>
    <w:p>
      <w:pPr>
        <w:keepNext w:val="0"/>
        <w:keepLines w:val="0"/>
        <w:pageBreakBefore w:val="0"/>
        <w:widowControl/>
        <w:kinsoku/>
        <w:wordWrap/>
        <w:overflowPunct/>
        <w:topLinePunct w:val="0"/>
        <w:autoSpaceDE/>
        <w:autoSpaceDN/>
        <w:bidi w:val="0"/>
        <w:adjustRightInd/>
        <w:snapToGrid/>
        <w:spacing w:before="0" w:after="0"/>
        <w:ind w:firstLine="560"/>
        <w:jc w:val="both"/>
        <w:textAlignment w:val="auto"/>
        <w:rPr>
          <w:rFonts w:hint="eastAsia" w:eastAsia="仿宋_GB2312" w:cs="Times New Roman"/>
          <w:color w:val="000000" w:themeColor="text1"/>
          <w:lang w:val="en-US" w:eastAsia="zh-CN"/>
          <w14:textFill>
            <w14:solidFill>
              <w14:schemeClr w14:val="tx1"/>
            </w14:solidFill>
          </w14:textFill>
        </w:rPr>
      </w:pPr>
      <w:r>
        <w:rPr>
          <w:rFonts w:hint="eastAsia" w:eastAsia="仿宋_GB2312" w:cs="Times New Roman"/>
          <w:color w:val="000000" w:themeColor="text1"/>
          <w:lang w:val="en-US" w:eastAsia="zh-CN"/>
          <w14:textFill>
            <w14:solidFill>
              <w14:schemeClr w14:val="tx1"/>
            </w14:solidFill>
          </w14:textFill>
        </w:rPr>
        <w:t>成片开发范围内公益性用地包括城镇道路用地、供电用地、消防用地等基础设施用地，教育用地、广场用地等公共服务设施用地，以及防护绿地等其他公益性用地。公益性用地总面积71.8855公顷，占成片开发总面积的40.14%，根据《韶关市国土空间总体规划（2021-2035年）》，本次划定的土地征收成片开发范围基础设施、公共服务设施和其他公益性用地比例不低于40%，符合</w:t>
      </w:r>
      <w:r>
        <w:rPr>
          <w:rFonts w:hint="eastAsia" w:ascii="Times New Roman" w:hAnsi="Times New Roman" w:eastAsia="仿宋_GB2312" w:cs="Times New Roman"/>
          <w:color w:val="000000" w:themeColor="text1"/>
          <w:lang w:val="en-US" w:eastAsia="zh-CN"/>
          <w14:textFill>
            <w14:solidFill>
              <w14:schemeClr w14:val="tx1"/>
            </w14:solidFill>
          </w14:textFill>
        </w:rPr>
        <w:t>《土地征收成片开发标准》（自然资规〔2023〕7 号）</w:t>
      </w:r>
      <w:r>
        <w:rPr>
          <w:rFonts w:hint="eastAsia" w:eastAsia="仿宋_GB2312" w:cs="Times New Roman"/>
          <w:color w:val="000000" w:themeColor="text1"/>
          <w:lang w:val="en-US" w:eastAsia="zh-CN"/>
          <w14:textFill>
            <w14:solidFill>
              <w14:schemeClr w14:val="tx1"/>
            </w14:solidFill>
          </w14:textFill>
        </w:rPr>
        <w:t>等有关公益性要求。</w:t>
      </w:r>
    </w:p>
    <w:p>
      <w:pPr>
        <w:pStyle w:val="3"/>
        <w:spacing w:line="360" w:lineRule="auto"/>
        <w:ind w:left="0" w:firstLine="723" w:firstLineChars="200"/>
        <w:rPr>
          <w:rFonts w:hint="eastAsia" w:ascii="Times New Roman" w:hAnsi="Times New Roman" w:eastAsia="仿宋_GB2312" w:cs="Times New Roman"/>
          <w:bCs w:val="0"/>
          <w:color w:val="000000" w:themeColor="text1"/>
          <w:sz w:val="36"/>
          <w:szCs w:val="36"/>
          <w:lang w:eastAsia="zh-CN"/>
          <w14:textFill>
            <w14:solidFill>
              <w14:schemeClr w14:val="tx1"/>
            </w14:solidFill>
          </w14:textFill>
        </w:rPr>
      </w:pPr>
      <w:bookmarkStart w:id="17" w:name="_Toc27961"/>
      <w:bookmarkStart w:id="18" w:name="_Toc79948079"/>
      <w:bookmarkStart w:id="19" w:name="_Toc27636"/>
      <w:r>
        <w:rPr>
          <w:rFonts w:hint="eastAsia" w:eastAsia="仿宋_GB2312" w:cs="Times New Roman"/>
          <w:color w:val="000000" w:themeColor="text1"/>
          <w:sz w:val="36"/>
          <w:szCs w:val="36"/>
          <w:lang w:eastAsia="zh-CN"/>
          <w14:textFill>
            <w14:solidFill>
              <w14:schemeClr w14:val="tx1"/>
            </w14:solidFill>
          </w14:textFill>
        </w:rPr>
        <w:t>四</w:t>
      </w:r>
      <w:r>
        <w:rPr>
          <w:rFonts w:hint="eastAsia" w:ascii="Times New Roman" w:hAnsi="Times New Roman" w:eastAsia="仿宋_GB2312" w:cs="Times New Roman"/>
          <w:bCs w:val="0"/>
          <w:color w:val="000000" w:themeColor="text1"/>
          <w:sz w:val="36"/>
          <w:szCs w:val="36"/>
          <w14:textFill>
            <w14:solidFill>
              <w14:schemeClr w14:val="tx1"/>
            </w14:solidFill>
          </w14:textFill>
        </w:rPr>
        <w:t>、</w:t>
      </w:r>
      <w:bookmarkEnd w:id="17"/>
      <w:bookmarkEnd w:id="18"/>
      <w:bookmarkEnd w:id="19"/>
      <w:r>
        <w:rPr>
          <w:rFonts w:hint="eastAsia" w:ascii="Times New Roman" w:hAnsi="Times New Roman" w:eastAsia="仿宋_GB2312" w:cs="Times New Roman"/>
          <w:bCs w:val="0"/>
          <w:color w:val="000000" w:themeColor="text1"/>
          <w:sz w:val="36"/>
          <w:szCs w:val="36"/>
          <w:lang w:eastAsia="zh-CN"/>
          <w14:textFill>
            <w14:solidFill>
              <w14:schemeClr w14:val="tx1"/>
            </w14:solidFill>
          </w14:textFill>
        </w:rPr>
        <w:t>效益</w:t>
      </w:r>
      <w:r>
        <w:rPr>
          <w:rFonts w:hint="eastAsia" w:eastAsia="仿宋_GB2312" w:cs="Times New Roman"/>
          <w:color w:val="000000" w:themeColor="text1"/>
          <w:sz w:val="36"/>
          <w:szCs w:val="36"/>
          <w:lang w:eastAsia="zh-CN"/>
          <w14:textFill>
            <w14:solidFill>
              <w14:schemeClr w14:val="tx1"/>
            </w14:solidFill>
          </w14:textFill>
        </w:rPr>
        <w:t>分析</w:t>
      </w:r>
    </w:p>
    <w:p>
      <w:pPr>
        <w:pStyle w:val="4"/>
        <w:widowControl/>
        <w:spacing w:before="0" w:after="0" w:line="360" w:lineRule="auto"/>
        <w:ind w:left="0" w:firstLine="643" w:firstLineChars="200"/>
        <w:jc w:val="left"/>
        <w:rPr>
          <w:rFonts w:hint="default" w:ascii="Times New Roman" w:hAnsi="Times New Roman" w:eastAsia="仿宋_GB2312" w:cs="Times New Roman"/>
          <w:color w:val="000000" w:themeColor="text1"/>
          <w14:textFill>
            <w14:solidFill>
              <w14:schemeClr w14:val="tx1"/>
            </w14:solidFill>
          </w14:textFill>
        </w:rPr>
      </w:pPr>
      <w:bookmarkStart w:id="20" w:name="_Toc22233"/>
      <w:bookmarkStart w:id="21" w:name="_Toc79948084"/>
      <w:bookmarkStart w:id="22" w:name="_Toc22406"/>
      <w:bookmarkStart w:id="23" w:name="_Toc79948083"/>
      <w:bookmarkStart w:id="24" w:name="_Toc86963789"/>
      <w:bookmarkStart w:id="25" w:name="_Toc2155"/>
      <w:bookmarkStart w:id="26" w:name="_Toc79948080"/>
      <w:r>
        <w:rPr>
          <w:rFonts w:hint="default" w:ascii="Times New Roman" w:hAnsi="Times New Roman" w:eastAsia="仿宋_GB2312" w:cs="Times New Roman"/>
          <w:color w:val="000000" w:themeColor="text1"/>
          <w14:textFill>
            <w14:solidFill>
              <w14:schemeClr w14:val="tx1"/>
            </w14:solidFill>
          </w14:textFill>
        </w:rPr>
        <w:t>（一）</w:t>
      </w:r>
      <w:bookmarkEnd w:id="20"/>
      <w:r>
        <w:rPr>
          <w:rFonts w:hint="default" w:ascii="Times New Roman" w:hAnsi="Times New Roman" w:eastAsia="仿宋_GB2312" w:cs="Times New Roman"/>
          <w:color w:val="000000" w:themeColor="text1"/>
          <w:lang w:eastAsia="zh-CN"/>
          <w14:textFill>
            <w14:solidFill>
              <w14:schemeClr w14:val="tx1"/>
            </w14:solidFill>
          </w14:textFill>
        </w:rPr>
        <w:t>土地利用效益</w:t>
      </w:r>
    </w:p>
    <w:p>
      <w:pPr>
        <w:keepNext w:val="0"/>
        <w:keepLines w:val="0"/>
        <w:pageBreakBefore w:val="0"/>
        <w:widowControl w:val="0"/>
        <w:kinsoku/>
        <w:wordWrap/>
        <w:overflowPunct/>
        <w:topLinePunct w:val="0"/>
        <w:autoSpaceDE/>
        <w:autoSpaceDN/>
        <w:bidi w:val="0"/>
        <w:adjustRightInd/>
        <w:snapToGrid/>
        <w:spacing w:before="0" w:after="0"/>
        <w:ind w:firstLine="560"/>
        <w:jc w:val="both"/>
        <w:textAlignment w:val="auto"/>
        <w:rPr>
          <w:rFonts w:hint="eastAsia" w:ascii="仿宋" w:hAnsi="仿宋" w:eastAsia="仿宋_GB2312" w:cs="仿宋"/>
          <w:color w:val="000000" w:themeColor="text1"/>
          <w:lang w:eastAsia="zh-CN"/>
          <w14:textFill>
            <w14:solidFill>
              <w14:schemeClr w14:val="tx1"/>
            </w14:solidFill>
          </w14:textFill>
        </w:rPr>
      </w:pPr>
      <w:r>
        <w:rPr>
          <w:rFonts w:hint="eastAsia" w:ascii="仿宋" w:hAnsi="仿宋" w:eastAsia="仿宋_GB2312" w:cs="仿宋"/>
          <w:color w:val="000000" w:themeColor="text1"/>
          <w:lang w:eastAsia="zh-CN"/>
          <w14:textFill>
            <w14:solidFill>
              <w14:schemeClr w14:val="tx1"/>
            </w14:solidFill>
          </w14:textFill>
        </w:rPr>
        <w:t>本次土地征收成片开发方案，将有助于优化犁市镇石下片区、犁市镇犁市片区、犁市镇黄沙片区、新韶镇东联片区、新韶镇石山片区的建设用地空间格局，提高土地节约集约利用水平，促进存量土地再开发，实现土地资源的合理配置。</w:t>
      </w:r>
    </w:p>
    <w:p>
      <w:pPr>
        <w:spacing w:before="0" w:after="0"/>
        <w:outlineLvl w:val="9"/>
        <w:rPr>
          <w:rFonts w:hint="eastAsia" w:ascii="仿宋" w:hAnsi="仿宋" w:eastAsia="仿宋_GB2312" w:cs="仿宋"/>
          <w:b w:val="0"/>
          <w:bCs w:val="0"/>
          <w:color w:val="000000" w:themeColor="text1"/>
          <w:sz w:val="28"/>
          <w:szCs w:val="22"/>
          <w:lang w:eastAsia="zh-CN"/>
          <w14:textFill>
            <w14:solidFill>
              <w14:schemeClr w14:val="tx1"/>
            </w14:solidFill>
          </w14:textFill>
        </w:rPr>
      </w:pPr>
      <w:r>
        <w:rPr>
          <w:rFonts w:hint="eastAsia" w:ascii="仿宋" w:hAnsi="仿宋" w:eastAsia="仿宋_GB2312" w:cs="仿宋"/>
          <w:b w:val="0"/>
          <w:bCs w:val="0"/>
          <w:color w:val="000000" w:themeColor="text1"/>
          <w:sz w:val="28"/>
          <w:szCs w:val="22"/>
          <w:lang w:eastAsia="zh-CN"/>
          <w14:textFill>
            <w14:solidFill>
              <w14:schemeClr w14:val="tx1"/>
            </w14:solidFill>
          </w14:textFill>
        </w:rPr>
        <w:t>在规划布局方面，本次成片开发规划用地符合《</w:t>
      </w:r>
      <w:r>
        <w:rPr>
          <w:rFonts w:hint="eastAsia" w:ascii="仿宋" w:hAnsi="仿宋" w:eastAsia="仿宋_GB2312" w:cs="仿宋"/>
          <w:b w:val="0"/>
          <w:bCs w:val="0"/>
          <w:color w:val="000000" w:themeColor="text1"/>
          <w:sz w:val="28"/>
          <w:szCs w:val="22"/>
          <w:lang w:val="en-US" w:eastAsia="zh-CN"/>
          <w14:textFill>
            <w14:solidFill>
              <w14:schemeClr w14:val="tx1"/>
            </w14:solidFill>
          </w14:textFill>
        </w:rPr>
        <w:t>韶关</w:t>
      </w:r>
      <w:r>
        <w:rPr>
          <w:rFonts w:hint="eastAsia" w:ascii="仿宋" w:hAnsi="仿宋" w:eastAsia="仿宋_GB2312" w:cs="仿宋"/>
          <w:b w:val="0"/>
          <w:bCs w:val="0"/>
          <w:color w:val="000000" w:themeColor="text1"/>
          <w:sz w:val="28"/>
          <w:szCs w:val="22"/>
          <w:lang w:eastAsia="zh-CN"/>
          <w14:textFill>
            <w14:solidFill>
              <w14:schemeClr w14:val="tx1"/>
            </w14:solidFill>
          </w14:textFill>
        </w:rPr>
        <w:t>市国土空间总体规划（</w:t>
      </w:r>
      <w:r>
        <w:rPr>
          <w:rFonts w:hint="eastAsia" w:ascii="Times New Roman" w:hAnsi="Times New Roman" w:eastAsia="仿宋_GB2312" w:cs="Times New Roman"/>
          <w:b w:val="0"/>
          <w:bCs w:val="0"/>
          <w:color w:val="000000" w:themeColor="text1"/>
          <w:sz w:val="28"/>
          <w:szCs w:val="22"/>
          <w:lang w:eastAsia="zh-CN"/>
          <w14:textFill>
            <w14:solidFill>
              <w14:schemeClr w14:val="tx1"/>
            </w14:solidFill>
          </w14:textFill>
        </w:rPr>
        <w:t>2021</w:t>
      </w:r>
      <w:r>
        <w:rPr>
          <w:rFonts w:hint="eastAsia" w:ascii="仿宋" w:hAnsi="仿宋" w:eastAsia="仿宋_GB2312" w:cs="仿宋"/>
          <w:b w:val="0"/>
          <w:bCs w:val="0"/>
          <w:color w:val="000000" w:themeColor="text1"/>
          <w:sz w:val="28"/>
          <w:szCs w:val="22"/>
          <w:lang w:eastAsia="zh-CN"/>
          <w14:textFill>
            <w14:solidFill>
              <w14:schemeClr w14:val="tx1"/>
            </w14:solidFill>
          </w14:textFill>
        </w:rPr>
        <w:t>-</w:t>
      </w:r>
      <w:r>
        <w:rPr>
          <w:rFonts w:hint="default" w:ascii="Times New Roman" w:hAnsi="Times New Roman" w:eastAsia="仿宋_GB2312" w:cs="Times New Roman"/>
          <w:b w:val="0"/>
          <w:bCs w:val="0"/>
          <w:color w:val="000000" w:themeColor="text1"/>
          <w:sz w:val="28"/>
          <w:szCs w:val="22"/>
          <w:lang w:eastAsia="zh-CN"/>
          <w14:textFill>
            <w14:solidFill>
              <w14:schemeClr w14:val="tx1"/>
            </w14:solidFill>
          </w14:textFill>
        </w:rPr>
        <w:t>2035</w:t>
      </w:r>
      <w:r>
        <w:rPr>
          <w:rFonts w:hint="eastAsia" w:ascii="仿宋" w:hAnsi="仿宋" w:eastAsia="仿宋_GB2312" w:cs="仿宋"/>
          <w:b w:val="0"/>
          <w:bCs w:val="0"/>
          <w:color w:val="000000" w:themeColor="text1"/>
          <w:sz w:val="28"/>
          <w:szCs w:val="22"/>
          <w:lang w:eastAsia="zh-CN"/>
          <w14:textFill>
            <w14:solidFill>
              <w14:schemeClr w14:val="tx1"/>
            </w14:solidFill>
          </w14:textFill>
        </w:rPr>
        <w:t>年）》要求，能够科学合理布局各类用地、优化区域功能结构。</w:t>
      </w:r>
    </w:p>
    <w:p>
      <w:pPr>
        <w:keepNext w:val="0"/>
        <w:keepLines w:val="0"/>
        <w:pageBreakBefore w:val="0"/>
        <w:widowControl w:val="0"/>
        <w:kinsoku/>
        <w:wordWrap/>
        <w:overflowPunct/>
        <w:topLinePunct w:val="0"/>
        <w:autoSpaceDE/>
        <w:autoSpaceDN/>
        <w:bidi w:val="0"/>
        <w:adjustRightInd/>
        <w:snapToGrid/>
        <w:spacing w:before="0" w:after="0"/>
        <w:ind w:firstLine="560"/>
        <w:jc w:val="both"/>
        <w:textAlignment w:val="auto"/>
      </w:pPr>
      <w:r>
        <w:rPr>
          <w:rFonts w:hint="eastAsia" w:ascii="仿宋" w:hAnsi="仿宋" w:eastAsia="仿宋_GB2312" w:cs="仿宋"/>
          <w:color w:val="000000" w:themeColor="text1"/>
          <w:lang w:eastAsia="zh-CN"/>
          <w14:textFill>
            <w14:solidFill>
              <w14:schemeClr w14:val="tx1"/>
            </w14:solidFill>
          </w14:textFill>
        </w:rPr>
        <w:t>通过科学合理的成片开发建设，有助于提高浈江区土地的集约节约利用水平，优化片区产业发展结构和建设用地空间布局，推动新旧动能转化，为浈江区实施“百千万工程”、推动浈江区高质量发展提供强有力的土地要素保障。</w:t>
      </w:r>
    </w:p>
    <w:bookmarkEnd w:id="21"/>
    <w:bookmarkEnd w:id="22"/>
    <w:bookmarkEnd w:id="23"/>
    <w:bookmarkEnd w:id="24"/>
    <w:p>
      <w:pPr>
        <w:pStyle w:val="4"/>
        <w:widowControl/>
        <w:spacing w:before="0" w:after="0" w:line="360" w:lineRule="auto"/>
        <w:ind w:left="0" w:firstLine="643" w:firstLineChars="200"/>
        <w:jc w:val="left"/>
        <w:rPr>
          <w:rFonts w:hint="default" w:ascii="Times New Roman" w:hAnsi="Times New Roman" w:eastAsia="仿宋_GB2312" w:cs="Times New Roman"/>
          <w:color w:val="000000" w:themeColor="text1"/>
          <w:lang w:eastAsia="zh-CN"/>
          <w14:textFill>
            <w14:solidFill>
              <w14:schemeClr w14:val="tx1"/>
            </w14:solidFill>
          </w14:textFill>
        </w:rPr>
      </w:pPr>
      <w:r>
        <w:rPr>
          <w:rFonts w:hint="default" w:ascii="Times New Roman" w:hAnsi="Times New Roman" w:eastAsia="仿宋_GB2312" w:cs="Times New Roman"/>
          <w:color w:val="000000" w:themeColor="text1"/>
          <w:lang w:val="en-US" w:eastAsia="zh-CN"/>
          <w14:textFill>
            <w14:solidFill>
              <w14:schemeClr w14:val="tx1"/>
            </w14:solidFill>
          </w14:textFill>
        </w:rPr>
        <w:t>（二）</w:t>
      </w:r>
      <w:r>
        <w:rPr>
          <w:rFonts w:hint="default" w:ascii="Times New Roman" w:hAnsi="Times New Roman" w:eastAsia="仿宋_GB2312" w:cs="Times New Roman"/>
          <w:color w:val="000000" w:themeColor="text1"/>
          <w:lang w:eastAsia="zh-CN"/>
          <w14:textFill>
            <w14:solidFill>
              <w14:schemeClr w14:val="tx1"/>
            </w14:solidFill>
          </w14:textFill>
        </w:rPr>
        <w:t>经济效益</w:t>
      </w:r>
      <w:bookmarkEnd w:id="25"/>
      <w:bookmarkEnd w:id="26"/>
    </w:p>
    <w:p>
      <w:pPr>
        <w:keepNext w:val="0"/>
        <w:keepLines w:val="0"/>
        <w:pageBreakBefore w:val="0"/>
        <w:widowControl w:val="0"/>
        <w:kinsoku/>
        <w:wordWrap/>
        <w:overflowPunct/>
        <w:topLinePunct w:val="0"/>
        <w:autoSpaceDE/>
        <w:autoSpaceDN/>
        <w:bidi w:val="0"/>
        <w:adjustRightInd/>
        <w:snapToGrid/>
        <w:spacing w:before="0" w:after="0"/>
        <w:ind w:firstLine="560"/>
        <w:jc w:val="both"/>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次土地征收成片开发方案涉及较大规模的产业用地，且均纳入了《韶关市浈江区国民经济和社会发展第十四个五年规划和二O三五年远景目标纲要》和《韶关市浈江区2023年国民经济和社会发展计划执行情况与2024年国民经济和社会发展计划草案的报告》的重点项目清单。本次成片开发项目的建设，将促进先进制造业产业集聚赋能平台发展，致力产业提升，实现工业园区多元化发展，能够改革优化营商环境，从而推动韶关市浈江区经济高质量发展。</w:t>
      </w:r>
    </w:p>
    <w:p>
      <w:pPr>
        <w:pStyle w:val="4"/>
        <w:widowControl/>
        <w:numPr>
          <w:ilvl w:val="-1"/>
          <w:numId w:val="0"/>
        </w:numPr>
        <w:spacing w:before="0" w:after="0" w:line="360" w:lineRule="auto"/>
        <w:ind w:firstLine="643"/>
        <w:rPr>
          <w:rFonts w:hint="default" w:ascii="Times New Roman" w:hAnsi="Times New Roman" w:eastAsia="仿宋_GB2312" w:cs="Times New Roman"/>
          <w:color w:val="000000" w:themeColor="text1"/>
          <w:lang w:eastAsia="zh-CN"/>
          <w14:textFill>
            <w14:solidFill>
              <w14:schemeClr w14:val="tx1"/>
            </w14:solidFill>
          </w14:textFill>
        </w:rPr>
      </w:pPr>
      <w:bookmarkStart w:id="27" w:name="_Toc69918973"/>
      <w:bookmarkStart w:id="28" w:name="_Toc22868"/>
      <w:bookmarkStart w:id="29" w:name="_Toc69918879"/>
      <w:bookmarkStart w:id="30" w:name="_Toc6479"/>
      <w:bookmarkStart w:id="31" w:name="_Toc23977"/>
      <w:r>
        <w:rPr>
          <w:rFonts w:hint="default" w:ascii="Times New Roman" w:hAnsi="Times New Roman" w:eastAsia="仿宋_GB2312" w:cs="Times New Roman"/>
          <w:color w:val="000000" w:themeColor="text1"/>
          <w:lang w:eastAsia="zh-CN"/>
          <w14:textFill>
            <w14:solidFill>
              <w14:schemeClr w14:val="tx1"/>
            </w14:solidFill>
          </w14:textFill>
        </w:rPr>
        <w:t>（三）社会效益</w:t>
      </w:r>
      <w:bookmarkEnd w:id="27"/>
      <w:bookmarkEnd w:id="28"/>
      <w:bookmarkEnd w:id="29"/>
      <w:bookmarkEnd w:id="30"/>
      <w:bookmarkEnd w:id="31"/>
    </w:p>
    <w:p>
      <w:pPr>
        <w:keepNext w:val="0"/>
        <w:keepLines w:val="0"/>
        <w:pageBreakBefore w:val="0"/>
        <w:widowControl/>
        <w:kinsoku/>
        <w:wordWrap/>
        <w:overflowPunct/>
        <w:topLinePunct w:val="0"/>
        <w:autoSpaceDE/>
        <w:autoSpaceDN/>
        <w:bidi w:val="0"/>
        <w:adjustRightInd/>
        <w:snapToGrid/>
        <w:spacing w:before="0" w:after="0"/>
        <w:ind w:left="0" w:leftChars="0" w:firstLine="560" w:firstLineChars="200"/>
        <w:jc w:val="both"/>
        <w:textAlignment w:val="auto"/>
        <w:rPr>
          <w:rFonts w:hint="default" w:ascii="Times New Roman" w:hAnsi="Times New Roman" w:eastAsia="仿宋_GB2312" w:cs="Times New Roman"/>
          <w:color w:val="000000" w:themeColor="text1"/>
          <w14:textFill>
            <w14:solidFill>
              <w14:schemeClr w14:val="tx1"/>
            </w14:solidFill>
          </w14:textFill>
        </w:rPr>
      </w:pPr>
      <w:bookmarkStart w:id="32" w:name="_Toc28488"/>
      <w:bookmarkStart w:id="33" w:name="_Toc69918880"/>
      <w:bookmarkStart w:id="34" w:name="_Toc7553"/>
      <w:bookmarkStart w:id="35" w:name="_Toc18774"/>
      <w:bookmarkStart w:id="36" w:name="_Toc69918974"/>
      <w:r>
        <w:rPr>
          <w:rFonts w:hint="default" w:ascii="Times New Roman" w:hAnsi="Times New Roman" w:eastAsia="仿宋_GB2312" w:cs="Times New Roman"/>
          <w:color w:val="000000" w:themeColor="text1"/>
          <w14:textFill>
            <w14:solidFill>
              <w14:schemeClr w14:val="tx1"/>
            </w14:solidFill>
          </w14:textFill>
        </w:rPr>
        <w:t>本次土地征收成片开发</w:t>
      </w:r>
      <w:r>
        <w:rPr>
          <w:rFonts w:hint="eastAsia" w:ascii="仿宋" w:hAnsi="仿宋" w:eastAsia="仿宋_GB2312" w:cs="仿宋"/>
          <w:color w:val="000000" w:themeColor="text1"/>
          <w:lang w:val="en-US" w:eastAsia="zh-CN"/>
          <w14:textFill>
            <w14:solidFill>
              <w14:schemeClr w14:val="tx1"/>
            </w14:solidFill>
          </w14:textFill>
        </w:rPr>
        <w:t>项目</w:t>
      </w:r>
      <w:r>
        <w:rPr>
          <w:rFonts w:hint="eastAsia" w:ascii="仿宋" w:hAnsi="仿宋" w:eastAsia="仿宋_GB2312" w:cs="仿宋"/>
          <w:color w:val="000000" w:themeColor="text1"/>
          <w:lang w:eastAsia="zh-CN"/>
          <w14:textFill>
            <w14:solidFill>
              <w14:schemeClr w14:val="tx1"/>
            </w14:solidFill>
          </w14:textFill>
        </w:rPr>
        <w:t>的建设能够优化浈江区产业结构和产业空间布局，吸引企业入驻，将带动地方人才发展，产生更多的就业机会和工作岗位，缓解本地居民就业压力，提高当地居民收入水平。市政道路的配套建设，有利于优化浈江区的交通网络，畅通浈江区各片区的沟通与联系，有助于提升居民生活的便利度与满意度；绿地的建设，可以为居民提供大量的休闲活动空间，提升居民生活幸福感；公服配套设施的建设，进一步方便了居民的生活。</w:t>
      </w:r>
    </w:p>
    <w:p>
      <w:pPr>
        <w:pStyle w:val="4"/>
        <w:widowControl/>
        <w:numPr>
          <w:ilvl w:val="0"/>
          <w:numId w:val="0"/>
        </w:numPr>
        <w:spacing w:before="0" w:after="0" w:line="360" w:lineRule="auto"/>
        <w:ind w:firstLine="643" w:firstLineChars="0"/>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（四）生态效益</w:t>
      </w:r>
      <w:bookmarkEnd w:id="32"/>
      <w:bookmarkEnd w:id="33"/>
      <w:bookmarkEnd w:id="34"/>
      <w:bookmarkEnd w:id="35"/>
      <w:bookmarkEnd w:id="36"/>
    </w:p>
    <w:p>
      <w:pPr>
        <w:keepNext w:val="0"/>
        <w:keepLines w:val="0"/>
        <w:pageBreakBefore w:val="0"/>
        <w:widowControl w:val="0"/>
        <w:kinsoku/>
        <w:wordWrap/>
        <w:overflowPunct/>
        <w:topLinePunct w:val="0"/>
        <w:autoSpaceDE/>
        <w:autoSpaceDN/>
        <w:bidi w:val="0"/>
        <w:adjustRightInd/>
        <w:snapToGrid/>
        <w:spacing w:before="0" w:after="0"/>
        <w:ind w:right="0" w:firstLine="560"/>
        <w:jc w:val="both"/>
        <w:textAlignment w:val="auto"/>
        <w:rPr>
          <w:rFonts w:hint="eastAsia" w:ascii="仿宋" w:hAnsi="仿宋" w:eastAsia="仿宋_GB2312" w:cs="仿宋"/>
          <w:color w:val="000000" w:themeColor="text1"/>
          <w:lang w:eastAsia="zh-CN"/>
          <w14:textFill>
            <w14:solidFill>
              <w14:schemeClr w14:val="tx1"/>
            </w14:solidFill>
          </w14:textFill>
        </w:rPr>
      </w:pPr>
      <w:r>
        <w:rPr>
          <w:rFonts w:hint="eastAsia" w:ascii="仿宋" w:hAnsi="仿宋" w:eastAsia="仿宋_GB2312" w:cs="仿宋"/>
          <w:color w:val="000000" w:themeColor="text1"/>
          <w:lang w:eastAsia="zh-CN"/>
          <w14:textFill>
            <w14:solidFill>
              <w14:schemeClr w14:val="tx1"/>
            </w14:solidFill>
          </w14:textFill>
        </w:rPr>
        <w:t>本方案坚持绿色发展理念，成片开发范围不涉及生态保护红线、自然保护区核心区和缓冲区、水源保护区核心区、地质灾害易发区等环境敏感区域。结合项目类型采取有效的环境影响保护控制及削减措施，避免对区域大气环境、生态环境、地下水环境、土壤环境产生超出环境容量的影响，减少对区域生态环境品质产生的不利影响。</w:t>
      </w:r>
    </w:p>
    <w:bookmarkEnd w:id="14"/>
    <w:bookmarkEnd w:id="15"/>
    <w:bookmarkEnd w:id="16"/>
    <w:p>
      <w:pPr>
        <w:pStyle w:val="3"/>
        <w:spacing w:line="360" w:lineRule="auto"/>
        <w:ind w:left="0" w:firstLine="723" w:firstLineChars="200"/>
        <w:rPr>
          <w:rFonts w:hint="eastAsia" w:ascii="Times New Roman" w:hAnsi="Times New Roman" w:eastAsia="仿宋_GB2312" w:cs="Times New Roman"/>
          <w:color w:val="000000" w:themeColor="text1"/>
          <w:sz w:val="36"/>
          <w:szCs w:val="36"/>
          <w:lang w:eastAsia="zh-CN"/>
          <w14:textFill>
            <w14:solidFill>
              <w14:schemeClr w14:val="tx1"/>
            </w14:solidFill>
          </w14:textFill>
        </w:rPr>
      </w:pPr>
      <w:bookmarkStart w:id="37" w:name="_Toc31542"/>
      <w:bookmarkStart w:id="38" w:name="_Toc30668"/>
      <w:bookmarkStart w:id="39" w:name="_Toc79948076"/>
      <w:r>
        <w:rPr>
          <w:rFonts w:hint="eastAsia" w:ascii="Times New Roman" w:hAnsi="Times New Roman" w:eastAsia="仿宋_GB2312" w:cs="Times New Roman"/>
          <w:color w:val="000000" w:themeColor="text1"/>
          <w:sz w:val="36"/>
          <w:szCs w:val="36"/>
          <w14:textFill>
            <w14:solidFill>
              <w14:schemeClr w14:val="tx1"/>
            </w14:solidFill>
          </w14:textFill>
        </w:rPr>
        <w:t>五、</w:t>
      </w:r>
      <w:bookmarkEnd w:id="37"/>
      <w:bookmarkEnd w:id="38"/>
      <w:bookmarkEnd w:id="39"/>
      <w:r>
        <w:rPr>
          <w:rFonts w:hint="eastAsia" w:eastAsia="仿宋_GB2312" w:cs="Times New Roman"/>
          <w:color w:val="000000" w:themeColor="text1"/>
          <w:sz w:val="36"/>
          <w:szCs w:val="36"/>
          <w:lang w:eastAsia="zh-CN"/>
          <w14:textFill>
            <w14:solidFill>
              <w14:schemeClr w14:val="tx1"/>
            </w14:solidFill>
          </w14:textFill>
        </w:rPr>
        <w:t>权益保障</w:t>
      </w:r>
    </w:p>
    <w:p>
      <w:pPr>
        <w:keepNext w:val="0"/>
        <w:keepLines w:val="0"/>
        <w:pageBreakBefore w:val="0"/>
        <w:widowControl w:val="0"/>
        <w:kinsoku/>
        <w:wordWrap/>
        <w:overflowPunct/>
        <w:topLinePunct w:val="0"/>
        <w:autoSpaceDE/>
        <w:autoSpaceDN/>
        <w:bidi w:val="0"/>
        <w:adjustRightInd/>
        <w:snapToGrid/>
        <w:spacing w:before="0" w:after="0"/>
        <w:ind w:firstLine="560"/>
        <w:jc w:val="both"/>
        <w:textAlignment w:val="auto"/>
        <w:rPr>
          <w:rFonts w:hint="eastAsia" w:eastAsia="仿宋_GB2312"/>
          <w:color w:val="000000" w:themeColor="text1"/>
          <w:lang w:eastAsia="zh-CN"/>
          <w14:textFill>
            <w14:solidFill>
              <w14:schemeClr w14:val="tx1"/>
            </w14:solidFill>
          </w14:textFill>
        </w:rPr>
      </w:pPr>
      <w:r>
        <w:rPr>
          <w:rFonts w:hint="eastAsia" w:eastAsia="仿宋_GB2312"/>
          <w:color w:val="000000" w:themeColor="text1"/>
          <w:lang w:eastAsia="zh-CN"/>
          <w14:textFill>
            <w14:solidFill>
              <w14:schemeClr w14:val="tx1"/>
            </w14:solidFill>
          </w14:textFill>
        </w:rPr>
        <w:t>《方案》经批准后，将在实施征地阶段严格履行征地程序，做好征地补偿安置工作，确保被征地农民原有生活水平不降低、长远生计有保障。</w:t>
      </w:r>
    </w:p>
    <w:p>
      <w:pPr>
        <w:keepNext w:val="0"/>
        <w:keepLines w:val="0"/>
        <w:pageBreakBefore w:val="0"/>
        <w:widowControl w:val="0"/>
        <w:kinsoku/>
        <w:wordWrap/>
        <w:overflowPunct/>
        <w:topLinePunct w:val="0"/>
        <w:autoSpaceDE/>
        <w:autoSpaceDN/>
        <w:bidi w:val="0"/>
        <w:adjustRightInd/>
        <w:snapToGrid/>
        <w:spacing w:before="0" w:after="0"/>
        <w:ind w:firstLine="560"/>
        <w:jc w:val="both"/>
        <w:textAlignment w:val="auto"/>
        <w:rPr>
          <w:rFonts w:hint="eastAsia" w:eastAsia="仿宋_GB2312"/>
          <w:color w:val="000000" w:themeColor="text1"/>
          <w:lang w:eastAsia="zh-CN"/>
          <w14:textFill>
            <w14:solidFill>
              <w14:schemeClr w14:val="tx1"/>
            </w14:solidFill>
          </w14:textFill>
        </w:rPr>
      </w:pPr>
      <w:r>
        <w:rPr>
          <w:rFonts w:hint="eastAsia" w:ascii="Times New Roman" w:hAnsi="Times New Roman" w:eastAsia="仿宋_GB2312" w:cs="Times New Roman"/>
          <w:color w:val="000000" w:themeColor="text1"/>
          <w:lang w:val="en-US" w:eastAsia="zh-CN"/>
          <w14:textFill>
            <w14:solidFill>
              <w14:schemeClr w14:val="tx1"/>
            </w14:solidFill>
          </w14:textFill>
        </w:rPr>
        <w:t>本次成片开发方案</w:t>
      </w:r>
      <w:r>
        <w:rPr>
          <w:rFonts w:hint="eastAsia" w:eastAsia="仿宋_GB2312" w:cs="Times New Roman"/>
          <w:color w:val="000000" w:themeColor="text1"/>
          <w:lang w:val="en-US" w:eastAsia="zh-CN"/>
          <w14:textFill>
            <w14:solidFill>
              <w14:schemeClr w14:val="tx1"/>
            </w14:solidFill>
          </w14:textFill>
        </w:rPr>
        <w:t>将</w:t>
      </w:r>
      <w:r>
        <w:rPr>
          <w:rFonts w:hint="eastAsia" w:ascii="Times New Roman" w:hAnsi="Times New Roman" w:eastAsia="仿宋_GB2312" w:cs="Times New Roman"/>
          <w:color w:val="000000" w:themeColor="text1"/>
          <w:lang w:val="en-US" w:eastAsia="zh-CN"/>
          <w14:textFill>
            <w14:solidFill>
              <w14:schemeClr w14:val="tx1"/>
            </w14:solidFill>
          </w14:textFill>
        </w:rPr>
        <w:t>进行社会公示，广泛听取人大代表、政协委员、有关专家学者及相关职能部门的意见，征求成片开发范围内集体经济组织和村民的意见，并经集体经济组织成员的村民会议三分之二以上成员或者三分之二以上村民代表同意，保障公众权益。</w:t>
      </w:r>
    </w:p>
    <w:p>
      <w:pPr>
        <w:pStyle w:val="3"/>
        <w:spacing w:line="360" w:lineRule="auto"/>
        <w:ind w:left="0" w:firstLine="723" w:firstLineChars="200"/>
        <w:rPr>
          <w:rFonts w:hint="default" w:ascii="Times New Roman" w:hAnsi="Times New Roman" w:eastAsia="仿宋_GB2312" w:cs="Times New Roman"/>
          <w:color w:val="000000" w:themeColor="text1"/>
          <w:sz w:val="36"/>
          <w:szCs w:val="36"/>
          <w14:textFill>
            <w14:solidFill>
              <w14:schemeClr w14:val="tx1"/>
            </w14:solidFill>
          </w14:textFill>
        </w:rPr>
      </w:pPr>
      <w:bookmarkStart w:id="40" w:name="_Toc79948094"/>
      <w:bookmarkStart w:id="41" w:name="_Toc30349"/>
      <w:bookmarkStart w:id="42" w:name="_Toc10156"/>
      <w:r>
        <w:rPr>
          <w:rFonts w:hint="eastAsia" w:eastAsia="仿宋_GB2312" w:cs="Times New Roman"/>
          <w:color w:val="000000" w:themeColor="text1"/>
          <w:sz w:val="36"/>
          <w:szCs w:val="36"/>
          <w:lang w:eastAsia="zh-CN"/>
          <w14:textFill>
            <w14:solidFill>
              <w14:schemeClr w14:val="tx1"/>
            </w14:solidFill>
          </w14:textFill>
        </w:rPr>
        <w:t>六</w:t>
      </w:r>
      <w:r>
        <w:rPr>
          <w:rFonts w:hint="default" w:ascii="Times New Roman" w:hAnsi="Times New Roman" w:eastAsia="仿宋_GB2312" w:cs="Times New Roman"/>
          <w:color w:val="000000" w:themeColor="text1"/>
          <w:sz w:val="36"/>
          <w:szCs w:val="36"/>
          <w14:textFill>
            <w14:solidFill>
              <w14:schemeClr w14:val="tx1"/>
            </w14:solidFill>
          </w14:textFill>
        </w:rPr>
        <w:t>、结论</w:t>
      </w:r>
      <w:bookmarkEnd w:id="40"/>
      <w:bookmarkEnd w:id="41"/>
      <w:bookmarkEnd w:id="42"/>
    </w:p>
    <w:p>
      <w:pPr>
        <w:keepNext w:val="0"/>
        <w:keepLines w:val="0"/>
        <w:pageBreakBefore w:val="0"/>
        <w:widowControl w:val="0"/>
        <w:kinsoku/>
        <w:wordWrap/>
        <w:overflowPunct/>
        <w:topLinePunct w:val="0"/>
        <w:autoSpaceDE/>
        <w:autoSpaceDN/>
        <w:bidi w:val="0"/>
        <w:adjustRightInd/>
        <w:snapToGrid/>
        <w:spacing w:before="0" w:after="0"/>
        <w:ind w:right="0" w:firstLine="560"/>
        <w:jc w:val="both"/>
        <w:textAlignment w:val="auto"/>
        <w:rPr>
          <w:rFonts w:hint="default" w:ascii="Times New Roman" w:hAnsi="Times New Roman" w:eastAsia="仿宋_GB2312" w:cs="Times New Roman"/>
          <w:color w:val="000000" w:themeColor="text1"/>
          <w14:textFill>
            <w14:solidFill>
              <w14:schemeClr w14:val="tx1"/>
            </w14:solidFill>
          </w14:textFill>
        </w:rPr>
      </w:pPr>
      <w:r>
        <w:rPr>
          <w:rFonts w:hint="default" w:ascii="Times New Roman" w:hAnsi="Times New Roman" w:eastAsia="仿宋_GB2312" w:cs="Times New Roman"/>
          <w:color w:val="000000" w:themeColor="text1"/>
          <w14:textFill>
            <w14:solidFill>
              <w14:schemeClr w14:val="tx1"/>
            </w14:solidFill>
          </w14:textFill>
        </w:rPr>
        <w:t>综上所述，</w:t>
      </w:r>
      <w:r>
        <w:rPr>
          <w:rFonts w:hint="eastAsia" w:eastAsia="仿宋_GB2312" w:cs="Times New Roman"/>
          <w:color w:val="000000" w:themeColor="text1"/>
          <w:lang w:eastAsia="zh-CN"/>
          <w14:textFill>
            <w14:solidFill>
              <w14:schemeClr w14:val="tx1"/>
            </w14:solidFill>
          </w14:textFill>
        </w:rPr>
        <w:t>《韶关市浈江区2024年度土地征收成片开发方案（第二批）》</w:t>
      </w:r>
      <w:r>
        <w:rPr>
          <w:rFonts w:hint="default" w:ascii="Times New Roman" w:hAnsi="Times New Roman" w:eastAsia="仿宋_GB2312" w:cs="Times New Roman"/>
          <w:color w:val="000000" w:themeColor="text1"/>
          <w14:textFill>
            <w14:solidFill>
              <w14:schemeClr w14:val="tx1"/>
            </w14:solidFill>
          </w14:textFill>
        </w:rPr>
        <w:t>符合政策要求、程序规范；土地征收实施计划安排合理、可行性高；成片开发能带来较大的土地利用、经济、社会、生态效益。</w:t>
      </w:r>
      <w:bookmarkStart w:id="43" w:name="_Toc80806104"/>
    </w:p>
    <w:p>
      <w:pPr>
        <w:keepNext w:val="0"/>
        <w:keepLines w:val="0"/>
        <w:pageBreakBefore w:val="0"/>
        <w:widowControl w:val="0"/>
        <w:kinsoku/>
        <w:wordWrap/>
        <w:overflowPunct/>
        <w:topLinePunct w:val="0"/>
        <w:autoSpaceDE/>
        <w:autoSpaceDN/>
        <w:bidi w:val="0"/>
        <w:adjustRightInd/>
        <w:snapToGrid/>
        <w:spacing w:before="0" w:after="0"/>
        <w:ind w:right="0" w:firstLine="560"/>
        <w:jc w:val="both"/>
        <w:textAlignment w:val="auto"/>
        <w:rPr>
          <w:rFonts w:hint="default" w:ascii="Times New Roman" w:hAnsi="Times New Roman" w:eastAsia="仿宋_GB2312" w:cs="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0" w:after="0"/>
        <w:ind w:right="0" w:firstLine="560"/>
        <w:jc w:val="both"/>
        <w:textAlignment w:val="auto"/>
        <w:rPr>
          <w:rFonts w:hint="default" w:ascii="Times New Roman" w:hAnsi="Times New Roman" w:eastAsia="仿宋_GB2312" w:cs="Times New Roman"/>
          <w:color w:val="000000" w:themeColor="text1"/>
          <w14:textFill>
            <w14:solidFill>
              <w14:schemeClr w14:val="tx1"/>
            </w14:solidFill>
          </w14:textFill>
        </w:rPr>
      </w:pPr>
    </w:p>
    <w:p>
      <w:pPr>
        <w:pageBreakBefore w:val="0"/>
        <w:kinsoku/>
        <w:wordWrap/>
        <w:overflowPunct/>
        <w:topLinePunct w:val="0"/>
        <w:bidi w:val="0"/>
        <w:spacing w:before="0" w:after="0"/>
        <w:ind w:left="0" w:leftChars="0" w:right="0" w:firstLine="0"/>
        <w:jc w:val="left"/>
        <w:rPr>
          <w:rFonts w:hint="eastAsia" w:eastAsia="仿宋_GB2312"/>
          <w:b w:val="0"/>
          <w:bCs w:val="0"/>
          <w:color w:val="000000" w:themeColor="text1"/>
          <w:sz w:val="44"/>
          <w:szCs w:val="44"/>
          <w:lang w:val="en-US" w:eastAsia="zh-CN"/>
          <w14:textFill>
            <w14:solidFill>
              <w14:schemeClr w14:val="tx1"/>
            </w14:solidFill>
          </w14:textFill>
        </w:rPr>
      </w:pPr>
      <w:r>
        <w:rPr>
          <w:rFonts w:hint="eastAsia" w:eastAsia="仿宋_GB2312"/>
          <w:b w:val="0"/>
          <w:bCs w:val="0"/>
          <w:color w:val="000000" w:themeColor="text1"/>
          <w:sz w:val="44"/>
          <w:szCs w:val="44"/>
          <w:lang w:val="en-US" w:eastAsia="zh-CN"/>
          <w14:textFill>
            <w14:solidFill>
              <w14:schemeClr w14:val="tx1"/>
            </w14:solidFill>
          </w14:textFill>
        </w:rPr>
        <w:br w:type="page"/>
      </w:r>
    </w:p>
    <w:p>
      <w:pPr>
        <w:pageBreakBefore w:val="0"/>
        <w:kinsoku/>
        <w:wordWrap/>
        <w:overflowPunct/>
        <w:topLinePunct w:val="0"/>
        <w:bidi w:val="0"/>
        <w:spacing w:before="0" w:after="0"/>
        <w:ind w:left="0" w:leftChars="0" w:right="0" w:firstLine="0" w:firstLineChars="0"/>
        <w:jc w:val="both"/>
        <w:outlineLvl w:val="0"/>
        <w:rPr>
          <w:rFonts w:hint="default" w:eastAsia="仿宋_GB2312"/>
          <w:b w:val="0"/>
          <w:bCs w:val="0"/>
          <w:color w:val="000000" w:themeColor="text1"/>
          <w:sz w:val="44"/>
          <w:szCs w:val="44"/>
          <w:lang w:val="en-US" w:eastAsia="zh-CN"/>
          <w14:textFill>
            <w14:solidFill>
              <w14:schemeClr w14:val="tx1"/>
            </w14:solidFill>
          </w14:textFill>
        </w:rPr>
      </w:pPr>
      <w:r>
        <w:rPr>
          <w:rFonts w:hint="eastAsia" w:eastAsia="仿宋_GB2312"/>
          <w:b w:val="0"/>
          <w:bCs w:val="0"/>
          <w:color w:val="000000" w:themeColor="text1"/>
          <w:sz w:val="44"/>
          <w:szCs w:val="44"/>
          <w:lang w:val="en-US" w:eastAsia="zh-CN"/>
          <w14:textFill>
            <w14:solidFill>
              <w14:schemeClr w14:val="tx1"/>
            </w14:solidFill>
          </w14:textFill>
        </w:rPr>
        <w:t>附表</w:t>
      </w:r>
    </w:p>
    <w:bookmarkEnd w:id="43"/>
    <w:p>
      <w:pPr>
        <w:pStyle w:val="12"/>
        <w:spacing w:before="0" w:beforeLines="0" w:after="0" w:afterLines="0" w:line="500" w:lineRule="exact"/>
        <w:ind w:left="0" w:leftChars="0" w:firstLine="0" w:firstLineChars="0"/>
        <w:jc w:val="center"/>
        <w:rPr>
          <w:rFonts w:hint="eastAsia" w:eastAsia="仿宋_GB2312"/>
          <w:color w:val="auto"/>
          <w:sz w:val="32"/>
          <w:szCs w:val="32"/>
        </w:rPr>
      </w:pPr>
      <w:bookmarkStart w:id="44" w:name="_Toc7535"/>
      <w:r>
        <w:rPr>
          <w:rFonts w:hint="eastAsia" w:eastAsia="仿宋_GB2312"/>
          <w:color w:val="auto"/>
          <w:sz w:val="32"/>
          <w:szCs w:val="32"/>
        </w:rPr>
        <w:t>成片开发方案基本情况表</w:t>
      </w:r>
      <w:bookmarkEnd w:id="44"/>
    </w:p>
    <w:p>
      <w:pPr>
        <w:pStyle w:val="12"/>
        <w:spacing w:before="0" w:beforeLines="0" w:after="0" w:afterLines="0" w:line="500" w:lineRule="exact"/>
        <w:ind w:left="0" w:leftChars="0" w:firstLine="0" w:firstLineChars="0"/>
        <w:jc w:val="right"/>
        <w:rPr>
          <w:rFonts w:hint="eastAsia"/>
          <w:color w:val="auto"/>
          <w:sz w:val="28"/>
          <w:szCs w:val="28"/>
        </w:rPr>
      </w:pPr>
      <w:r>
        <w:rPr>
          <w:rFonts w:hint="eastAsia" w:eastAsia="仿宋_GB2312"/>
          <w:color w:val="auto"/>
          <w:sz w:val="28"/>
          <w:szCs w:val="28"/>
        </w:rPr>
        <w:t>（公顷）</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2"/>
        <w:gridCol w:w="2463"/>
        <w:gridCol w:w="1074"/>
        <w:gridCol w:w="1505"/>
        <w:gridCol w:w="1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421"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color w:val="auto"/>
                <w:sz w:val="28"/>
                <w:szCs w:val="28"/>
              </w:rPr>
            </w:pPr>
            <w:r>
              <w:rPr>
                <w:rFonts w:hint="eastAsia" w:eastAsia="仿宋_GB2312"/>
                <w:color w:val="auto"/>
                <w:sz w:val="28"/>
                <w:szCs w:val="28"/>
              </w:rPr>
              <w:t>方案总面积</w:t>
            </w:r>
          </w:p>
        </w:tc>
        <w:tc>
          <w:tcPr>
            <w:tcW w:w="2578"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eastAsia="仿宋"/>
                <w:color w:val="auto"/>
                <w:sz w:val="28"/>
                <w:szCs w:val="28"/>
                <w:lang w:eastAsia="zh-CN"/>
              </w:rPr>
            </w:pPr>
            <w:r>
              <w:rPr>
                <w:rFonts w:hint="eastAsia" w:eastAsia="仿宋_GB2312"/>
                <w:color w:val="auto"/>
                <w:sz w:val="28"/>
                <w:szCs w:val="22"/>
                <w:lang w:eastAsia="zh-CN"/>
              </w:rPr>
              <w:t>179.0975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2421"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color w:val="auto"/>
                <w:sz w:val="28"/>
                <w:szCs w:val="28"/>
              </w:rPr>
            </w:pPr>
            <w:r>
              <w:rPr>
                <w:rFonts w:hint="eastAsia" w:eastAsia="仿宋_GB2312"/>
                <w:color w:val="auto"/>
                <w:sz w:val="28"/>
                <w:szCs w:val="28"/>
              </w:rPr>
              <w:t>公益性用地面积及比例</w:t>
            </w:r>
          </w:p>
        </w:tc>
        <w:tc>
          <w:tcPr>
            <w:tcW w:w="151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color w:val="auto"/>
                <w:sz w:val="28"/>
                <w:szCs w:val="28"/>
              </w:rPr>
            </w:pPr>
            <w:r>
              <w:rPr>
                <w:rFonts w:hint="eastAsia" w:eastAsia="仿宋_GB2312" w:cs="Times New Roman"/>
                <w:color w:val="000000" w:themeColor="text1"/>
                <w:lang w:val="en-US" w:eastAsia="zh-CN"/>
                <w14:textFill>
                  <w14:solidFill>
                    <w14:schemeClr w14:val="tx1"/>
                  </w14:solidFill>
                </w14:textFill>
              </w:rPr>
              <w:t>71.8856</w:t>
            </w:r>
          </w:p>
        </w:tc>
        <w:tc>
          <w:tcPr>
            <w:tcW w:w="106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eastAsia="仿宋"/>
                <w:color w:val="auto"/>
                <w:sz w:val="28"/>
                <w:szCs w:val="28"/>
                <w:lang w:eastAsia="zh-CN"/>
              </w:rPr>
            </w:pPr>
            <w:r>
              <w:rPr>
                <w:rFonts w:hint="eastAsia" w:eastAsia="仿宋_GB2312"/>
                <w:color w:val="auto"/>
                <w:sz w:val="28"/>
                <w:szCs w:val="22"/>
                <w:lang w:eastAsia="zh-CN"/>
              </w:rPr>
              <w:t>40.14%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76"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500" w:lineRule="exact"/>
              <w:ind w:left="0" w:right="0" w:firstLine="0" w:firstLineChars="0"/>
              <w:jc w:val="center"/>
              <w:rPr>
                <w:rFonts w:hint="eastAsia"/>
                <w:color w:val="auto"/>
                <w:sz w:val="28"/>
                <w:szCs w:val="28"/>
              </w:rPr>
            </w:pPr>
            <w:r>
              <w:rPr>
                <w:rFonts w:hint="eastAsia" w:eastAsia="仿宋_GB2312"/>
                <w:color w:val="auto"/>
                <w:sz w:val="28"/>
                <w:szCs w:val="28"/>
              </w:rPr>
              <w:t>拟征收土地面积</w:t>
            </w:r>
          </w:p>
        </w:tc>
        <w:tc>
          <w:tcPr>
            <w:tcW w:w="1445"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eastAsia="仿宋"/>
                <w:color w:val="auto"/>
                <w:sz w:val="28"/>
                <w:szCs w:val="28"/>
                <w:lang w:eastAsia="zh-CN"/>
              </w:rPr>
            </w:pPr>
            <w:r>
              <w:rPr>
                <w:rFonts w:hint="eastAsia" w:eastAsia="仿宋_GB2312"/>
                <w:color w:val="auto"/>
                <w:sz w:val="28"/>
                <w:szCs w:val="22"/>
                <w:lang w:eastAsia="zh-CN"/>
              </w:rPr>
              <w:t>107.6294</w:t>
            </w:r>
          </w:p>
        </w:tc>
        <w:tc>
          <w:tcPr>
            <w:tcW w:w="1513" w:type="pct"/>
            <w:gridSpan w:val="2"/>
            <w:tcBorders>
              <w:top w:val="single" w:color="auto" w:sz="4" w:space="0"/>
              <w:left w:val="single" w:color="auto" w:sz="4" w:space="0"/>
              <w:bottom w:val="nil"/>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color w:val="auto"/>
                <w:sz w:val="28"/>
                <w:szCs w:val="28"/>
              </w:rPr>
            </w:pPr>
            <w:r>
              <w:rPr>
                <w:rFonts w:hint="eastAsia" w:eastAsia="仿宋_GB2312"/>
                <w:color w:val="auto"/>
                <w:sz w:val="28"/>
                <w:szCs w:val="28"/>
              </w:rPr>
              <w:t>农用地</w:t>
            </w:r>
          </w:p>
        </w:tc>
        <w:tc>
          <w:tcPr>
            <w:tcW w:w="106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eastAsia="仿宋"/>
                <w:color w:val="auto"/>
                <w:sz w:val="28"/>
                <w:szCs w:val="28"/>
                <w:lang w:eastAsia="zh-CN"/>
              </w:rPr>
            </w:pPr>
            <w:r>
              <w:rPr>
                <w:rFonts w:hint="eastAsia" w:eastAsia="仿宋_GB2312"/>
                <w:color w:val="auto"/>
                <w:sz w:val="28"/>
                <w:szCs w:val="22"/>
                <w:lang w:eastAsia="zh-CN"/>
              </w:rPr>
              <w:t>99.1329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7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color w:val="auto"/>
                <w:sz w:val="28"/>
                <w:szCs w:val="28"/>
              </w:rPr>
            </w:pPr>
          </w:p>
        </w:tc>
        <w:tc>
          <w:tcPr>
            <w:tcW w:w="1445"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color w:val="auto"/>
                <w:sz w:val="28"/>
                <w:szCs w:val="28"/>
              </w:rPr>
            </w:pPr>
          </w:p>
        </w:tc>
        <w:tc>
          <w:tcPr>
            <w:tcW w:w="630" w:type="pct"/>
            <w:tcBorders>
              <w:top w:val="nil"/>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color w:val="auto"/>
                <w:sz w:val="28"/>
                <w:szCs w:val="28"/>
              </w:rPr>
            </w:pPr>
          </w:p>
        </w:tc>
        <w:tc>
          <w:tcPr>
            <w:tcW w:w="883"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eastAsia="仿宋_GB2312"/>
                <w:color w:val="auto"/>
                <w:sz w:val="28"/>
                <w:szCs w:val="28"/>
              </w:rPr>
            </w:pPr>
            <w:r>
              <w:rPr>
                <w:rFonts w:hint="eastAsia" w:eastAsia="仿宋_GB2312"/>
                <w:color w:val="auto"/>
                <w:sz w:val="28"/>
                <w:szCs w:val="28"/>
              </w:rPr>
              <w:t>其中：耕地</w:t>
            </w:r>
          </w:p>
        </w:tc>
        <w:tc>
          <w:tcPr>
            <w:tcW w:w="106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eastAsia="仿宋"/>
                <w:color w:val="auto"/>
                <w:sz w:val="28"/>
                <w:szCs w:val="28"/>
                <w:lang w:eastAsia="zh-CN"/>
              </w:rPr>
            </w:pPr>
            <w:r>
              <w:rPr>
                <w:rFonts w:hint="eastAsia" w:eastAsia="仿宋_GB2312"/>
                <w:color w:val="auto"/>
                <w:sz w:val="28"/>
                <w:szCs w:val="28"/>
                <w:lang w:eastAsia="zh-CN"/>
              </w:rPr>
              <w:t>3.4562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7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color w:val="auto"/>
                <w:sz w:val="28"/>
                <w:szCs w:val="28"/>
              </w:rPr>
            </w:pPr>
          </w:p>
        </w:tc>
        <w:tc>
          <w:tcPr>
            <w:tcW w:w="1445"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color w:val="auto"/>
                <w:sz w:val="28"/>
                <w:szCs w:val="28"/>
              </w:rPr>
            </w:pPr>
          </w:p>
        </w:tc>
        <w:tc>
          <w:tcPr>
            <w:tcW w:w="151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color w:val="auto"/>
                <w:sz w:val="28"/>
                <w:szCs w:val="28"/>
              </w:rPr>
            </w:pPr>
            <w:r>
              <w:rPr>
                <w:rFonts w:hint="eastAsia" w:eastAsia="仿宋_GB2312"/>
                <w:color w:val="auto"/>
                <w:sz w:val="28"/>
                <w:szCs w:val="28"/>
              </w:rPr>
              <w:t>建设用地</w:t>
            </w:r>
          </w:p>
        </w:tc>
        <w:tc>
          <w:tcPr>
            <w:tcW w:w="106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eastAsia="仿宋"/>
                <w:color w:val="auto"/>
                <w:sz w:val="28"/>
                <w:szCs w:val="28"/>
                <w:lang w:eastAsia="zh-CN"/>
              </w:rPr>
            </w:pPr>
            <w:r>
              <w:rPr>
                <w:rFonts w:hint="eastAsia" w:eastAsia="仿宋_GB2312"/>
                <w:color w:val="auto"/>
                <w:sz w:val="28"/>
                <w:szCs w:val="28"/>
                <w:lang w:eastAsia="zh-CN"/>
              </w:rPr>
              <w:t>8.4965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7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color w:val="auto"/>
                <w:sz w:val="28"/>
                <w:szCs w:val="28"/>
              </w:rPr>
            </w:pPr>
          </w:p>
        </w:tc>
        <w:tc>
          <w:tcPr>
            <w:tcW w:w="1445"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color w:val="auto"/>
                <w:sz w:val="28"/>
                <w:szCs w:val="28"/>
              </w:rPr>
            </w:pPr>
          </w:p>
        </w:tc>
        <w:tc>
          <w:tcPr>
            <w:tcW w:w="1513"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eastAsia="仿宋_GB2312"/>
                <w:color w:val="auto"/>
                <w:sz w:val="28"/>
                <w:szCs w:val="28"/>
              </w:rPr>
            </w:pPr>
            <w:r>
              <w:rPr>
                <w:rFonts w:hint="eastAsia" w:eastAsia="仿宋_GB2312"/>
                <w:color w:val="auto"/>
                <w:sz w:val="28"/>
                <w:szCs w:val="28"/>
              </w:rPr>
              <w:t>未利用地</w:t>
            </w:r>
          </w:p>
        </w:tc>
        <w:tc>
          <w:tcPr>
            <w:tcW w:w="1064"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color w:val="auto"/>
                <w:sz w:val="28"/>
                <w:szCs w:val="28"/>
              </w:rPr>
            </w:pPr>
            <w:r>
              <w:rPr>
                <w:rFonts w:hint="eastAsia"/>
                <w:color w:val="auto"/>
                <w:sz w:val="28"/>
                <w:szCs w:val="28"/>
              </w:rPr>
              <w:t>0</w:t>
            </w:r>
            <w:r>
              <w:rPr>
                <w:rFonts w:hint="eastAsia" w:eastAsia="仿宋_GB2312"/>
                <w:color w:val="auto"/>
                <w:sz w:val="28"/>
                <w:szCs w:val="28"/>
              </w:rPr>
              <w:t>.0000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76"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color w:val="auto"/>
                <w:sz w:val="28"/>
                <w:szCs w:val="28"/>
              </w:rPr>
            </w:pPr>
            <w:r>
              <w:rPr>
                <w:rFonts w:hint="eastAsia" w:eastAsia="仿宋_GB2312"/>
                <w:color w:val="auto"/>
                <w:sz w:val="28"/>
                <w:szCs w:val="28"/>
              </w:rPr>
              <w:t>实施计划</w:t>
            </w:r>
          </w:p>
        </w:tc>
        <w:tc>
          <w:tcPr>
            <w:tcW w:w="144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color w:val="auto"/>
                <w:sz w:val="28"/>
                <w:szCs w:val="28"/>
              </w:rPr>
            </w:pPr>
            <w:r>
              <w:rPr>
                <w:rFonts w:hint="eastAsia" w:eastAsia="仿宋_GB2312"/>
                <w:color w:val="auto"/>
                <w:sz w:val="28"/>
                <w:szCs w:val="28"/>
              </w:rPr>
              <w:t>实施计划周期</w:t>
            </w:r>
          </w:p>
        </w:tc>
        <w:tc>
          <w:tcPr>
            <w:tcW w:w="2578"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eastAsia="仿宋_GB2312"/>
                <w:color w:val="auto"/>
                <w:sz w:val="28"/>
                <w:szCs w:val="28"/>
              </w:rPr>
            </w:pPr>
            <w:r>
              <w:rPr>
                <w:rFonts w:hint="eastAsia" w:eastAsia="仿宋_GB2312"/>
                <w:color w:val="auto"/>
                <w:sz w:val="28"/>
                <w:szCs w:val="28"/>
                <w:lang w:eastAsia="zh-CN"/>
              </w:rPr>
              <w:t>两</w:t>
            </w:r>
            <w:r>
              <w:rPr>
                <w:rFonts w:hint="eastAsia" w:eastAsia="仿宋_GB2312"/>
                <w:color w:val="auto"/>
                <w:sz w:val="28"/>
                <w:szCs w:val="28"/>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7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eastAsia="仿宋_GB2312"/>
                <w:color w:val="auto"/>
                <w:sz w:val="28"/>
                <w:szCs w:val="28"/>
              </w:rPr>
            </w:pPr>
          </w:p>
        </w:tc>
        <w:tc>
          <w:tcPr>
            <w:tcW w:w="144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eastAsia="仿宋_GB2312"/>
                <w:color w:val="auto"/>
                <w:sz w:val="28"/>
                <w:szCs w:val="28"/>
              </w:rPr>
            </w:pPr>
            <w:r>
              <w:rPr>
                <w:rFonts w:hint="eastAsia" w:eastAsia="仿宋_GB2312"/>
                <w:color w:val="auto"/>
                <w:sz w:val="28"/>
                <w:szCs w:val="28"/>
              </w:rPr>
              <w:t>第一年</w:t>
            </w:r>
          </w:p>
        </w:tc>
        <w:tc>
          <w:tcPr>
            <w:tcW w:w="2578"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eastAsia="仿宋"/>
                <w:color w:val="auto"/>
                <w:sz w:val="28"/>
                <w:szCs w:val="28"/>
                <w:lang w:eastAsia="zh-CN"/>
              </w:rPr>
            </w:pPr>
            <w:r>
              <w:rPr>
                <w:rFonts w:hint="eastAsia"/>
                <w:color w:val="auto"/>
                <w:sz w:val="28"/>
                <w:szCs w:val="28"/>
                <w:lang w:eastAsia="zh-CN"/>
              </w:rPr>
              <w:t>26.0001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76"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eastAsia="仿宋_GB2312"/>
                <w:color w:val="auto"/>
                <w:sz w:val="28"/>
                <w:szCs w:val="28"/>
              </w:rPr>
            </w:pPr>
          </w:p>
        </w:tc>
        <w:tc>
          <w:tcPr>
            <w:tcW w:w="1445" w:type="pct"/>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eastAsia="仿宋_GB2312"/>
                <w:color w:val="auto"/>
                <w:sz w:val="28"/>
                <w:szCs w:val="28"/>
              </w:rPr>
            </w:pPr>
            <w:r>
              <w:rPr>
                <w:rFonts w:hint="eastAsia" w:eastAsia="仿宋_GB2312"/>
                <w:color w:val="auto"/>
                <w:sz w:val="28"/>
                <w:szCs w:val="28"/>
              </w:rPr>
              <w:t>第二年</w:t>
            </w:r>
          </w:p>
        </w:tc>
        <w:tc>
          <w:tcPr>
            <w:tcW w:w="2578" w:type="pct"/>
            <w:gridSpan w:val="3"/>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suppressLineNumbers w:val="0"/>
              <w:spacing w:before="0" w:beforeLines="0" w:beforeAutospacing="0" w:after="0" w:afterLines="0" w:afterAutospacing="0" w:line="240" w:lineRule="auto"/>
              <w:ind w:left="0" w:right="0" w:firstLine="0" w:firstLineChars="0"/>
              <w:jc w:val="center"/>
              <w:rPr>
                <w:rFonts w:hint="eastAsia" w:eastAsia="仿宋"/>
                <w:color w:val="auto"/>
                <w:sz w:val="28"/>
                <w:szCs w:val="28"/>
                <w:lang w:eastAsia="zh-CN"/>
              </w:rPr>
            </w:pPr>
            <w:r>
              <w:rPr>
                <w:rFonts w:hint="eastAsia"/>
                <w:color w:val="auto"/>
                <w:sz w:val="28"/>
                <w:szCs w:val="28"/>
                <w:lang w:eastAsia="zh-CN"/>
              </w:rPr>
              <w:t>81.6293</w:t>
            </w:r>
          </w:p>
        </w:tc>
      </w:tr>
    </w:tbl>
    <w:p>
      <w:pPr>
        <w:ind w:left="0" w:leftChars="0" w:firstLine="0" w:firstLineChars="0"/>
        <w:rPr>
          <w:rFonts w:hint="default" w:eastAsia="黑体"/>
          <w:bCs/>
          <w:color w:val="000000" w:themeColor="text1"/>
          <w:kern w:val="44"/>
          <w:sz w:val="36"/>
          <w:szCs w:val="36"/>
          <w:lang w:eastAsia="zh-CN"/>
          <w14:textFill>
            <w14:solidFill>
              <w14:schemeClr w14:val="tx1"/>
            </w14:solidFill>
          </w14:textFill>
        </w:rPr>
        <w:sectPr>
          <w:headerReference r:id="rId5" w:type="default"/>
          <w:footerReference r:id="rId6" w:type="default"/>
          <w:pgSz w:w="11906" w:h="16838"/>
          <w:pgMar w:top="1440" w:right="1800" w:bottom="1440" w:left="1800" w:header="851" w:footer="992" w:gutter="0"/>
          <w:cols w:space="425" w:num="1"/>
          <w:docGrid w:type="lines" w:linePitch="312" w:charSpace="0"/>
        </w:sectPr>
      </w:pPr>
    </w:p>
    <w:p>
      <w:pPr>
        <w:pStyle w:val="2"/>
        <w:ind w:left="0" w:leftChars="0" w:firstLine="0" w:firstLineChars="0"/>
        <w:rPr>
          <w:rFonts w:hint="default"/>
          <w:lang w:eastAsia="zh-CN"/>
        </w:rPr>
      </w:pPr>
      <w:r>
        <w:rPr>
          <w:rFonts w:hint="default"/>
          <w:lang w:eastAsia="zh-CN"/>
        </w:rPr>
        <w:drawing>
          <wp:inline distT="0" distB="0" distL="114300" distR="114300">
            <wp:extent cx="5260975" cy="7448550"/>
            <wp:effectExtent l="0" t="0" r="15875" b="0"/>
            <wp:docPr id="1" name="图片 1" descr="成片开发方案犁市镇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成片开发方案犁市镇示意图"/>
                    <pic:cNvPicPr>
                      <a:picLocks noChangeAspect="1"/>
                    </pic:cNvPicPr>
                  </pic:nvPicPr>
                  <pic:blipFill>
                    <a:blip r:embed="rId8"/>
                    <a:stretch>
                      <a:fillRect/>
                    </a:stretch>
                  </pic:blipFill>
                  <pic:spPr>
                    <a:xfrm>
                      <a:off x="0" y="0"/>
                      <a:ext cx="5260975" cy="7448550"/>
                    </a:xfrm>
                    <a:prstGeom prst="rect">
                      <a:avLst/>
                    </a:prstGeom>
                  </pic:spPr>
                </pic:pic>
              </a:graphicData>
            </a:graphic>
          </wp:inline>
        </w:drawing>
      </w:r>
    </w:p>
    <w:p>
      <w:pPr>
        <w:rPr>
          <w:rFonts w:hint="default"/>
          <w:lang w:eastAsia="zh-CN"/>
        </w:rPr>
      </w:pPr>
      <w:r>
        <w:rPr>
          <w:rFonts w:hint="default"/>
          <w:lang w:eastAsia="zh-CN"/>
        </w:rPr>
        <w:br w:type="page"/>
      </w:r>
    </w:p>
    <w:p>
      <w:pPr>
        <w:ind w:left="0" w:leftChars="0" w:firstLine="0" w:firstLineChars="0"/>
        <w:rPr>
          <w:rFonts w:hint="default"/>
          <w:lang w:eastAsia="zh-CN"/>
        </w:rPr>
      </w:pPr>
      <w:r>
        <w:rPr>
          <w:rFonts w:hint="default"/>
          <w:lang w:eastAsia="zh-CN"/>
        </w:rPr>
        <w:drawing>
          <wp:inline distT="0" distB="0" distL="114300" distR="114300">
            <wp:extent cx="5260975" cy="7173595"/>
            <wp:effectExtent l="0" t="0" r="0" b="0"/>
            <wp:docPr id="3" name="图片 3" descr="村民公示-新韶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村民公示-新韶0613"/>
                    <pic:cNvPicPr>
                      <a:picLocks noChangeAspect="1"/>
                    </pic:cNvPicPr>
                  </pic:nvPicPr>
                  <pic:blipFill>
                    <a:blip r:embed="rId9"/>
                    <a:srcRect b="3691"/>
                    <a:stretch>
                      <a:fillRect/>
                    </a:stretch>
                  </pic:blipFill>
                  <pic:spPr>
                    <a:xfrm>
                      <a:off x="0" y="0"/>
                      <a:ext cx="5260975" cy="717359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rPr>
        <w:rFonts w:eastAsia="仿宋_GB23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ind w:firstLine="560"/>
      </w:pPr>
      <w:r>
        <w:separator/>
      </w:r>
    </w:p>
  </w:footnote>
  <w:footnote w:type="continuationSeparator" w:id="1">
    <w:p>
      <w:pPr>
        <w:spacing w:before="0" w:after="0"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tabs>
        <w:tab w:val="left" w:pos="3482"/>
      </w:tabs>
      <w:ind w:firstLine="360"/>
      <w:jc w:val="left"/>
    </w:pPr>
    <w:r>
      <w:rPr>
        <w:rFonts w:hint="eastAsia"/>
      </w:rPr>
      <w:tab/>
    </w:r>
    <w:r>
      <w:rPr>
        <w:rFonts w:hint="eastAsia"/>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I0N2YyMWRlYWI2NGJmZTYwM2JiODc3NTY1MTRkZTIifQ=="/>
  </w:docVars>
  <w:rsids>
    <w:rsidRoot w:val="00172A27"/>
    <w:rsid w:val="00001156"/>
    <w:rsid w:val="00001C88"/>
    <w:rsid w:val="00010111"/>
    <w:rsid w:val="000137C9"/>
    <w:rsid w:val="00027A6E"/>
    <w:rsid w:val="000371B1"/>
    <w:rsid w:val="00054227"/>
    <w:rsid w:val="00055E2F"/>
    <w:rsid w:val="00060313"/>
    <w:rsid w:val="0006734C"/>
    <w:rsid w:val="00067F68"/>
    <w:rsid w:val="00070999"/>
    <w:rsid w:val="000715B1"/>
    <w:rsid w:val="00074E02"/>
    <w:rsid w:val="00080218"/>
    <w:rsid w:val="0009236C"/>
    <w:rsid w:val="000925BB"/>
    <w:rsid w:val="00092827"/>
    <w:rsid w:val="00093649"/>
    <w:rsid w:val="00093C10"/>
    <w:rsid w:val="000940FC"/>
    <w:rsid w:val="00095684"/>
    <w:rsid w:val="000974DF"/>
    <w:rsid w:val="000A5524"/>
    <w:rsid w:val="000A5CB1"/>
    <w:rsid w:val="000B0252"/>
    <w:rsid w:val="000B0B23"/>
    <w:rsid w:val="000B2A44"/>
    <w:rsid w:val="000C08EA"/>
    <w:rsid w:val="000D0376"/>
    <w:rsid w:val="000D3506"/>
    <w:rsid w:val="000E0276"/>
    <w:rsid w:val="000E1B9C"/>
    <w:rsid w:val="000E4D3A"/>
    <w:rsid w:val="000F366C"/>
    <w:rsid w:val="0011463D"/>
    <w:rsid w:val="001146D5"/>
    <w:rsid w:val="00120985"/>
    <w:rsid w:val="001209C6"/>
    <w:rsid w:val="001212C7"/>
    <w:rsid w:val="001216A3"/>
    <w:rsid w:val="00124DC5"/>
    <w:rsid w:val="00125C28"/>
    <w:rsid w:val="0014280C"/>
    <w:rsid w:val="00142C6F"/>
    <w:rsid w:val="00145996"/>
    <w:rsid w:val="00160AE4"/>
    <w:rsid w:val="00160E51"/>
    <w:rsid w:val="00162C41"/>
    <w:rsid w:val="00164A9E"/>
    <w:rsid w:val="00172A27"/>
    <w:rsid w:val="0018368B"/>
    <w:rsid w:val="00183820"/>
    <w:rsid w:val="001877F1"/>
    <w:rsid w:val="0019186C"/>
    <w:rsid w:val="001934F0"/>
    <w:rsid w:val="001948A2"/>
    <w:rsid w:val="001A6233"/>
    <w:rsid w:val="001B0F15"/>
    <w:rsid w:val="001B212D"/>
    <w:rsid w:val="001C0692"/>
    <w:rsid w:val="001C1AA8"/>
    <w:rsid w:val="001C1D4A"/>
    <w:rsid w:val="001C29E4"/>
    <w:rsid w:val="001C6360"/>
    <w:rsid w:val="001C72CD"/>
    <w:rsid w:val="001C7643"/>
    <w:rsid w:val="001C7ADE"/>
    <w:rsid w:val="001E07E5"/>
    <w:rsid w:val="001E0F3E"/>
    <w:rsid w:val="001E3FC0"/>
    <w:rsid w:val="001E7146"/>
    <w:rsid w:val="001F08E8"/>
    <w:rsid w:val="001F26C9"/>
    <w:rsid w:val="001F5484"/>
    <w:rsid w:val="002009A8"/>
    <w:rsid w:val="00210A13"/>
    <w:rsid w:val="00217BB0"/>
    <w:rsid w:val="00222246"/>
    <w:rsid w:val="00222924"/>
    <w:rsid w:val="0022412F"/>
    <w:rsid w:val="002263E8"/>
    <w:rsid w:val="0023786D"/>
    <w:rsid w:val="0023791C"/>
    <w:rsid w:val="00241A24"/>
    <w:rsid w:val="00241C50"/>
    <w:rsid w:val="0024478E"/>
    <w:rsid w:val="00244892"/>
    <w:rsid w:val="00245B7F"/>
    <w:rsid w:val="002469F2"/>
    <w:rsid w:val="00255442"/>
    <w:rsid w:val="002562D5"/>
    <w:rsid w:val="00262BDD"/>
    <w:rsid w:val="002636AD"/>
    <w:rsid w:val="00270122"/>
    <w:rsid w:val="00273155"/>
    <w:rsid w:val="002A190A"/>
    <w:rsid w:val="002A1D0F"/>
    <w:rsid w:val="002A5668"/>
    <w:rsid w:val="002A70D4"/>
    <w:rsid w:val="002B49E3"/>
    <w:rsid w:val="002C1B73"/>
    <w:rsid w:val="002C784A"/>
    <w:rsid w:val="002D04CB"/>
    <w:rsid w:val="002D6C5E"/>
    <w:rsid w:val="002E0146"/>
    <w:rsid w:val="002F0B6C"/>
    <w:rsid w:val="002F6619"/>
    <w:rsid w:val="002F7CE2"/>
    <w:rsid w:val="00302D6B"/>
    <w:rsid w:val="0030363B"/>
    <w:rsid w:val="00303999"/>
    <w:rsid w:val="00312621"/>
    <w:rsid w:val="00314673"/>
    <w:rsid w:val="00321F13"/>
    <w:rsid w:val="00332203"/>
    <w:rsid w:val="003328CE"/>
    <w:rsid w:val="00333392"/>
    <w:rsid w:val="003346CD"/>
    <w:rsid w:val="003360D3"/>
    <w:rsid w:val="00341945"/>
    <w:rsid w:val="003463EC"/>
    <w:rsid w:val="00350A7F"/>
    <w:rsid w:val="00354033"/>
    <w:rsid w:val="00356EDD"/>
    <w:rsid w:val="00357663"/>
    <w:rsid w:val="00360DE4"/>
    <w:rsid w:val="00375565"/>
    <w:rsid w:val="00377D6E"/>
    <w:rsid w:val="003836EF"/>
    <w:rsid w:val="00390E74"/>
    <w:rsid w:val="00393982"/>
    <w:rsid w:val="003967F1"/>
    <w:rsid w:val="003978D8"/>
    <w:rsid w:val="003A2E20"/>
    <w:rsid w:val="003A36DA"/>
    <w:rsid w:val="003A5FB6"/>
    <w:rsid w:val="003B7D9E"/>
    <w:rsid w:val="003D3713"/>
    <w:rsid w:val="003D3939"/>
    <w:rsid w:val="003D3E90"/>
    <w:rsid w:val="003E13A5"/>
    <w:rsid w:val="003E74A0"/>
    <w:rsid w:val="003F024A"/>
    <w:rsid w:val="003F2B20"/>
    <w:rsid w:val="003F46BF"/>
    <w:rsid w:val="003F5916"/>
    <w:rsid w:val="003F7BC6"/>
    <w:rsid w:val="00400BBB"/>
    <w:rsid w:val="00403324"/>
    <w:rsid w:val="004163B6"/>
    <w:rsid w:val="00420421"/>
    <w:rsid w:val="00424352"/>
    <w:rsid w:val="00434F4D"/>
    <w:rsid w:val="0043716C"/>
    <w:rsid w:val="00437ECA"/>
    <w:rsid w:val="00441710"/>
    <w:rsid w:val="00444E91"/>
    <w:rsid w:val="00446E62"/>
    <w:rsid w:val="0045588E"/>
    <w:rsid w:val="00460D61"/>
    <w:rsid w:val="00463820"/>
    <w:rsid w:val="00482296"/>
    <w:rsid w:val="004911ED"/>
    <w:rsid w:val="00493820"/>
    <w:rsid w:val="004944D1"/>
    <w:rsid w:val="0049561E"/>
    <w:rsid w:val="004971FD"/>
    <w:rsid w:val="00497B03"/>
    <w:rsid w:val="004A20E1"/>
    <w:rsid w:val="004A4221"/>
    <w:rsid w:val="004A42D7"/>
    <w:rsid w:val="004A5E4A"/>
    <w:rsid w:val="004A7B8C"/>
    <w:rsid w:val="004B2A29"/>
    <w:rsid w:val="004B3D1F"/>
    <w:rsid w:val="004B3D5B"/>
    <w:rsid w:val="004B515A"/>
    <w:rsid w:val="004C0255"/>
    <w:rsid w:val="004C071F"/>
    <w:rsid w:val="004C5A23"/>
    <w:rsid w:val="004C6A52"/>
    <w:rsid w:val="004C6F16"/>
    <w:rsid w:val="004D16D6"/>
    <w:rsid w:val="004D26BF"/>
    <w:rsid w:val="004D40E4"/>
    <w:rsid w:val="004D4903"/>
    <w:rsid w:val="004D53AD"/>
    <w:rsid w:val="004E23AD"/>
    <w:rsid w:val="004E6A7B"/>
    <w:rsid w:val="004E7B0D"/>
    <w:rsid w:val="004F3F82"/>
    <w:rsid w:val="004F4C61"/>
    <w:rsid w:val="004F6969"/>
    <w:rsid w:val="0051633A"/>
    <w:rsid w:val="0051640D"/>
    <w:rsid w:val="00521BC6"/>
    <w:rsid w:val="005277B3"/>
    <w:rsid w:val="00531020"/>
    <w:rsid w:val="0053133B"/>
    <w:rsid w:val="0053237B"/>
    <w:rsid w:val="00533B88"/>
    <w:rsid w:val="00540A84"/>
    <w:rsid w:val="00540DE3"/>
    <w:rsid w:val="005423C8"/>
    <w:rsid w:val="005564D9"/>
    <w:rsid w:val="00562F69"/>
    <w:rsid w:val="00563923"/>
    <w:rsid w:val="00566281"/>
    <w:rsid w:val="00575556"/>
    <w:rsid w:val="0057658F"/>
    <w:rsid w:val="00580414"/>
    <w:rsid w:val="00582151"/>
    <w:rsid w:val="00582E60"/>
    <w:rsid w:val="00585C13"/>
    <w:rsid w:val="00587FEC"/>
    <w:rsid w:val="00590855"/>
    <w:rsid w:val="00590C0B"/>
    <w:rsid w:val="00593853"/>
    <w:rsid w:val="005A0775"/>
    <w:rsid w:val="005A1EEB"/>
    <w:rsid w:val="005A343D"/>
    <w:rsid w:val="005A57F6"/>
    <w:rsid w:val="005A7429"/>
    <w:rsid w:val="005B2F6F"/>
    <w:rsid w:val="005B5995"/>
    <w:rsid w:val="005B75DA"/>
    <w:rsid w:val="005C0AC5"/>
    <w:rsid w:val="005C2394"/>
    <w:rsid w:val="005C6554"/>
    <w:rsid w:val="005C723F"/>
    <w:rsid w:val="005D025A"/>
    <w:rsid w:val="005D73E7"/>
    <w:rsid w:val="005D7908"/>
    <w:rsid w:val="005E27DF"/>
    <w:rsid w:val="005E5DA3"/>
    <w:rsid w:val="005F099E"/>
    <w:rsid w:val="005F0E21"/>
    <w:rsid w:val="005F3C98"/>
    <w:rsid w:val="005F4FB8"/>
    <w:rsid w:val="00600CDE"/>
    <w:rsid w:val="00603A27"/>
    <w:rsid w:val="0060787E"/>
    <w:rsid w:val="006101EF"/>
    <w:rsid w:val="00612B9F"/>
    <w:rsid w:val="00623507"/>
    <w:rsid w:val="0062571B"/>
    <w:rsid w:val="00635C8B"/>
    <w:rsid w:val="00640D71"/>
    <w:rsid w:val="006412B3"/>
    <w:rsid w:val="006437A9"/>
    <w:rsid w:val="00647E8E"/>
    <w:rsid w:val="00651AFD"/>
    <w:rsid w:val="00652674"/>
    <w:rsid w:val="0065393E"/>
    <w:rsid w:val="0066258A"/>
    <w:rsid w:val="0066273D"/>
    <w:rsid w:val="00662EF4"/>
    <w:rsid w:val="00662F46"/>
    <w:rsid w:val="00663F12"/>
    <w:rsid w:val="0067609B"/>
    <w:rsid w:val="00677395"/>
    <w:rsid w:val="006842FD"/>
    <w:rsid w:val="006A1CCB"/>
    <w:rsid w:val="006A5A1A"/>
    <w:rsid w:val="006B2198"/>
    <w:rsid w:val="006B48B6"/>
    <w:rsid w:val="006C168C"/>
    <w:rsid w:val="006C308B"/>
    <w:rsid w:val="006C38EC"/>
    <w:rsid w:val="006C60E7"/>
    <w:rsid w:val="006D5EB9"/>
    <w:rsid w:val="006D6351"/>
    <w:rsid w:val="006D71F0"/>
    <w:rsid w:val="006E173B"/>
    <w:rsid w:val="006F6835"/>
    <w:rsid w:val="00701825"/>
    <w:rsid w:val="0070411F"/>
    <w:rsid w:val="00711015"/>
    <w:rsid w:val="00715B50"/>
    <w:rsid w:val="007165AD"/>
    <w:rsid w:val="00716AE4"/>
    <w:rsid w:val="00727977"/>
    <w:rsid w:val="00732236"/>
    <w:rsid w:val="00735240"/>
    <w:rsid w:val="00735EC6"/>
    <w:rsid w:val="00736F93"/>
    <w:rsid w:val="0074047A"/>
    <w:rsid w:val="00742AEA"/>
    <w:rsid w:val="00747A08"/>
    <w:rsid w:val="007505AD"/>
    <w:rsid w:val="007518FE"/>
    <w:rsid w:val="0077597D"/>
    <w:rsid w:val="00783960"/>
    <w:rsid w:val="00785D89"/>
    <w:rsid w:val="0079017F"/>
    <w:rsid w:val="007A080C"/>
    <w:rsid w:val="007A5FF6"/>
    <w:rsid w:val="007A7B9A"/>
    <w:rsid w:val="007B1DA6"/>
    <w:rsid w:val="007B46AB"/>
    <w:rsid w:val="007B5CB6"/>
    <w:rsid w:val="007C2054"/>
    <w:rsid w:val="007C64AD"/>
    <w:rsid w:val="007D40F5"/>
    <w:rsid w:val="007D772D"/>
    <w:rsid w:val="007E03F6"/>
    <w:rsid w:val="007E0C17"/>
    <w:rsid w:val="007E3F64"/>
    <w:rsid w:val="007E5CC9"/>
    <w:rsid w:val="007F264C"/>
    <w:rsid w:val="007F7830"/>
    <w:rsid w:val="00801C91"/>
    <w:rsid w:val="00803ED4"/>
    <w:rsid w:val="008177DB"/>
    <w:rsid w:val="00822CA6"/>
    <w:rsid w:val="008238C9"/>
    <w:rsid w:val="008247E2"/>
    <w:rsid w:val="00827E13"/>
    <w:rsid w:val="00832035"/>
    <w:rsid w:val="00843062"/>
    <w:rsid w:val="008444E1"/>
    <w:rsid w:val="00844C7D"/>
    <w:rsid w:val="00847796"/>
    <w:rsid w:val="00851457"/>
    <w:rsid w:val="00854700"/>
    <w:rsid w:val="008624B5"/>
    <w:rsid w:val="00862956"/>
    <w:rsid w:val="008630B9"/>
    <w:rsid w:val="00871432"/>
    <w:rsid w:val="0087163A"/>
    <w:rsid w:val="00875B23"/>
    <w:rsid w:val="00876168"/>
    <w:rsid w:val="00877765"/>
    <w:rsid w:val="00880FD8"/>
    <w:rsid w:val="00882777"/>
    <w:rsid w:val="0088341F"/>
    <w:rsid w:val="00890808"/>
    <w:rsid w:val="00893E83"/>
    <w:rsid w:val="00894A2A"/>
    <w:rsid w:val="008A0BD0"/>
    <w:rsid w:val="008A2867"/>
    <w:rsid w:val="008A44E7"/>
    <w:rsid w:val="008A48E1"/>
    <w:rsid w:val="008B5042"/>
    <w:rsid w:val="008B5942"/>
    <w:rsid w:val="008B6C10"/>
    <w:rsid w:val="008B74A0"/>
    <w:rsid w:val="008C0236"/>
    <w:rsid w:val="008C448E"/>
    <w:rsid w:val="008C6A28"/>
    <w:rsid w:val="008D31B1"/>
    <w:rsid w:val="008E56D5"/>
    <w:rsid w:val="008E6769"/>
    <w:rsid w:val="008F3B43"/>
    <w:rsid w:val="008F4275"/>
    <w:rsid w:val="008F47A0"/>
    <w:rsid w:val="00902D14"/>
    <w:rsid w:val="0090495A"/>
    <w:rsid w:val="00905779"/>
    <w:rsid w:val="00910C30"/>
    <w:rsid w:val="009119BE"/>
    <w:rsid w:val="00913AF4"/>
    <w:rsid w:val="00923D73"/>
    <w:rsid w:val="0092794B"/>
    <w:rsid w:val="009318A0"/>
    <w:rsid w:val="00935B54"/>
    <w:rsid w:val="009367BD"/>
    <w:rsid w:val="009423B8"/>
    <w:rsid w:val="00942431"/>
    <w:rsid w:val="00944676"/>
    <w:rsid w:val="00963A8B"/>
    <w:rsid w:val="00964B47"/>
    <w:rsid w:val="0097297B"/>
    <w:rsid w:val="009730F9"/>
    <w:rsid w:val="00985A22"/>
    <w:rsid w:val="0099323F"/>
    <w:rsid w:val="0099436B"/>
    <w:rsid w:val="009A0C9F"/>
    <w:rsid w:val="009A22BE"/>
    <w:rsid w:val="009A4FA0"/>
    <w:rsid w:val="009B0CA4"/>
    <w:rsid w:val="009B2E18"/>
    <w:rsid w:val="009B5890"/>
    <w:rsid w:val="009C1D8E"/>
    <w:rsid w:val="009C7C4E"/>
    <w:rsid w:val="009D01DD"/>
    <w:rsid w:val="009D25D7"/>
    <w:rsid w:val="009D6A7D"/>
    <w:rsid w:val="009D7F60"/>
    <w:rsid w:val="009E2FDC"/>
    <w:rsid w:val="009E3E53"/>
    <w:rsid w:val="009E5478"/>
    <w:rsid w:val="009F1778"/>
    <w:rsid w:val="009F307A"/>
    <w:rsid w:val="00A004E4"/>
    <w:rsid w:val="00A01FAE"/>
    <w:rsid w:val="00A022EA"/>
    <w:rsid w:val="00A068B5"/>
    <w:rsid w:val="00A10F7B"/>
    <w:rsid w:val="00A13A22"/>
    <w:rsid w:val="00A15839"/>
    <w:rsid w:val="00A17492"/>
    <w:rsid w:val="00A3569A"/>
    <w:rsid w:val="00A4037E"/>
    <w:rsid w:val="00A438D5"/>
    <w:rsid w:val="00A45DBD"/>
    <w:rsid w:val="00A477CA"/>
    <w:rsid w:val="00A5450A"/>
    <w:rsid w:val="00A57570"/>
    <w:rsid w:val="00A57ED0"/>
    <w:rsid w:val="00A71D12"/>
    <w:rsid w:val="00A83609"/>
    <w:rsid w:val="00A9186D"/>
    <w:rsid w:val="00A975B8"/>
    <w:rsid w:val="00AA4B29"/>
    <w:rsid w:val="00AB5974"/>
    <w:rsid w:val="00AB722E"/>
    <w:rsid w:val="00AC3B71"/>
    <w:rsid w:val="00AD2020"/>
    <w:rsid w:val="00AE17E0"/>
    <w:rsid w:val="00AE180C"/>
    <w:rsid w:val="00AF111D"/>
    <w:rsid w:val="00AF38F1"/>
    <w:rsid w:val="00AF4F11"/>
    <w:rsid w:val="00AF4F1A"/>
    <w:rsid w:val="00AF6D09"/>
    <w:rsid w:val="00B10056"/>
    <w:rsid w:val="00B1270E"/>
    <w:rsid w:val="00B133D7"/>
    <w:rsid w:val="00B13C20"/>
    <w:rsid w:val="00B30C82"/>
    <w:rsid w:val="00B31B7A"/>
    <w:rsid w:val="00B341C6"/>
    <w:rsid w:val="00B358D2"/>
    <w:rsid w:val="00B44F3E"/>
    <w:rsid w:val="00B45BDA"/>
    <w:rsid w:val="00B473D5"/>
    <w:rsid w:val="00B50FEE"/>
    <w:rsid w:val="00B55614"/>
    <w:rsid w:val="00B640FE"/>
    <w:rsid w:val="00B75B88"/>
    <w:rsid w:val="00B81BB6"/>
    <w:rsid w:val="00B81F08"/>
    <w:rsid w:val="00B83410"/>
    <w:rsid w:val="00B8381D"/>
    <w:rsid w:val="00B84847"/>
    <w:rsid w:val="00B84BA0"/>
    <w:rsid w:val="00B9198B"/>
    <w:rsid w:val="00B93CE9"/>
    <w:rsid w:val="00B967BC"/>
    <w:rsid w:val="00B97911"/>
    <w:rsid w:val="00BA5293"/>
    <w:rsid w:val="00BB11B4"/>
    <w:rsid w:val="00BB1904"/>
    <w:rsid w:val="00BC0A0A"/>
    <w:rsid w:val="00BC301E"/>
    <w:rsid w:val="00BC31FF"/>
    <w:rsid w:val="00BD714B"/>
    <w:rsid w:val="00BE529C"/>
    <w:rsid w:val="00BF5009"/>
    <w:rsid w:val="00C05016"/>
    <w:rsid w:val="00C10F7F"/>
    <w:rsid w:val="00C114A6"/>
    <w:rsid w:val="00C115E6"/>
    <w:rsid w:val="00C229CE"/>
    <w:rsid w:val="00C234DE"/>
    <w:rsid w:val="00C321B9"/>
    <w:rsid w:val="00C34C5F"/>
    <w:rsid w:val="00C47236"/>
    <w:rsid w:val="00C476B1"/>
    <w:rsid w:val="00C50460"/>
    <w:rsid w:val="00C5058A"/>
    <w:rsid w:val="00C525FC"/>
    <w:rsid w:val="00C54C33"/>
    <w:rsid w:val="00C72753"/>
    <w:rsid w:val="00C80C02"/>
    <w:rsid w:val="00C8514D"/>
    <w:rsid w:val="00C85FF9"/>
    <w:rsid w:val="00CA159F"/>
    <w:rsid w:val="00CA3A43"/>
    <w:rsid w:val="00CA3B9F"/>
    <w:rsid w:val="00CA3C37"/>
    <w:rsid w:val="00CB2C76"/>
    <w:rsid w:val="00CB3B94"/>
    <w:rsid w:val="00CB3BFD"/>
    <w:rsid w:val="00CC354F"/>
    <w:rsid w:val="00CC3CA6"/>
    <w:rsid w:val="00CD5FE7"/>
    <w:rsid w:val="00CF2E5E"/>
    <w:rsid w:val="00CF3A49"/>
    <w:rsid w:val="00CF72CA"/>
    <w:rsid w:val="00D11508"/>
    <w:rsid w:val="00D14E1E"/>
    <w:rsid w:val="00D46E1B"/>
    <w:rsid w:val="00D60850"/>
    <w:rsid w:val="00D61A68"/>
    <w:rsid w:val="00D63456"/>
    <w:rsid w:val="00D76679"/>
    <w:rsid w:val="00D97875"/>
    <w:rsid w:val="00DA421D"/>
    <w:rsid w:val="00DA44C3"/>
    <w:rsid w:val="00DA7E8C"/>
    <w:rsid w:val="00DB1450"/>
    <w:rsid w:val="00DB4D59"/>
    <w:rsid w:val="00DB7056"/>
    <w:rsid w:val="00DD3031"/>
    <w:rsid w:val="00DD4A1E"/>
    <w:rsid w:val="00DD7069"/>
    <w:rsid w:val="00E03378"/>
    <w:rsid w:val="00E036BD"/>
    <w:rsid w:val="00E03E28"/>
    <w:rsid w:val="00E05F81"/>
    <w:rsid w:val="00E06570"/>
    <w:rsid w:val="00E236AD"/>
    <w:rsid w:val="00E251CB"/>
    <w:rsid w:val="00E25416"/>
    <w:rsid w:val="00E303D3"/>
    <w:rsid w:val="00E32E17"/>
    <w:rsid w:val="00E33375"/>
    <w:rsid w:val="00E36FB8"/>
    <w:rsid w:val="00E378D3"/>
    <w:rsid w:val="00E507A0"/>
    <w:rsid w:val="00E51751"/>
    <w:rsid w:val="00E61036"/>
    <w:rsid w:val="00E67B36"/>
    <w:rsid w:val="00E729A2"/>
    <w:rsid w:val="00E7641E"/>
    <w:rsid w:val="00E8002D"/>
    <w:rsid w:val="00E81374"/>
    <w:rsid w:val="00E82038"/>
    <w:rsid w:val="00E8332F"/>
    <w:rsid w:val="00E92CF1"/>
    <w:rsid w:val="00E974A0"/>
    <w:rsid w:val="00E977C0"/>
    <w:rsid w:val="00EA3EC7"/>
    <w:rsid w:val="00ED2521"/>
    <w:rsid w:val="00ED3C27"/>
    <w:rsid w:val="00ED6EB8"/>
    <w:rsid w:val="00EE5E3C"/>
    <w:rsid w:val="00EF0147"/>
    <w:rsid w:val="00EF1760"/>
    <w:rsid w:val="00EF5088"/>
    <w:rsid w:val="00EF69BC"/>
    <w:rsid w:val="00EF7494"/>
    <w:rsid w:val="00F00D8E"/>
    <w:rsid w:val="00F0715F"/>
    <w:rsid w:val="00F1268F"/>
    <w:rsid w:val="00F173C4"/>
    <w:rsid w:val="00F17E8C"/>
    <w:rsid w:val="00F21602"/>
    <w:rsid w:val="00F222E1"/>
    <w:rsid w:val="00F32FA5"/>
    <w:rsid w:val="00F339D7"/>
    <w:rsid w:val="00F33A04"/>
    <w:rsid w:val="00F33EDB"/>
    <w:rsid w:val="00F42120"/>
    <w:rsid w:val="00F44D06"/>
    <w:rsid w:val="00F66604"/>
    <w:rsid w:val="00F70F99"/>
    <w:rsid w:val="00F774B0"/>
    <w:rsid w:val="00F91806"/>
    <w:rsid w:val="00F94116"/>
    <w:rsid w:val="00FA11CD"/>
    <w:rsid w:val="00FA5451"/>
    <w:rsid w:val="00FA5C56"/>
    <w:rsid w:val="00FB67F2"/>
    <w:rsid w:val="00FB6B3C"/>
    <w:rsid w:val="00FC11C1"/>
    <w:rsid w:val="00FC2846"/>
    <w:rsid w:val="00FC2A70"/>
    <w:rsid w:val="00FC474C"/>
    <w:rsid w:val="00FF4F0A"/>
    <w:rsid w:val="00FF526F"/>
    <w:rsid w:val="00FF5AF6"/>
    <w:rsid w:val="011C7586"/>
    <w:rsid w:val="01205F2D"/>
    <w:rsid w:val="0122712F"/>
    <w:rsid w:val="013F5F38"/>
    <w:rsid w:val="014315E9"/>
    <w:rsid w:val="01467061"/>
    <w:rsid w:val="01592609"/>
    <w:rsid w:val="016E5EA9"/>
    <w:rsid w:val="019A63BA"/>
    <w:rsid w:val="01C162AD"/>
    <w:rsid w:val="01F64FD0"/>
    <w:rsid w:val="020C2DEE"/>
    <w:rsid w:val="02101A9F"/>
    <w:rsid w:val="0243495E"/>
    <w:rsid w:val="027A18BE"/>
    <w:rsid w:val="02B64F16"/>
    <w:rsid w:val="02E30AE2"/>
    <w:rsid w:val="02E55309"/>
    <w:rsid w:val="02F227E5"/>
    <w:rsid w:val="02F26545"/>
    <w:rsid w:val="030C78DB"/>
    <w:rsid w:val="03467107"/>
    <w:rsid w:val="034715F5"/>
    <w:rsid w:val="035F31D0"/>
    <w:rsid w:val="03613551"/>
    <w:rsid w:val="03A008C5"/>
    <w:rsid w:val="03B50125"/>
    <w:rsid w:val="03D97EB3"/>
    <w:rsid w:val="03DF6D4E"/>
    <w:rsid w:val="03EF5EB9"/>
    <w:rsid w:val="041B79A5"/>
    <w:rsid w:val="0430645E"/>
    <w:rsid w:val="04405076"/>
    <w:rsid w:val="046319D0"/>
    <w:rsid w:val="047B5B3A"/>
    <w:rsid w:val="048D5D2A"/>
    <w:rsid w:val="048E2A3E"/>
    <w:rsid w:val="04927D66"/>
    <w:rsid w:val="049750E5"/>
    <w:rsid w:val="04B819E6"/>
    <w:rsid w:val="04DF3FAB"/>
    <w:rsid w:val="04E103B3"/>
    <w:rsid w:val="04FA2858"/>
    <w:rsid w:val="053E7A97"/>
    <w:rsid w:val="05685D62"/>
    <w:rsid w:val="0574501E"/>
    <w:rsid w:val="05763C61"/>
    <w:rsid w:val="059432A4"/>
    <w:rsid w:val="05A71D7C"/>
    <w:rsid w:val="05CD2851"/>
    <w:rsid w:val="05EE3422"/>
    <w:rsid w:val="05F36D95"/>
    <w:rsid w:val="0614477E"/>
    <w:rsid w:val="061C6AA2"/>
    <w:rsid w:val="062F47AD"/>
    <w:rsid w:val="06311EAD"/>
    <w:rsid w:val="06402BD7"/>
    <w:rsid w:val="06431400"/>
    <w:rsid w:val="065F472D"/>
    <w:rsid w:val="06E445B0"/>
    <w:rsid w:val="06E47C47"/>
    <w:rsid w:val="06E6169C"/>
    <w:rsid w:val="07276A5F"/>
    <w:rsid w:val="07422194"/>
    <w:rsid w:val="074476F3"/>
    <w:rsid w:val="07471A64"/>
    <w:rsid w:val="07571DAC"/>
    <w:rsid w:val="077F4589"/>
    <w:rsid w:val="07AF1359"/>
    <w:rsid w:val="07DE1DD4"/>
    <w:rsid w:val="07F00AB1"/>
    <w:rsid w:val="07F034A5"/>
    <w:rsid w:val="081D5E0D"/>
    <w:rsid w:val="082C13F0"/>
    <w:rsid w:val="084F5179"/>
    <w:rsid w:val="085F79C0"/>
    <w:rsid w:val="08793B28"/>
    <w:rsid w:val="087F1537"/>
    <w:rsid w:val="0891464F"/>
    <w:rsid w:val="08BD3A2B"/>
    <w:rsid w:val="08C323A1"/>
    <w:rsid w:val="08DA1527"/>
    <w:rsid w:val="09466D23"/>
    <w:rsid w:val="095F4DFF"/>
    <w:rsid w:val="096B3CA2"/>
    <w:rsid w:val="09A9769D"/>
    <w:rsid w:val="09C61262"/>
    <w:rsid w:val="09EC4CDA"/>
    <w:rsid w:val="09F43C76"/>
    <w:rsid w:val="09FD3050"/>
    <w:rsid w:val="09FF1BA6"/>
    <w:rsid w:val="0A014A08"/>
    <w:rsid w:val="0A451DBB"/>
    <w:rsid w:val="0A516BB7"/>
    <w:rsid w:val="0A5F3FB6"/>
    <w:rsid w:val="0A6B6542"/>
    <w:rsid w:val="0AB00EBB"/>
    <w:rsid w:val="0AB06B62"/>
    <w:rsid w:val="0AC77A7A"/>
    <w:rsid w:val="0AD57DF9"/>
    <w:rsid w:val="0B117E12"/>
    <w:rsid w:val="0BAC78DC"/>
    <w:rsid w:val="0BB47E2F"/>
    <w:rsid w:val="0BDF7C1B"/>
    <w:rsid w:val="0BFC5B90"/>
    <w:rsid w:val="0C1C4F6E"/>
    <w:rsid w:val="0C2534B4"/>
    <w:rsid w:val="0C3E0AA9"/>
    <w:rsid w:val="0C415EAA"/>
    <w:rsid w:val="0C8C32C0"/>
    <w:rsid w:val="0CA41A82"/>
    <w:rsid w:val="0CD910AD"/>
    <w:rsid w:val="0D0C4ABE"/>
    <w:rsid w:val="0D211FE5"/>
    <w:rsid w:val="0D477D41"/>
    <w:rsid w:val="0D5F7C0C"/>
    <w:rsid w:val="0D7E622B"/>
    <w:rsid w:val="0D995D16"/>
    <w:rsid w:val="0DAF0099"/>
    <w:rsid w:val="0DAF753A"/>
    <w:rsid w:val="0DB47095"/>
    <w:rsid w:val="0DD25EE1"/>
    <w:rsid w:val="0DD454FA"/>
    <w:rsid w:val="0DD91E45"/>
    <w:rsid w:val="0DE43EAA"/>
    <w:rsid w:val="0E2853B5"/>
    <w:rsid w:val="0E454183"/>
    <w:rsid w:val="0E660958"/>
    <w:rsid w:val="0EB9159E"/>
    <w:rsid w:val="0EBE049E"/>
    <w:rsid w:val="0EDA4FA3"/>
    <w:rsid w:val="0EDC085A"/>
    <w:rsid w:val="0EDD21EE"/>
    <w:rsid w:val="0EE15EFA"/>
    <w:rsid w:val="0EE62399"/>
    <w:rsid w:val="0EF4427B"/>
    <w:rsid w:val="0EFC38F0"/>
    <w:rsid w:val="0F0D2152"/>
    <w:rsid w:val="0F1067B2"/>
    <w:rsid w:val="0F130FC8"/>
    <w:rsid w:val="0F605F9D"/>
    <w:rsid w:val="0F6C0A6B"/>
    <w:rsid w:val="0F701C6A"/>
    <w:rsid w:val="0F91175C"/>
    <w:rsid w:val="0FA948F3"/>
    <w:rsid w:val="0FC92048"/>
    <w:rsid w:val="0FD146C5"/>
    <w:rsid w:val="0FE4089C"/>
    <w:rsid w:val="0FE70BB6"/>
    <w:rsid w:val="10055FB8"/>
    <w:rsid w:val="102040E9"/>
    <w:rsid w:val="1051176C"/>
    <w:rsid w:val="105C6BE7"/>
    <w:rsid w:val="1073640B"/>
    <w:rsid w:val="10951263"/>
    <w:rsid w:val="112746ED"/>
    <w:rsid w:val="11406AD5"/>
    <w:rsid w:val="1156531E"/>
    <w:rsid w:val="119C3741"/>
    <w:rsid w:val="11C4717C"/>
    <w:rsid w:val="11CF536A"/>
    <w:rsid w:val="12063D9E"/>
    <w:rsid w:val="122215AC"/>
    <w:rsid w:val="123151B0"/>
    <w:rsid w:val="125572B4"/>
    <w:rsid w:val="126B0F15"/>
    <w:rsid w:val="12892A0F"/>
    <w:rsid w:val="12B42F1D"/>
    <w:rsid w:val="12F341CA"/>
    <w:rsid w:val="12FB08CE"/>
    <w:rsid w:val="12FF1BCB"/>
    <w:rsid w:val="131A7732"/>
    <w:rsid w:val="13804E53"/>
    <w:rsid w:val="14081FF4"/>
    <w:rsid w:val="14240E94"/>
    <w:rsid w:val="14345B27"/>
    <w:rsid w:val="143563F5"/>
    <w:rsid w:val="145F368D"/>
    <w:rsid w:val="14D66F43"/>
    <w:rsid w:val="15012838"/>
    <w:rsid w:val="150834D9"/>
    <w:rsid w:val="15172FB0"/>
    <w:rsid w:val="15335B8C"/>
    <w:rsid w:val="15340746"/>
    <w:rsid w:val="1552003B"/>
    <w:rsid w:val="157B4C91"/>
    <w:rsid w:val="157C49E5"/>
    <w:rsid w:val="15A26288"/>
    <w:rsid w:val="15C67E2A"/>
    <w:rsid w:val="15C74FC9"/>
    <w:rsid w:val="15CE2B61"/>
    <w:rsid w:val="15D52337"/>
    <w:rsid w:val="160346E2"/>
    <w:rsid w:val="163F34B3"/>
    <w:rsid w:val="16B57D49"/>
    <w:rsid w:val="17157149"/>
    <w:rsid w:val="1740796B"/>
    <w:rsid w:val="17645245"/>
    <w:rsid w:val="17E0543F"/>
    <w:rsid w:val="17E40D9D"/>
    <w:rsid w:val="17EE56E9"/>
    <w:rsid w:val="181770F7"/>
    <w:rsid w:val="181C15B1"/>
    <w:rsid w:val="182E0353"/>
    <w:rsid w:val="182E4CC2"/>
    <w:rsid w:val="18312669"/>
    <w:rsid w:val="18446640"/>
    <w:rsid w:val="1863722B"/>
    <w:rsid w:val="18742113"/>
    <w:rsid w:val="18773576"/>
    <w:rsid w:val="189051BD"/>
    <w:rsid w:val="18AC0BD1"/>
    <w:rsid w:val="18BD2669"/>
    <w:rsid w:val="18FE2C64"/>
    <w:rsid w:val="191A5797"/>
    <w:rsid w:val="192173AC"/>
    <w:rsid w:val="192B02DB"/>
    <w:rsid w:val="197203AE"/>
    <w:rsid w:val="19737C7D"/>
    <w:rsid w:val="198F4B4C"/>
    <w:rsid w:val="19B30FA1"/>
    <w:rsid w:val="19B44202"/>
    <w:rsid w:val="19C329F5"/>
    <w:rsid w:val="19C865A2"/>
    <w:rsid w:val="1A0A32DB"/>
    <w:rsid w:val="1A202E23"/>
    <w:rsid w:val="1A4948DA"/>
    <w:rsid w:val="1A750764"/>
    <w:rsid w:val="1A8A3404"/>
    <w:rsid w:val="1A935AD8"/>
    <w:rsid w:val="1AB12924"/>
    <w:rsid w:val="1ADB5480"/>
    <w:rsid w:val="1AE650DE"/>
    <w:rsid w:val="1AE72697"/>
    <w:rsid w:val="1B1D2DD1"/>
    <w:rsid w:val="1B201242"/>
    <w:rsid w:val="1B2D1AC1"/>
    <w:rsid w:val="1B6C13EB"/>
    <w:rsid w:val="1B730569"/>
    <w:rsid w:val="1B8870F7"/>
    <w:rsid w:val="1BB956BC"/>
    <w:rsid w:val="1BCB40AF"/>
    <w:rsid w:val="1BE953F3"/>
    <w:rsid w:val="1BFD7776"/>
    <w:rsid w:val="1C2D1E28"/>
    <w:rsid w:val="1C596D4D"/>
    <w:rsid w:val="1C603B5F"/>
    <w:rsid w:val="1C856F63"/>
    <w:rsid w:val="1CCA69DA"/>
    <w:rsid w:val="1CD92549"/>
    <w:rsid w:val="1CEF4065"/>
    <w:rsid w:val="1D0818F8"/>
    <w:rsid w:val="1D19443A"/>
    <w:rsid w:val="1D21618F"/>
    <w:rsid w:val="1D216C8C"/>
    <w:rsid w:val="1D4D54F4"/>
    <w:rsid w:val="1D4E6C96"/>
    <w:rsid w:val="1D687EC9"/>
    <w:rsid w:val="1D85102B"/>
    <w:rsid w:val="1DB3762A"/>
    <w:rsid w:val="1DB909EE"/>
    <w:rsid w:val="1DC3511D"/>
    <w:rsid w:val="1DF40327"/>
    <w:rsid w:val="1DF66BB2"/>
    <w:rsid w:val="1DF73B5A"/>
    <w:rsid w:val="1E136732"/>
    <w:rsid w:val="1E7352C5"/>
    <w:rsid w:val="1EB107BE"/>
    <w:rsid w:val="1EBB734F"/>
    <w:rsid w:val="1EEC49C6"/>
    <w:rsid w:val="1F2652F5"/>
    <w:rsid w:val="1F2C6BAC"/>
    <w:rsid w:val="1F76319F"/>
    <w:rsid w:val="1F9947F4"/>
    <w:rsid w:val="1FB65FEE"/>
    <w:rsid w:val="1FD12DF4"/>
    <w:rsid w:val="1FD26074"/>
    <w:rsid w:val="1FDE78E9"/>
    <w:rsid w:val="1FFE786B"/>
    <w:rsid w:val="201C5C34"/>
    <w:rsid w:val="20236925"/>
    <w:rsid w:val="206E3BCE"/>
    <w:rsid w:val="2095138A"/>
    <w:rsid w:val="20D50AE9"/>
    <w:rsid w:val="21007B31"/>
    <w:rsid w:val="210310D5"/>
    <w:rsid w:val="2104032F"/>
    <w:rsid w:val="21C1714C"/>
    <w:rsid w:val="220113B9"/>
    <w:rsid w:val="220752D4"/>
    <w:rsid w:val="22125E62"/>
    <w:rsid w:val="22166642"/>
    <w:rsid w:val="22346C41"/>
    <w:rsid w:val="2251008C"/>
    <w:rsid w:val="22737E04"/>
    <w:rsid w:val="227E1A0D"/>
    <w:rsid w:val="22A354CD"/>
    <w:rsid w:val="22C3649B"/>
    <w:rsid w:val="22E055C5"/>
    <w:rsid w:val="2324153B"/>
    <w:rsid w:val="236478D8"/>
    <w:rsid w:val="238B16EA"/>
    <w:rsid w:val="239C5D62"/>
    <w:rsid w:val="23C4772D"/>
    <w:rsid w:val="23D00CD5"/>
    <w:rsid w:val="24163001"/>
    <w:rsid w:val="244838F3"/>
    <w:rsid w:val="2449476B"/>
    <w:rsid w:val="24580E96"/>
    <w:rsid w:val="245D0114"/>
    <w:rsid w:val="24763607"/>
    <w:rsid w:val="24816828"/>
    <w:rsid w:val="24894F42"/>
    <w:rsid w:val="248F5DD5"/>
    <w:rsid w:val="2496462A"/>
    <w:rsid w:val="24A95456"/>
    <w:rsid w:val="24AB4BE8"/>
    <w:rsid w:val="25561C60"/>
    <w:rsid w:val="2588464E"/>
    <w:rsid w:val="258966DF"/>
    <w:rsid w:val="25DC038D"/>
    <w:rsid w:val="261B29B1"/>
    <w:rsid w:val="261C75C5"/>
    <w:rsid w:val="26506136"/>
    <w:rsid w:val="267813D6"/>
    <w:rsid w:val="268F4967"/>
    <w:rsid w:val="26A64C43"/>
    <w:rsid w:val="26BC4A35"/>
    <w:rsid w:val="26C12472"/>
    <w:rsid w:val="26C77DFA"/>
    <w:rsid w:val="26EC3F68"/>
    <w:rsid w:val="27357D75"/>
    <w:rsid w:val="278B3281"/>
    <w:rsid w:val="27914E30"/>
    <w:rsid w:val="27B27A00"/>
    <w:rsid w:val="27C7403A"/>
    <w:rsid w:val="27E80C28"/>
    <w:rsid w:val="280B50FF"/>
    <w:rsid w:val="280D5057"/>
    <w:rsid w:val="281A68CB"/>
    <w:rsid w:val="28445220"/>
    <w:rsid w:val="28626ACD"/>
    <w:rsid w:val="286E4313"/>
    <w:rsid w:val="287B4763"/>
    <w:rsid w:val="289C1987"/>
    <w:rsid w:val="28B42B35"/>
    <w:rsid w:val="28E612D3"/>
    <w:rsid w:val="28F816B6"/>
    <w:rsid w:val="29452BF1"/>
    <w:rsid w:val="29930E9C"/>
    <w:rsid w:val="29BF0D6D"/>
    <w:rsid w:val="29DB4EEF"/>
    <w:rsid w:val="29E24212"/>
    <w:rsid w:val="2A1B3C24"/>
    <w:rsid w:val="2A330A81"/>
    <w:rsid w:val="2A3D22AF"/>
    <w:rsid w:val="2A621BD5"/>
    <w:rsid w:val="2A764ACE"/>
    <w:rsid w:val="2A85376F"/>
    <w:rsid w:val="2A9B40E1"/>
    <w:rsid w:val="2A9B7BC3"/>
    <w:rsid w:val="2AD91C3E"/>
    <w:rsid w:val="2AF33626"/>
    <w:rsid w:val="2B0851C7"/>
    <w:rsid w:val="2B1A5246"/>
    <w:rsid w:val="2B2E2CA4"/>
    <w:rsid w:val="2B510EBB"/>
    <w:rsid w:val="2B6240F0"/>
    <w:rsid w:val="2B6B0BD5"/>
    <w:rsid w:val="2B884E76"/>
    <w:rsid w:val="2BB96653"/>
    <w:rsid w:val="2BCF1589"/>
    <w:rsid w:val="2BE42FC4"/>
    <w:rsid w:val="2BF009AF"/>
    <w:rsid w:val="2C1447D4"/>
    <w:rsid w:val="2C2159CE"/>
    <w:rsid w:val="2C4604BD"/>
    <w:rsid w:val="2C574C66"/>
    <w:rsid w:val="2C5A11FE"/>
    <w:rsid w:val="2C631616"/>
    <w:rsid w:val="2C662417"/>
    <w:rsid w:val="2C9636D7"/>
    <w:rsid w:val="2C9F5E1F"/>
    <w:rsid w:val="2CD818AB"/>
    <w:rsid w:val="2CE26756"/>
    <w:rsid w:val="2CE33DA9"/>
    <w:rsid w:val="2D0004F4"/>
    <w:rsid w:val="2D273B92"/>
    <w:rsid w:val="2D312307"/>
    <w:rsid w:val="2D58274A"/>
    <w:rsid w:val="2D7E77E3"/>
    <w:rsid w:val="2D9570FE"/>
    <w:rsid w:val="2D9D76F4"/>
    <w:rsid w:val="2DA81656"/>
    <w:rsid w:val="2DAF056C"/>
    <w:rsid w:val="2DCF43C3"/>
    <w:rsid w:val="2E150719"/>
    <w:rsid w:val="2E1A730D"/>
    <w:rsid w:val="2E2A34C6"/>
    <w:rsid w:val="2E424CB4"/>
    <w:rsid w:val="2E564512"/>
    <w:rsid w:val="2E793DAD"/>
    <w:rsid w:val="2E800864"/>
    <w:rsid w:val="2EA12C10"/>
    <w:rsid w:val="2EA53708"/>
    <w:rsid w:val="2ECA1542"/>
    <w:rsid w:val="2ED12177"/>
    <w:rsid w:val="2EEC7C0E"/>
    <w:rsid w:val="2EF54349"/>
    <w:rsid w:val="2F5274AF"/>
    <w:rsid w:val="2F6D507B"/>
    <w:rsid w:val="2F910BA5"/>
    <w:rsid w:val="2FAD4289"/>
    <w:rsid w:val="2FCD6C2B"/>
    <w:rsid w:val="2FD21815"/>
    <w:rsid w:val="2FDC6A42"/>
    <w:rsid w:val="30042703"/>
    <w:rsid w:val="30603426"/>
    <w:rsid w:val="30735396"/>
    <w:rsid w:val="30B97466"/>
    <w:rsid w:val="30C654D4"/>
    <w:rsid w:val="30DA08EB"/>
    <w:rsid w:val="30DB3DFD"/>
    <w:rsid w:val="30E75886"/>
    <w:rsid w:val="31037881"/>
    <w:rsid w:val="310D1227"/>
    <w:rsid w:val="311638B1"/>
    <w:rsid w:val="31275316"/>
    <w:rsid w:val="312B088F"/>
    <w:rsid w:val="312B5A15"/>
    <w:rsid w:val="313A24CE"/>
    <w:rsid w:val="314A6D73"/>
    <w:rsid w:val="315E3BB3"/>
    <w:rsid w:val="31852333"/>
    <w:rsid w:val="31920295"/>
    <w:rsid w:val="31A23C0E"/>
    <w:rsid w:val="31A737AC"/>
    <w:rsid w:val="31EB315E"/>
    <w:rsid w:val="3209610D"/>
    <w:rsid w:val="32612E71"/>
    <w:rsid w:val="326C2BB3"/>
    <w:rsid w:val="32DB1FC3"/>
    <w:rsid w:val="32DC3B83"/>
    <w:rsid w:val="32E5116A"/>
    <w:rsid w:val="32E60304"/>
    <w:rsid w:val="32F70199"/>
    <w:rsid w:val="334C45FA"/>
    <w:rsid w:val="33A93897"/>
    <w:rsid w:val="33CC6BEF"/>
    <w:rsid w:val="33D23D92"/>
    <w:rsid w:val="33D45A38"/>
    <w:rsid w:val="343635A4"/>
    <w:rsid w:val="34413CC8"/>
    <w:rsid w:val="345A342E"/>
    <w:rsid w:val="34792AD8"/>
    <w:rsid w:val="3497640E"/>
    <w:rsid w:val="34B1408F"/>
    <w:rsid w:val="34D27F84"/>
    <w:rsid w:val="34E7737F"/>
    <w:rsid w:val="34EE2CC1"/>
    <w:rsid w:val="34F07619"/>
    <w:rsid w:val="34F33263"/>
    <w:rsid w:val="34F80DFD"/>
    <w:rsid w:val="34F96DD6"/>
    <w:rsid w:val="350E679D"/>
    <w:rsid w:val="351C612A"/>
    <w:rsid w:val="355B357D"/>
    <w:rsid w:val="356B1CED"/>
    <w:rsid w:val="357920B4"/>
    <w:rsid w:val="35825811"/>
    <w:rsid w:val="35843E04"/>
    <w:rsid w:val="358E3575"/>
    <w:rsid w:val="35BD7493"/>
    <w:rsid w:val="35E755E1"/>
    <w:rsid w:val="363B0502"/>
    <w:rsid w:val="3689736E"/>
    <w:rsid w:val="368A2D3F"/>
    <w:rsid w:val="36BD1F97"/>
    <w:rsid w:val="36C3354B"/>
    <w:rsid w:val="36C719F4"/>
    <w:rsid w:val="36DA2051"/>
    <w:rsid w:val="37056B0B"/>
    <w:rsid w:val="37072E81"/>
    <w:rsid w:val="373B479E"/>
    <w:rsid w:val="375957B2"/>
    <w:rsid w:val="377916C1"/>
    <w:rsid w:val="377F1F61"/>
    <w:rsid w:val="378D4266"/>
    <w:rsid w:val="37AF290B"/>
    <w:rsid w:val="37CD3DB3"/>
    <w:rsid w:val="37FE1E90"/>
    <w:rsid w:val="37FE5D6C"/>
    <w:rsid w:val="3819108B"/>
    <w:rsid w:val="38296324"/>
    <w:rsid w:val="385273AD"/>
    <w:rsid w:val="388A7C8A"/>
    <w:rsid w:val="38A84873"/>
    <w:rsid w:val="38BE03E2"/>
    <w:rsid w:val="391100F7"/>
    <w:rsid w:val="392A54BB"/>
    <w:rsid w:val="39593DAE"/>
    <w:rsid w:val="39784B91"/>
    <w:rsid w:val="3982260A"/>
    <w:rsid w:val="399E7268"/>
    <w:rsid w:val="39A36597"/>
    <w:rsid w:val="39B864CE"/>
    <w:rsid w:val="39B86830"/>
    <w:rsid w:val="39BB4247"/>
    <w:rsid w:val="39E73C60"/>
    <w:rsid w:val="3A2F07EB"/>
    <w:rsid w:val="3A313D2B"/>
    <w:rsid w:val="3A384CD5"/>
    <w:rsid w:val="3A573B3B"/>
    <w:rsid w:val="3ABA718E"/>
    <w:rsid w:val="3ADE6932"/>
    <w:rsid w:val="3B053CA6"/>
    <w:rsid w:val="3B1A7A93"/>
    <w:rsid w:val="3B1F28DE"/>
    <w:rsid w:val="3B417B7F"/>
    <w:rsid w:val="3B585B17"/>
    <w:rsid w:val="3B602ACD"/>
    <w:rsid w:val="3BAC3166"/>
    <w:rsid w:val="3BCB62E9"/>
    <w:rsid w:val="3BCC3817"/>
    <w:rsid w:val="3BD52E9E"/>
    <w:rsid w:val="3C082E17"/>
    <w:rsid w:val="3C0C6E72"/>
    <w:rsid w:val="3C4A5020"/>
    <w:rsid w:val="3CCB40C7"/>
    <w:rsid w:val="3CEE41E0"/>
    <w:rsid w:val="3D0424EB"/>
    <w:rsid w:val="3D7708A5"/>
    <w:rsid w:val="3D8D041F"/>
    <w:rsid w:val="3D920DDE"/>
    <w:rsid w:val="3D9372DA"/>
    <w:rsid w:val="3DA012ED"/>
    <w:rsid w:val="3DAE3C41"/>
    <w:rsid w:val="3DC00B2A"/>
    <w:rsid w:val="3DC05316"/>
    <w:rsid w:val="3DDF7601"/>
    <w:rsid w:val="3E076009"/>
    <w:rsid w:val="3E290DDA"/>
    <w:rsid w:val="3E2F79BC"/>
    <w:rsid w:val="3E312C10"/>
    <w:rsid w:val="3E4F4FD4"/>
    <w:rsid w:val="3E74296A"/>
    <w:rsid w:val="3E9B4476"/>
    <w:rsid w:val="3EB508F0"/>
    <w:rsid w:val="3EBD4F5F"/>
    <w:rsid w:val="3EE207AE"/>
    <w:rsid w:val="3EE227F1"/>
    <w:rsid w:val="3EE32BAF"/>
    <w:rsid w:val="3F620473"/>
    <w:rsid w:val="3FCC3CB8"/>
    <w:rsid w:val="3FD73245"/>
    <w:rsid w:val="3FDB2EB6"/>
    <w:rsid w:val="3FF06783"/>
    <w:rsid w:val="400D49EB"/>
    <w:rsid w:val="400E0BDF"/>
    <w:rsid w:val="400E1879"/>
    <w:rsid w:val="400E7BCF"/>
    <w:rsid w:val="400F484B"/>
    <w:rsid w:val="400F5B8D"/>
    <w:rsid w:val="403A2EA0"/>
    <w:rsid w:val="40401619"/>
    <w:rsid w:val="40503699"/>
    <w:rsid w:val="40741F5E"/>
    <w:rsid w:val="407828F9"/>
    <w:rsid w:val="40E654B4"/>
    <w:rsid w:val="40F66BF0"/>
    <w:rsid w:val="41060BFE"/>
    <w:rsid w:val="414B575F"/>
    <w:rsid w:val="41591915"/>
    <w:rsid w:val="41692C66"/>
    <w:rsid w:val="416F6536"/>
    <w:rsid w:val="417463B6"/>
    <w:rsid w:val="418D0739"/>
    <w:rsid w:val="41C82598"/>
    <w:rsid w:val="41D81D1C"/>
    <w:rsid w:val="41D82A40"/>
    <w:rsid w:val="41F86CF8"/>
    <w:rsid w:val="4201477A"/>
    <w:rsid w:val="42061430"/>
    <w:rsid w:val="42402E11"/>
    <w:rsid w:val="42475A5D"/>
    <w:rsid w:val="42844E80"/>
    <w:rsid w:val="428C7C23"/>
    <w:rsid w:val="429F48BB"/>
    <w:rsid w:val="42C63B1E"/>
    <w:rsid w:val="42C65079"/>
    <w:rsid w:val="42D24314"/>
    <w:rsid w:val="42F11CB6"/>
    <w:rsid w:val="42F82A49"/>
    <w:rsid w:val="433801C2"/>
    <w:rsid w:val="43421A8B"/>
    <w:rsid w:val="43442227"/>
    <w:rsid w:val="434D5DC0"/>
    <w:rsid w:val="436044AF"/>
    <w:rsid w:val="436C6603"/>
    <w:rsid w:val="4393138C"/>
    <w:rsid w:val="439D0CEF"/>
    <w:rsid w:val="43BA14F7"/>
    <w:rsid w:val="43CE7F49"/>
    <w:rsid w:val="43D00846"/>
    <w:rsid w:val="43DB7FC2"/>
    <w:rsid w:val="43E20E38"/>
    <w:rsid w:val="43EC653D"/>
    <w:rsid w:val="43FA7C01"/>
    <w:rsid w:val="441D0338"/>
    <w:rsid w:val="445D6B98"/>
    <w:rsid w:val="446425DF"/>
    <w:rsid w:val="44666520"/>
    <w:rsid w:val="44942A62"/>
    <w:rsid w:val="44B57E0C"/>
    <w:rsid w:val="44D51155"/>
    <w:rsid w:val="44E75D93"/>
    <w:rsid w:val="44ED3738"/>
    <w:rsid w:val="44F422D6"/>
    <w:rsid w:val="44F85E0C"/>
    <w:rsid w:val="450F4DC5"/>
    <w:rsid w:val="45143D96"/>
    <w:rsid w:val="451D496B"/>
    <w:rsid w:val="457C411B"/>
    <w:rsid w:val="45C74BFD"/>
    <w:rsid w:val="461940F5"/>
    <w:rsid w:val="461E16AF"/>
    <w:rsid w:val="461F555F"/>
    <w:rsid w:val="462B33D2"/>
    <w:rsid w:val="462E7150"/>
    <w:rsid w:val="466C0F06"/>
    <w:rsid w:val="467437DA"/>
    <w:rsid w:val="467D28D5"/>
    <w:rsid w:val="46A07A78"/>
    <w:rsid w:val="46A77E24"/>
    <w:rsid w:val="46C0446F"/>
    <w:rsid w:val="46CA3E32"/>
    <w:rsid w:val="46CB7834"/>
    <w:rsid w:val="46D743D7"/>
    <w:rsid w:val="46F0067D"/>
    <w:rsid w:val="46FA63BF"/>
    <w:rsid w:val="46FF27AB"/>
    <w:rsid w:val="470A34A7"/>
    <w:rsid w:val="47125305"/>
    <w:rsid w:val="471E66AE"/>
    <w:rsid w:val="47293118"/>
    <w:rsid w:val="47462BDC"/>
    <w:rsid w:val="474D0796"/>
    <w:rsid w:val="474E466D"/>
    <w:rsid w:val="475054B3"/>
    <w:rsid w:val="47632424"/>
    <w:rsid w:val="47653E85"/>
    <w:rsid w:val="476D4020"/>
    <w:rsid w:val="47A956FF"/>
    <w:rsid w:val="47EE035B"/>
    <w:rsid w:val="47EF352A"/>
    <w:rsid w:val="47FF4FEC"/>
    <w:rsid w:val="480939C1"/>
    <w:rsid w:val="4853263A"/>
    <w:rsid w:val="4879644F"/>
    <w:rsid w:val="487A1FFB"/>
    <w:rsid w:val="48822999"/>
    <w:rsid w:val="48A73327"/>
    <w:rsid w:val="48AF0DBE"/>
    <w:rsid w:val="48D16D58"/>
    <w:rsid w:val="48D76F3B"/>
    <w:rsid w:val="48DD5E8E"/>
    <w:rsid w:val="48E57D69"/>
    <w:rsid w:val="49024B8D"/>
    <w:rsid w:val="49206389"/>
    <w:rsid w:val="492B2A87"/>
    <w:rsid w:val="493A0842"/>
    <w:rsid w:val="495F44AA"/>
    <w:rsid w:val="495F7AEC"/>
    <w:rsid w:val="497C7CD3"/>
    <w:rsid w:val="49913A42"/>
    <w:rsid w:val="49B80554"/>
    <w:rsid w:val="4A121587"/>
    <w:rsid w:val="4A3B476F"/>
    <w:rsid w:val="4A554DA8"/>
    <w:rsid w:val="4A7319F4"/>
    <w:rsid w:val="4A8F4F00"/>
    <w:rsid w:val="4A9B2E57"/>
    <w:rsid w:val="4ABE3DC5"/>
    <w:rsid w:val="4B037F04"/>
    <w:rsid w:val="4B1F46FE"/>
    <w:rsid w:val="4B487C05"/>
    <w:rsid w:val="4B713305"/>
    <w:rsid w:val="4B775B45"/>
    <w:rsid w:val="4B7C7600"/>
    <w:rsid w:val="4BD51763"/>
    <w:rsid w:val="4BE34B16"/>
    <w:rsid w:val="4BE57301"/>
    <w:rsid w:val="4C09352A"/>
    <w:rsid w:val="4C112E10"/>
    <w:rsid w:val="4C240B1E"/>
    <w:rsid w:val="4C312198"/>
    <w:rsid w:val="4C465F0E"/>
    <w:rsid w:val="4C8A2C7F"/>
    <w:rsid w:val="4C910E89"/>
    <w:rsid w:val="4C983627"/>
    <w:rsid w:val="4C9C3698"/>
    <w:rsid w:val="4CAA5970"/>
    <w:rsid w:val="4CCB7D65"/>
    <w:rsid w:val="4CEE191C"/>
    <w:rsid w:val="4CEE1B98"/>
    <w:rsid w:val="4CEF3874"/>
    <w:rsid w:val="4CFE5A9F"/>
    <w:rsid w:val="4D071182"/>
    <w:rsid w:val="4D09057E"/>
    <w:rsid w:val="4D4E4E33"/>
    <w:rsid w:val="4D4F3A17"/>
    <w:rsid w:val="4D6206E3"/>
    <w:rsid w:val="4D7761FB"/>
    <w:rsid w:val="4D8326EC"/>
    <w:rsid w:val="4D9D2A03"/>
    <w:rsid w:val="4D9E058A"/>
    <w:rsid w:val="4DB82A16"/>
    <w:rsid w:val="4DCE3097"/>
    <w:rsid w:val="4DE72D79"/>
    <w:rsid w:val="4DFC2979"/>
    <w:rsid w:val="4DFF01B5"/>
    <w:rsid w:val="4E0D5F08"/>
    <w:rsid w:val="4E160303"/>
    <w:rsid w:val="4E243477"/>
    <w:rsid w:val="4E7413FF"/>
    <w:rsid w:val="4E783C05"/>
    <w:rsid w:val="4E940546"/>
    <w:rsid w:val="4EAA1C0A"/>
    <w:rsid w:val="4EB74686"/>
    <w:rsid w:val="4EC02D8C"/>
    <w:rsid w:val="4EE13771"/>
    <w:rsid w:val="4EF4673C"/>
    <w:rsid w:val="4EFB1C07"/>
    <w:rsid w:val="4F080C69"/>
    <w:rsid w:val="4F1A3598"/>
    <w:rsid w:val="4F246A8F"/>
    <w:rsid w:val="4F301F41"/>
    <w:rsid w:val="4F3066B9"/>
    <w:rsid w:val="4F754A92"/>
    <w:rsid w:val="4F787EF9"/>
    <w:rsid w:val="4FA35F4E"/>
    <w:rsid w:val="4FBD09BD"/>
    <w:rsid w:val="4FC838A8"/>
    <w:rsid w:val="4FF63D9A"/>
    <w:rsid w:val="4FFF685D"/>
    <w:rsid w:val="50095BB1"/>
    <w:rsid w:val="50122386"/>
    <w:rsid w:val="50123E84"/>
    <w:rsid w:val="502A52B0"/>
    <w:rsid w:val="503819D2"/>
    <w:rsid w:val="503C55AF"/>
    <w:rsid w:val="509C4C8B"/>
    <w:rsid w:val="50D9725E"/>
    <w:rsid w:val="50DA16CD"/>
    <w:rsid w:val="50F471DE"/>
    <w:rsid w:val="510E12DE"/>
    <w:rsid w:val="51187BBD"/>
    <w:rsid w:val="511E408B"/>
    <w:rsid w:val="51235E88"/>
    <w:rsid w:val="51774FD7"/>
    <w:rsid w:val="519E257C"/>
    <w:rsid w:val="51A837C8"/>
    <w:rsid w:val="51AD6837"/>
    <w:rsid w:val="51B94F02"/>
    <w:rsid w:val="51DB16D8"/>
    <w:rsid w:val="51DD12C3"/>
    <w:rsid w:val="51E92116"/>
    <w:rsid w:val="520C3D46"/>
    <w:rsid w:val="521437DA"/>
    <w:rsid w:val="52241037"/>
    <w:rsid w:val="52452079"/>
    <w:rsid w:val="52560955"/>
    <w:rsid w:val="526C0F3D"/>
    <w:rsid w:val="527C5FC1"/>
    <w:rsid w:val="52946452"/>
    <w:rsid w:val="532C37FF"/>
    <w:rsid w:val="534B17D6"/>
    <w:rsid w:val="535C40F7"/>
    <w:rsid w:val="539D71A3"/>
    <w:rsid w:val="53AD5548"/>
    <w:rsid w:val="53AD674A"/>
    <w:rsid w:val="53C91C3F"/>
    <w:rsid w:val="53E40895"/>
    <w:rsid w:val="53EC109A"/>
    <w:rsid w:val="54003B6E"/>
    <w:rsid w:val="5418245F"/>
    <w:rsid w:val="54534655"/>
    <w:rsid w:val="545A476E"/>
    <w:rsid w:val="54976E52"/>
    <w:rsid w:val="54A00222"/>
    <w:rsid w:val="54C359E8"/>
    <w:rsid w:val="54F07F8C"/>
    <w:rsid w:val="552A1DD1"/>
    <w:rsid w:val="553474CE"/>
    <w:rsid w:val="554B1262"/>
    <w:rsid w:val="55853555"/>
    <w:rsid w:val="55905154"/>
    <w:rsid w:val="562224F7"/>
    <w:rsid w:val="565A17F0"/>
    <w:rsid w:val="565F1191"/>
    <w:rsid w:val="56603C0D"/>
    <w:rsid w:val="56656C64"/>
    <w:rsid w:val="56731A47"/>
    <w:rsid w:val="568A747B"/>
    <w:rsid w:val="569A42ED"/>
    <w:rsid w:val="56AF7A09"/>
    <w:rsid w:val="56B17B25"/>
    <w:rsid w:val="56D026A5"/>
    <w:rsid w:val="56D63D31"/>
    <w:rsid w:val="56EB16DC"/>
    <w:rsid w:val="57155E49"/>
    <w:rsid w:val="57504129"/>
    <w:rsid w:val="5755212A"/>
    <w:rsid w:val="57587CF7"/>
    <w:rsid w:val="576D32A7"/>
    <w:rsid w:val="576F79E1"/>
    <w:rsid w:val="577B0EAB"/>
    <w:rsid w:val="578122B0"/>
    <w:rsid w:val="579437CD"/>
    <w:rsid w:val="57C04379"/>
    <w:rsid w:val="57F22A74"/>
    <w:rsid w:val="57FF5F87"/>
    <w:rsid w:val="585F4272"/>
    <w:rsid w:val="58607CCA"/>
    <w:rsid w:val="586432C0"/>
    <w:rsid w:val="58721112"/>
    <w:rsid w:val="587217D2"/>
    <w:rsid w:val="58CB5FB3"/>
    <w:rsid w:val="58D065CB"/>
    <w:rsid w:val="58D2125F"/>
    <w:rsid w:val="58E16229"/>
    <w:rsid w:val="58E41334"/>
    <w:rsid w:val="58EC4D59"/>
    <w:rsid w:val="58ED4F10"/>
    <w:rsid w:val="59053A6B"/>
    <w:rsid w:val="593606AB"/>
    <w:rsid w:val="59485AE2"/>
    <w:rsid w:val="595F349F"/>
    <w:rsid w:val="596C4871"/>
    <w:rsid w:val="599A5293"/>
    <w:rsid w:val="599E4289"/>
    <w:rsid w:val="59C311F8"/>
    <w:rsid w:val="59E92D49"/>
    <w:rsid w:val="5A0B5F0E"/>
    <w:rsid w:val="5A246ECB"/>
    <w:rsid w:val="5A3F41FB"/>
    <w:rsid w:val="5A5D4053"/>
    <w:rsid w:val="5A657BC4"/>
    <w:rsid w:val="5A7958E5"/>
    <w:rsid w:val="5AA37219"/>
    <w:rsid w:val="5AAE2E16"/>
    <w:rsid w:val="5AD8368E"/>
    <w:rsid w:val="5AE803B4"/>
    <w:rsid w:val="5B0A720A"/>
    <w:rsid w:val="5B531F13"/>
    <w:rsid w:val="5B7B27F9"/>
    <w:rsid w:val="5B896065"/>
    <w:rsid w:val="5BC33145"/>
    <w:rsid w:val="5C2A0BF8"/>
    <w:rsid w:val="5C5211B9"/>
    <w:rsid w:val="5C550AE5"/>
    <w:rsid w:val="5C7670C2"/>
    <w:rsid w:val="5C8738BB"/>
    <w:rsid w:val="5C9D443F"/>
    <w:rsid w:val="5CB36F9E"/>
    <w:rsid w:val="5CBC6DDD"/>
    <w:rsid w:val="5CC2508E"/>
    <w:rsid w:val="5CC904A3"/>
    <w:rsid w:val="5CC906BF"/>
    <w:rsid w:val="5CDC356D"/>
    <w:rsid w:val="5CF95ADF"/>
    <w:rsid w:val="5CFB4994"/>
    <w:rsid w:val="5D1860BF"/>
    <w:rsid w:val="5D1901FC"/>
    <w:rsid w:val="5D9A2411"/>
    <w:rsid w:val="5DD9227F"/>
    <w:rsid w:val="5DEC24F1"/>
    <w:rsid w:val="5E5D4C9F"/>
    <w:rsid w:val="5E654C26"/>
    <w:rsid w:val="5E67431E"/>
    <w:rsid w:val="5E914EC5"/>
    <w:rsid w:val="5EBA2C03"/>
    <w:rsid w:val="5F0008BF"/>
    <w:rsid w:val="5F006238"/>
    <w:rsid w:val="5F0B4827"/>
    <w:rsid w:val="5F1C5531"/>
    <w:rsid w:val="5F5E37C4"/>
    <w:rsid w:val="5F665F6C"/>
    <w:rsid w:val="5F8E572C"/>
    <w:rsid w:val="5FA1170A"/>
    <w:rsid w:val="5FAF03DE"/>
    <w:rsid w:val="5FD71EE2"/>
    <w:rsid w:val="5FDF040A"/>
    <w:rsid w:val="5FF326C6"/>
    <w:rsid w:val="60241002"/>
    <w:rsid w:val="60317E4A"/>
    <w:rsid w:val="60434DC9"/>
    <w:rsid w:val="605A4CF9"/>
    <w:rsid w:val="606B3F4A"/>
    <w:rsid w:val="6087466F"/>
    <w:rsid w:val="609603C4"/>
    <w:rsid w:val="609B5837"/>
    <w:rsid w:val="609C6BDD"/>
    <w:rsid w:val="60AF592A"/>
    <w:rsid w:val="60BE2779"/>
    <w:rsid w:val="60C57C05"/>
    <w:rsid w:val="60DE68CA"/>
    <w:rsid w:val="60F26EF1"/>
    <w:rsid w:val="617C359D"/>
    <w:rsid w:val="6190584C"/>
    <w:rsid w:val="61A14208"/>
    <w:rsid w:val="61A756DE"/>
    <w:rsid w:val="61AC6FF5"/>
    <w:rsid w:val="61C6359A"/>
    <w:rsid w:val="61D02ACB"/>
    <w:rsid w:val="61F86E40"/>
    <w:rsid w:val="61F971F0"/>
    <w:rsid w:val="61FC2CD4"/>
    <w:rsid w:val="623B7EFB"/>
    <w:rsid w:val="62435861"/>
    <w:rsid w:val="62484E5C"/>
    <w:rsid w:val="627C7639"/>
    <w:rsid w:val="628E4FCB"/>
    <w:rsid w:val="62B62DB6"/>
    <w:rsid w:val="62D179A7"/>
    <w:rsid w:val="62E56B2E"/>
    <w:rsid w:val="62F2793C"/>
    <w:rsid w:val="62FE3BE7"/>
    <w:rsid w:val="63355791"/>
    <w:rsid w:val="635A7B23"/>
    <w:rsid w:val="636769C5"/>
    <w:rsid w:val="63A819E4"/>
    <w:rsid w:val="63D01F90"/>
    <w:rsid w:val="63E41EF4"/>
    <w:rsid w:val="64075620"/>
    <w:rsid w:val="64162EBB"/>
    <w:rsid w:val="64250A9F"/>
    <w:rsid w:val="642C1845"/>
    <w:rsid w:val="645C6396"/>
    <w:rsid w:val="647C543D"/>
    <w:rsid w:val="64910DDF"/>
    <w:rsid w:val="64BF0B54"/>
    <w:rsid w:val="64E83085"/>
    <w:rsid w:val="652C5B8D"/>
    <w:rsid w:val="655B4350"/>
    <w:rsid w:val="655C5E91"/>
    <w:rsid w:val="65690FBB"/>
    <w:rsid w:val="65B71508"/>
    <w:rsid w:val="65E060A8"/>
    <w:rsid w:val="65FE2C5F"/>
    <w:rsid w:val="662D1E5A"/>
    <w:rsid w:val="66372322"/>
    <w:rsid w:val="6665023E"/>
    <w:rsid w:val="6671151E"/>
    <w:rsid w:val="669E66AE"/>
    <w:rsid w:val="66D750C3"/>
    <w:rsid w:val="66E25A78"/>
    <w:rsid w:val="66ED7266"/>
    <w:rsid w:val="66F7726F"/>
    <w:rsid w:val="66FD0D01"/>
    <w:rsid w:val="67483891"/>
    <w:rsid w:val="67534C3D"/>
    <w:rsid w:val="67BC54AC"/>
    <w:rsid w:val="67BF4F58"/>
    <w:rsid w:val="67CE2230"/>
    <w:rsid w:val="67DE1349"/>
    <w:rsid w:val="67DE4E70"/>
    <w:rsid w:val="67ED6110"/>
    <w:rsid w:val="680D1067"/>
    <w:rsid w:val="68165448"/>
    <w:rsid w:val="683D4DE5"/>
    <w:rsid w:val="6846757A"/>
    <w:rsid w:val="690B363E"/>
    <w:rsid w:val="69143B4D"/>
    <w:rsid w:val="69366FBB"/>
    <w:rsid w:val="69540D15"/>
    <w:rsid w:val="69943214"/>
    <w:rsid w:val="69BE72F8"/>
    <w:rsid w:val="6A0702E0"/>
    <w:rsid w:val="6A0A6BC0"/>
    <w:rsid w:val="6A3C13DC"/>
    <w:rsid w:val="6A621F5C"/>
    <w:rsid w:val="6A70155A"/>
    <w:rsid w:val="6A752A24"/>
    <w:rsid w:val="6A7D5A85"/>
    <w:rsid w:val="6A854034"/>
    <w:rsid w:val="6A8D2D7E"/>
    <w:rsid w:val="6A902088"/>
    <w:rsid w:val="6A941996"/>
    <w:rsid w:val="6AD369FC"/>
    <w:rsid w:val="6AD70746"/>
    <w:rsid w:val="6B02630E"/>
    <w:rsid w:val="6B223CCE"/>
    <w:rsid w:val="6B4A7A30"/>
    <w:rsid w:val="6B693A0F"/>
    <w:rsid w:val="6B6A4927"/>
    <w:rsid w:val="6B9178BA"/>
    <w:rsid w:val="6BA102B4"/>
    <w:rsid w:val="6BC3439F"/>
    <w:rsid w:val="6BF15FD5"/>
    <w:rsid w:val="6BFF14BF"/>
    <w:rsid w:val="6C0915D6"/>
    <w:rsid w:val="6C104961"/>
    <w:rsid w:val="6C923D02"/>
    <w:rsid w:val="6C9F03A0"/>
    <w:rsid w:val="6CA94B35"/>
    <w:rsid w:val="6CB32950"/>
    <w:rsid w:val="6CC23FE4"/>
    <w:rsid w:val="6CFA4AF8"/>
    <w:rsid w:val="6D046610"/>
    <w:rsid w:val="6D0E0726"/>
    <w:rsid w:val="6D0E1A7F"/>
    <w:rsid w:val="6D110FB2"/>
    <w:rsid w:val="6DE47052"/>
    <w:rsid w:val="6E086754"/>
    <w:rsid w:val="6E1D3FBF"/>
    <w:rsid w:val="6E1F2712"/>
    <w:rsid w:val="6E2378FE"/>
    <w:rsid w:val="6E3A4FCB"/>
    <w:rsid w:val="6E5B3AAD"/>
    <w:rsid w:val="6EA86DAB"/>
    <w:rsid w:val="6EC23BFD"/>
    <w:rsid w:val="6ECF2BF9"/>
    <w:rsid w:val="6EFD395A"/>
    <w:rsid w:val="6F08188C"/>
    <w:rsid w:val="6F310678"/>
    <w:rsid w:val="6F331962"/>
    <w:rsid w:val="6F445312"/>
    <w:rsid w:val="6F6D3884"/>
    <w:rsid w:val="6F847903"/>
    <w:rsid w:val="6FAC1340"/>
    <w:rsid w:val="6FE22642"/>
    <w:rsid w:val="6FF367C8"/>
    <w:rsid w:val="6FF96ABE"/>
    <w:rsid w:val="700F0465"/>
    <w:rsid w:val="701F7C8F"/>
    <w:rsid w:val="70252EB1"/>
    <w:rsid w:val="70572A8D"/>
    <w:rsid w:val="70657DB3"/>
    <w:rsid w:val="70680465"/>
    <w:rsid w:val="706A35E3"/>
    <w:rsid w:val="707F64ED"/>
    <w:rsid w:val="70956DA7"/>
    <w:rsid w:val="70BA1826"/>
    <w:rsid w:val="70E954B0"/>
    <w:rsid w:val="71023524"/>
    <w:rsid w:val="713465B4"/>
    <w:rsid w:val="714902D4"/>
    <w:rsid w:val="715636AA"/>
    <w:rsid w:val="717E20CF"/>
    <w:rsid w:val="71CF15AD"/>
    <w:rsid w:val="71E808ED"/>
    <w:rsid w:val="71FA40B8"/>
    <w:rsid w:val="72206CCA"/>
    <w:rsid w:val="725540E3"/>
    <w:rsid w:val="72A147B7"/>
    <w:rsid w:val="72B574E0"/>
    <w:rsid w:val="72BC550E"/>
    <w:rsid w:val="72CA48C5"/>
    <w:rsid w:val="72DE6CC5"/>
    <w:rsid w:val="72E509D8"/>
    <w:rsid w:val="732C3D7A"/>
    <w:rsid w:val="735B6B59"/>
    <w:rsid w:val="736057FC"/>
    <w:rsid w:val="736E5D6A"/>
    <w:rsid w:val="73714D0A"/>
    <w:rsid w:val="737B7C9B"/>
    <w:rsid w:val="73835837"/>
    <w:rsid w:val="73986A6E"/>
    <w:rsid w:val="73D705C1"/>
    <w:rsid w:val="73E33C66"/>
    <w:rsid w:val="73E568A3"/>
    <w:rsid w:val="74085661"/>
    <w:rsid w:val="741A3B6E"/>
    <w:rsid w:val="742C31D5"/>
    <w:rsid w:val="742E7301"/>
    <w:rsid w:val="7486564A"/>
    <w:rsid w:val="749E25B0"/>
    <w:rsid w:val="74B01C78"/>
    <w:rsid w:val="74B026DD"/>
    <w:rsid w:val="74B03736"/>
    <w:rsid w:val="74B86703"/>
    <w:rsid w:val="74BE5D14"/>
    <w:rsid w:val="74F5540E"/>
    <w:rsid w:val="7511658E"/>
    <w:rsid w:val="751523F2"/>
    <w:rsid w:val="752E10BB"/>
    <w:rsid w:val="75307610"/>
    <w:rsid w:val="75537C79"/>
    <w:rsid w:val="75730AD5"/>
    <w:rsid w:val="757A68F0"/>
    <w:rsid w:val="757B3483"/>
    <w:rsid w:val="759A7AC9"/>
    <w:rsid w:val="75AC48C6"/>
    <w:rsid w:val="75B14418"/>
    <w:rsid w:val="75CA6BFE"/>
    <w:rsid w:val="761D1022"/>
    <w:rsid w:val="762B1157"/>
    <w:rsid w:val="76397D18"/>
    <w:rsid w:val="764E39F5"/>
    <w:rsid w:val="76553681"/>
    <w:rsid w:val="7661151C"/>
    <w:rsid w:val="76701447"/>
    <w:rsid w:val="768A3382"/>
    <w:rsid w:val="76A60394"/>
    <w:rsid w:val="76C577FD"/>
    <w:rsid w:val="76D679F7"/>
    <w:rsid w:val="76E31C56"/>
    <w:rsid w:val="77132783"/>
    <w:rsid w:val="77311707"/>
    <w:rsid w:val="777C366F"/>
    <w:rsid w:val="778713DD"/>
    <w:rsid w:val="77887ED2"/>
    <w:rsid w:val="779414D2"/>
    <w:rsid w:val="77945CBA"/>
    <w:rsid w:val="77AD03E2"/>
    <w:rsid w:val="77B122B7"/>
    <w:rsid w:val="77DD36FC"/>
    <w:rsid w:val="77E12E36"/>
    <w:rsid w:val="783672FF"/>
    <w:rsid w:val="78423A40"/>
    <w:rsid w:val="786C51C4"/>
    <w:rsid w:val="78BF7B8E"/>
    <w:rsid w:val="78CA75F1"/>
    <w:rsid w:val="78E0398D"/>
    <w:rsid w:val="78E51F32"/>
    <w:rsid w:val="78F97196"/>
    <w:rsid w:val="790B1D73"/>
    <w:rsid w:val="792332E8"/>
    <w:rsid w:val="794348DB"/>
    <w:rsid w:val="798C513E"/>
    <w:rsid w:val="79B813E0"/>
    <w:rsid w:val="79BF2467"/>
    <w:rsid w:val="79D5003D"/>
    <w:rsid w:val="7A013721"/>
    <w:rsid w:val="7A073799"/>
    <w:rsid w:val="7A12659B"/>
    <w:rsid w:val="7A3044B6"/>
    <w:rsid w:val="7A5E7D4D"/>
    <w:rsid w:val="7A6B1896"/>
    <w:rsid w:val="7A973954"/>
    <w:rsid w:val="7AA14888"/>
    <w:rsid w:val="7AC32C9C"/>
    <w:rsid w:val="7AE21E65"/>
    <w:rsid w:val="7B16248B"/>
    <w:rsid w:val="7B17304E"/>
    <w:rsid w:val="7B230417"/>
    <w:rsid w:val="7B4B595A"/>
    <w:rsid w:val="7BB052F5"/>
    <w:rsid w:val="7BBB2464"/>
    <w:rsid w:val="7BE6652E"/>
    <w:rsid w:val="7C20311C"/>
    <w:rsid w:val="7C38272A"/>
    <w:rsid w:val="7C4B152B"/>
    <w:rsid w:val="7C5050D2"/>
    <w:rsid w:val="7C6E3F0A"/>
    <w:rsid w:val="7C883AD5"/>
    <w:rsid w:val="7CA47150"/>
    <w:rsid w:val="7D133070"/>
    <w:rsid w:val="7D404A33"/>
    <w:rsid w:val="7DA11C24"/>
    <w:rsid w:val="7DA30719"/>
    <w:rsid w:val="7DA43843"/>
    <w:rsid w:val="7DBA173E"/>
    <w:rsid w:val="7DC773CF"/>
    <w:rsid w:val="7DC852AF"/>
    <w:rsid w:val="7DDB3462"/>
    <w:rsid w:val="7DDF488A"/>
    <w:rsid w:val="7DEB588B"/>
    <w:rsid w:val="7E090FE7"/>
    <w:rsid w:val="7E0B525C"/>
    <w:rsid w:val="7E0B5CF0"/>
    <w:rsid w:val="7E2919B1"/>
    <w:rsid w:val="7E7C2E71"/>
    <w:rsid w:val="7E7C30E9"/>
    <w:rsid w:val="7EA573CB"/>
    <w:rsid w:val="7EB01BA4"/>
    <w:rsid w:val="7EB0679C"/>
    <w:rsid w:val="7ED50293"/>
    <w:rsid w:val="7EE1189E"/>
    <w:rsid w:val="7F033554"/>
    <w:rsid w:val="7F0B7A2D"/>
    <w:rsid w:val="7F0F396D"/>
    <w:rsid w:val="7F157AB6"/>
    <w:rsid w:val="7F232860"/>
    <w:rsid w:val="7F304039"/>
    <w:rsid w:val="7F460989"/>
    <w:rsid w:val="7F53144F"/>
    <w:rsid w:val="7F586F3C"/>
    <w:rsid w:val="7F630745"/>
    <w:rsid w:val="7F665966"/>
    <w:rsid w:val="7F770CD3"/>
    <w:rsid w:val="7F973186"/>
    <w:rsid w:val="7FB42195"/>
    <w:rsid w:val="7FBD53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before="120" w:after="120" w:line="360" w:lineRule="auto"/>
      <w:ind w:firstLine="200" w:firstLineChars="200"/>
    </w:pPr>
    <w:rPr>
      <w:rFonts w:ascii="Times New Roman" w:hAnsi="Times New Roman" w:eastAsia="仿宋" w:cs="Times New Roman"/>
      <w:kern w:val="2"/>
      <w:sz w:val="28"/>
      <w:szCs w:val="22"/>
      <w:lang w:val="en-US" w:eastAsia="zh-CN" w:bidi="ar-SA"/>
    </w:rPr>
  </w:style>
  <w:style w:type="paragraph" w:styleId="3">
    <w:name w:val="heading 1"/>
    <w:next w:val="1"/>
    <w:link w:val="23"/>
    <w:autoRedefine/>
    <w:qFormat/>
    <w:uiPriority w:val="9"/>
    <w:pPr>
      <w:keepNext/>
      <w:keepLines/>
      <w:spacing w:before="120" w:after="120"/>
      <w:ind w:left="420" w:hanging="420"/>
      <w:outlineLvl w:val="0"/>
    </w:pPr>
    <w:rPr>
      <w:rFonts w:ascii="Times New Roman" w:hAnsi="Times New Roman" w:eastAsia="黑体" w:cs="Times New Roman"/>
      <w:b/>
      <w:bCs/>
      <w:kern w:val="44"/>
      <w:sz w:val="32"/>
      <w:szCs w:val="44"/>
      <w:lang w:val="en-US" w:eastAsia="zh-CN" w:bidi="ar-SA"/>
    </w:rPr>
  </w:style>
  <w:style w:type="paragraph" w:styleId="4">
    <w:name w:val="heading 2"/>
    <w:basedOn w:val="1"/>
    <w:next w:val="1"/>
    <w:link w:val="24"/>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2">
    <w:name w:val="heading 3"/>
    <w:basedOn w:val="1"/>
    <w:next w:val="1"/>
    <w:link w:val="25"/>
    <w:autoRedefine/>
    <w:unhideWhenUsed/>
    <w:qFormat/>
    <w:uiPriority w:val="9"/>
    <w:pPr>
      <w:keepNext/>
      <w:keepLines/>
      <w:spacing w:before="260" w:after="260" w:line="416" w:lineRule="auto"/>
      <w:outlineLvl w:val="2"/>
    </w:pPr>
    <w:rPr>
      <w:b/>
      <w:bCs/>
      <w:sz w:val="32"/>
      <w:szCs w:val="32"/>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Calibri"/>
      <w:sz w:val="20"/>
      <w:szCs w:val="20"/>
    </w:rPr>
    <w:tblPr>
      <w:tblCellMar>
        <w:top w:w="0" w:type="dxa"/>
        <w:left w:w="108" w:type="dxa"/>
        <w:bottom w:w="0" w:type="dxa"/>
        <w:right w:w="108" w:type="dxa"/>
      </w:tblCellMar>
    </w:tblPr>
  </w:style>
  <w:style w:type="paragraph" w:styleId="5">
    <w:name w:val="caption"/>
    <w:basedOn w:val="1"/>
    <w:next w:val="1"/>
    <w:autoRedefine/>
    <w:semiHidden/>
    <w:unhideWhenUsed/>
    <w:qFormat/>
    <w:uiPriority w:val="35"/>
    <w:rPr>
      <w:rFonts w:ascii="Arial" w:hAnsi="Arial" w:eastAsia="黑体"/>
      <w:sz w:val="20"/>
    </w:rPr>
  </w:style>
  <w:style w:type="paragraph" w:styleId="6">
    <w:name w:val="annotation text"/>
    <w:basedOn w:val="1"/>
    <w:link w:val="31"/>
    <w:autoRedefine/>
    <w:unhideWhenUsed/>
    <w:qFormat/>
    <w:uiPriority w:val="99"/>
  </w:style>
  <w:style w:type="paragraph" w:styleId="7">
    <w:name w:val="toc 3"/>
    <w:basedOn w:val="1"/>
    <w:next w:val="1"/>
    <w:autoRedefine/>
    <w:unhideWhenUsed/>
    <w:qFormat/>
    <w:uiPriority w:val="39"/>
    <w:pPr>
      <w:ind w:left="840" w:leftChars="400"/>
    </w:pPr>
  </w:style>
  <w:style w:type="paragraph" w:styleId="8">
    <w:name w:val="Balloon Text"/>
    <w:basedOn w:val="1"/>
    <w:link w:val="32"/>
    <w:autoRedefine/>
    <w:unhideWhenUsed/>
    <w:qFormat/>
    <w:uiPriority w:val="99"/>
    <w:pPr>
      <w:spacing w:before="0" w:after="0" w:line="240" w:lineRule="auto"/>
    </w:pPr>
    <w:rPr>
      <w:sz w:val="18"/>
      <w:szCs w:val="18"/>
    </w:rPr>
  </w:style>
  <w:style w:type="paragraph" w:styleId="9">
    <w:name w:val="footer"/>
    <w:basedOn w:val="1"/>
    <w:link w:val="29"/>
    <w:autoRedefine/>
    <w:unhideWhenUsed/>
    <w:qFormat/>
    <w:uiPriority w:val="99"/>
    <w:pPr>
      <w:tabs>
        <w:tab w:val="center" w:pos="4153"/>
        <w:tab w:val="right" w:pos="8306"/>
      </w:tabs>
      <w:snapToGrid w:val="0"/>
      <w:spacing w:line="240" w:lineRule="auto"/>
    </w:pPr>
    <w:rPr>
      <w:sz w:val="18"/>
      <w:szCs w:val="18"/>
    </w:rPr>
  </w:style>
  <w:style w:type="paragraph" w:styleId="10">
    <w:name w:val="header"/>
    <w:basedOn w:val="1"/>
    <w:link w:val="28"/>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1">
    <w:name w:val="toc 1"/>
    <w:basedOn w:val="1"/>
    <w:next w:val="1"/>
    <w:autoRedefine/>
    <w:unhideWhenUsed/>
    <w:qFormat/>
    <w:uiPriority w:val="39"/>
  </w:style>
  <w:style w:type="paragraph" w:styleId="12">
    <w:name w:val="toc 2"/>
    <w:basedOn w:val="1"/>
    <w:next w:val="1"/>
    <w:autoRedefine/>
    <w:unhideWhenUsed/>
    <w:qFormat/>
    <w:uiPriority w:val="39"/>
    <w:pPr>
      <w:ind w:left="420" w:leftChars="200"/>
    </w:pPr>
  </w:style>
  <w:style w:type="paragraph" w:styleId="13">
    <w:name w:val="Normal (Web)"/>
    <w:basedOn w:val="1"/>
    <w:autoRedefine/>
    <w:qFormat/>
    <w:uiPriority w:val="99"/>
    <w:pPr>
      <w:spacing w:before="0" w:beforeAutospacing="1" w:after="0" w:afterAutospacing="1"/>
    </w:pPr>
    <w:rPr>
      <w:kern w:val="0"/>
      <w:sz w:val="24"/>
    </w:rPr>
  </w:style>
  <w:style w:type="paragraph" w:styleId="14">
    <w:name w:val="annotation subject"/>
    <w:basedOn w:val="6"/>
    <w:next w:val="6"/>
    <w:link w:val="33"/>
    <w:autoRedefine/>
    <w:unhideWhenUsed/>
    <w:qFormat/>
    <w:uiPriority w:val="99"/>
    <w:rPr>
      <w:b/>
      <w:bCs/>
    </w:rPr>
  </w:style>
  <w:style w:type="table" w:styleId="16">
    <w:name w:val="Table Grid"/>
    <w:basedOn w:val="1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autoRedefine/>
    <w:qFormat/>
    <w:uiPriority w:val="22"/>
    <w:rPr>
      <w:b/>
    </w:rPr>
  </w:style>
  <w:style w:type="character" w:styleId="19">
    <w:name w:val="Emphasis"/>
    <w:basedOn w:val="17"/>
    <w:autoRedefine/>
    <w:qFormat/>
    <w:uiPriority w:val="20"/>
    <w:rPr>
      <w:i/>
      <w:iCs/>
    </w:rPr>
  </w:style>
  <w:style w:type="character" w:styleId="20">
    <w:name w:val="Hyperlink"/>
    <w:basedOn w:val="17"/>
    <w:autoRedefine/>
    <w:unhideWhenUsed/>
    <w:qFormat/>
    <w:uiPriority w:val="99"/>
    <w:rPr>
      <w:color w:val="0000FF"/>
      <w:u w:val="single"/>
    </w:rPr>
  </w:style>
  <w:style w:type="character" w:styleId="21">
    <w:name w:val="annotation reference"/>
    <w:autoRedefine/>
    <w:unhideWhenUsed/>
    <w:qFormat/>
    <w:uiPriority w:val="99"/>
    <w:rPr>
      <w:sz w:val="21"/>
      <w:szCs w:val="21"/>
    </w:rPr>
  </w:style>
  <w:style w:type="character" w:customStyle="1" w:styleId="22">
    <w:name w:val="标题 1 Char"/>
    <w:basedOn w:val="17"/>
    <w:autoRedefine/>
    <w:qFormat/>
    <w:uiPriority w:val="9"/>
    <w:rPr>
      <w:rFonts w:ascii="Times New Roman" w:hAnsi="Times New Roman" w:eastAsia="仿宋" w:cs="Times New Roman"/>
      <w:b/>
      <w:bCs/>
      <w:kern w:val="44"/>
      <w:sz w:val="44"/>
      <w:szCs w:val="44"/>
    </w:rPr>
  </w:style>
  <w:style w:type="character" w:customStyle="1" w:styleId="23">
    <w:name w:val="标题 1 字符"/>
    <w:link w:val="3"/>
    <w:autoRedefine/>
    <w:qFormat/>
    <w:uiPriority w:val="9"/>
    <w:rPr>
      <w:rFonts w:ascii="Times New Roman" w:hAnsi="Times New Roman" w:eastAsia="黑体" w:cs="Times New Roman"/>
      <w:b/>
      <w:bCs/>
      <w:kern w:val="44"/>
      <w:sz w:val="32"/>
      <w:szCs w:val="44"/>
    </w:rPr>
  </w:style>
  <w:style w:type="character" w:customStyle="1" w:styleId="24">
    <w:name w:val="标题 2 字符1"/>
    <w:basedOn w:val="17"/>
    <w:link w:val="4"/>
    <w:autoRedefine/>
    <w:semiHidden/>
    <w:qFormat/>
    <w:uiPriority w:val="9"/>
    <w:rPr>
      <w:rFonts w:asciiTheme="majorHAnsi" w:hAnsiTheme="majorHAnsi" w:eastAsiaTheme="majorEastAsia" w:cstheme="majorBidi"/>
      <w:b/>
      <w:bCs/>
      <w:sz w:val="32"/>
      <w:szCs w:val="32"/>
    </w:rPr>
  </w:style>
  <w:style w:type="character" w:customStyle="1" w:styleId="25">
    <w:name w:val="标题 3 字符1"/>
    <w:basedOn w:val="17"/>
    <w:link w:val="2"/>
    <w:autoRedefine/>
    <w:semiHidden/>
    <w:qFormat/>
    <w:uiPriority w:val="9"/>
    <w:rPr>
      <w:rFonts w:ascii="Times New Roman" w:hAnsi="Times New Roman" w:eastAsia="仿宋" w:cs="Times New Roman"/>
      <w:b/>
      <w:bCs/>
      <w:sz w:val="32"/>
      <w:szCs w:val="32"/>
    </w:rPr>
  </w:style>
  <w:style w:type="character" w:customStyle="1" w:styleId="26">
    <w:name w:val="标题 2 字符"/>
    <w:autoRedefine/>
    <w:qFormat/>
    <w:uiPriority w:val="9"/>
    <w:rPr>
      <w:rFonts w:ascii="Calibri Light" w:hAnsi="Calibri Light" w:eastAsia="楷体"/>
      <w:b/>
      <w:bCs/>
      <w:kern w:val="2"/>
      <w:sz w:val="32"/>
      <w:szCs w:val="32"/>
    </w:rPr>
  </w:style>
  <w:style w:type="character" w:customStyle="1" w:styleId="27">
    <w:name w:val="标题 3 字符"/>
    <w:autoRedefine/>
    <w:qFormat/>
    <w:uiPriority w:val="9"/>
    <w:rPr>
      <w:rFonts w:eastAsia="仿宋"/>
      <w:b/>
      <w:bCs/>
      <w:kern w:val="2"/>
      <w:sz w:val="28"/>
      <w:szCs w:val="32"/>
    </w:rPr>
  </w:style>
  <w:style w:type="character" w:customStyle="1" w:styleId="28">
    <w:name w:val="页眉 字符"/>
    <w:basedOn w:val="17"/>
    <w:link w:val="10"/>
    <w:autoRedefine/>
    <w:qFormat/>
    <w:uiPriority w:val="99"/>
    <w:rPr>
      <w:rFonts w:ascii="Times New Roman" w:hAnsi="Times New Roman" w:eastAsia="仿宋" w:cs="Times New Roman"/>
      <w:sz w:val="18"/>
      <w:szCs w:val="18"/>
    </w:rPr>
  </w:style>
  <w:style w:type="character" w:customStyle="1" w:styleId="29">
    <w:name w:val="页脚 字符"/>
    <w:basedOn w:val="17"/>
    <w:link w:val="9"/>
    <w:autoRedefine/>
    <w:qFormat/>
    <w:uiPriority w:val="99"/>
    <w:rPr>
      <w:rFonts w:ascii="Times New Roman" w:hAnsi="Times New Roman" w:eastAsia="仿宋" w:cs="Times New Roman"/>
      <w:sz w:val="18"/>
      <w:szCs w:val="18"/>
    </w:rPr>
  </w:style>
  <w:style w:type="character" w:customStyle="1" w:styleId="30">
    <w:name w:val="批注文字 Char"/>
    <w:basedOn w:val="17"/>
    <w:autoRedefine/>
    <w:semiHidden/>
    <w:qFormat/>
    <w:uiPriority w:val="99"/>
    <w:rPr>
      <w:rFonts w:ascii="Times New Roman" w:hAnsi="Times New Roman" w:eastAsia="仿宋" w:cs="Times New Roman"/>
      <w:sz w:val="28"/>
    </w:rPr>
  </w:style>
  <w:style w:type="character" w:customStyle="1" w:styleId="31">
    <w:name w:val="批注文字 字符1"/>
    <w:link w:val="6"/>
    <w:autoRedefine/>
    <w:qFormat/>
    <w:uiPriority w:val="99"/>
    <w:rPr>
      <w:rFonts w:ascii="Times New Roman" w:hAnsi="Times New Roman" w:eastAsia="仿宋" w:cs="Times New Roman"/>
      <w:sz w:val="28"/>
    </w:rPr>
  </w:style>
  <w:style w:type="character" w:customStyle="1" w:styleId="32">
    <w:name w:val="批注框文本 字符"/>
    <w:basedOn w:val="17"/>
    <w:link w:val="8"/>
    <w:autoRedefine/>
    <w:semiHidden/>
    <w:qFormat/>
    <w:uiPriority w:val="99"/>
    <w:rPr>
      <w:rFonts w:ascii="Times New Roman" w:hAnsi="Times New Roman" w:eastAsia="仿宋" w:cs="Times New Roman"/>
      <w:sz w:val="18"/>
      <w:szCs w:val="18"/>
    </w:rPr>
  </w:style>
  <w:style w:type="character" w:customStyle="1" w:styleId="33">
    <w:name w:val="批注主题 字符"/>
    <w:basedOn w:val="31"/>
    <w:link w:val="14"/>
    <w:autoRedefine/>
    <w:semiHidden/>
    <w:qFormat/>
    <w:uiPriority w:val="99"/>
    <w:rPr>
      <w:rFonts w:ascii="Times New Roman" w:hAnsi="Times New Roman" w:eastAsia="仿宋" w:cs="Times New Roman"/>
      <w:b/>
      <w:bCs/>
      <w:sz w:val="28"/>
    </w:rPr>
  </w:style>
  <w:style w:type="character" w:customStyle="1" w:styleId="34">
    <w:name w:val="批注文字 字符"/>
    <w:autoRedefine/>
    <w:qFormat/>
    <w:uiPriority w:val="99"/>
    <w:rPr>
      <w:kern w:val="2"/>
      <w:sz w:val="21"/>
      <w:szCs w:val="22"/>
    </w:rPr>
  </w:style>
  <w:style w:type="paragraph" w:customStyle="1" w:styleId="35">
    <w:name w:val="WPSOffice手动目录 1"/>
    <w:autoRedefine/>
    <w:qFormat/>
    <w:uiPriority w:val="0"/>
    <w:rPr>
      <w:rFonts w:ascii="Times New Roman" w:hAnsi="Times New Roman" w:eastAsia="宋体" w:cs="Times New Roman"/>
      <w:lang w:val="en-US" w:eastAsia="zh-CN" w:bidi="ar-SA"/>
    </w:rPr>
  </w:style>
  <w:style w:type="paragraph" w:customStyle="1" w:styleId="36">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37">
    <w:name w:val="修订1"/>
    <w:autoRedefine/>
    <w:hidden/>
    <w:semiHidden/>
    <w:qFormat/>
    <w:uiPriority w:val="99"/>
    <w:rPr>
      <w:rFonts w:ascii="Times New Roman" w:hAnsi="Times New Roman" w:eastAsia="仿宋" w:cs="Times New Roman"/>
      <w:kern w:val="2"/>
      <w:sz w:val="28"/>
      <w:szCs w:val="22"/>
      <w:lang w:val="en-US" w:eastAsia="zh-CN" w:bidi="ar-SA"/>
    </w:rPr>
  </w:style>
  <w:style w:type="paragraph" w:customStyle="1" w:styleId="38">
    <w:name w:val="列出段落1"/>
    <w:basedOn w:val="1"/>
    <w:autoRedefine/>
    <w:qFormat/>
    <w:uiPriority w:val="99"/>
    <w:pPr>
      <w:ind w:firstLine="420"/>
    </w:pPr>
  </w:style>
  <w:style w:type="character" w:customStyle="1" w:styleId="39">
    <w:name w:val="font61"/>
    <w:basedOn w:val="17"/>
    <w:autoRedefine/>
    <w:qFormat/>
    <w:uiPriority w:val="0"/>
    <w:rPr>
      <w:rFonts w:hint="default" w:ascii="Times New Roman" w:hAnsi="Times New Roman" w:cs="Times New Roman"/>
      <w:b/>
      <w:color w:val="000000"/>
      <w:sz w:val="21"/>
      <w:szCs w:val="21"/>
      <w:u w:val="none"/>
    </w:rPr>
  </w:style>
  <w:style w:type="character" w:customStyle="1" w:styleId="40">
    <w:name w:val="font71"/>
    <w:basedOn w:val="17"/>
    <w:autoRedefine/>
    <w:qFormat/>
    <w:uiPriority w:val="0"/>
    <w:rPr>
      <w:rFonts w:hint="eastAsia" w:ascii="仿宋" w:hAnsi="仿宋" w:eastAsia="仿宋" w:cs="仿宋"/>
      <w:b/>
      <w:color w:val="000000"/>
      <w:sz w:val="21"/>
      <w:szCs w:val="21"/>
      <w:u w:val="none"/>
    </w:rPr>
  </w:style>
  <w:style w:type="character" w:customStyle="1" w:styleId="41">
    <w:name w:val="表格内容 字符"/>
    <w:basedOn w:val="17"/>
    <w:link w:val="42"/>
    <w:autoRedefine/>
    <w:qFormat/>
    <w:uiPriority w:val="0"/>
    <w:rPr>
      <w:rFonts w:hint="eastAsia" w:ascii="仿宋" w:hAnsi="仿宋" w:eastAsia="仿宋" w:cs="仿宋"/>
      <w:kern w:val="2"/>
      <w:sz w:val="21"/>
      <w:szCs w:val="21"/>
    </w:rPr>
  </w:style>
  <w:style w:type="paragraph" w:customStyle="1" w:styleId="42">
    <w:name w:val="表格内容"/>
    <w:basedOn w:val="1"/>
    <w:link w:val="41"/>
    <w:autoRedefine/>
    <w:qFormat/>
    <w:uiPriority w:val="0"/>
    <w:pPr>
      <w:wordWrap w:val="0"/>
      <w:spacing w:before="0" w:after="0" w:line="240" w:lineRule="auto"/>
      <w:ind w:firstLine="0" w:firstLineChars="0"/>
      <w:jc w:val="center"/>
    </w:pPr>
    <w:rPr>
      <w:sz w:val="21"/>
      <w:szCs w:val="21"/>
    </w:rPr>
  </w:style>
  <w:style w:type="paragraph" w:customStyle="1" w:styleId="43">
    <w:name w:val="修订2"/>
    <w:autoRedefine/>
    <w:hidden/>
    <w:semiHidden/>
    <w:qFormat/>
    <w:uiPriority w:val="99"/>
    <w:rPr>
      <w:rFonts w:ascii="Times New Roman" w:hAnsi="Times New Roman" w:eastAsia="仿宋" w:cs="Times New Roman"/>
      <w:kern w:val="2"/>
      <w:sz w:val="28"/>
      <w:szCs w:val="22"/>
      <w:lang w:val="en-US" w:eastAsia="zh-CN" w:bidi="ar-SA"/>
    </w:rPr>
  </w:style>
  <w:style w:type="paragraph" w:customStyle="1" w:styleId="44">
    <w:name w:val="WPSOffice手动目录 3"/>
    <w:autoRedefine/>
    <w:qFormat/>
    <w:uiPriority w:val="0"/>
    <w:pPr>
      <w:ind w:left="400" w:leftChars="400"/>
    </w:pPr>
    <w:rPr>
      <w:rFonts w:ascii="Times New Roman" w:hAnsi="Times New Roman" w:eastAsia="宋体" w:cs="Times New Roman"/>
      <w:lang w:val="en-US" w:eastAsia="zh-CN" w:bidi="ar-SA"/>
    </w:rPr>
  </w:style>
  <w:style w:type="character" w:customStyle="1" w:styleId="45">
    <w:name w:val="font51"/>
    <w:basedOn w:val="17"/>
    <w:autoRedefine/>
    <w:qFormat/>
    <w:uiPriority w:val="0"/>
    <w:rPr>
      <w:rFonts w:hint="default" w:ascii="Times New Roman" w:hAnsi="Times New Roman" w:cs="Times New Roman"/>
      <w:b/>
      <w:bCs/>
      <w:color w:val="C55911"/>
      <w:sz w:val="22"/>
      <w:szCs w:val="22"/>
      <w:u w:val="none"/>
    </w:rPr>
  </w:style>
  <w:style w:type="character" w:customStyle="1" w:styleId="46">
    <w:name w:val="font11"/>
    <w:basedOn w:val="17"/>
    <w:autoRedefine/>
    <w:qFormat/>
    <w:uiPriority w:val="0"/>
    <w:rPr>
      <w:rFonts w:hint="eastAsia" w:ascii="仿宋" w:hAnsi="仿宋" w:eastAsia="仿宋" w:cs="仿宋"/>
      <w:b/>
      <w:bCs/>
      <w:color w:val="C55911"/>
      <w:sz w:val="22"/>
      <w:szCs w:val="22"/>
      <w:u w:val="none"/>
    </w:rPr>
  </w:style>
  <w:style w:type="paragraph" w:customStyle="1" w:styleId="47">
    <w:name w:val="Body text|1"/>
    <w:basedOn w:val="1"/>
    <w:autoRedefine/>
    <w:qFormat/>
    <w:uiPriority w:val="0"/>
    <w:pPr>
      <w:spacing w:after="110" w:line="468" w:lineRule="auto"/>
      <w:ind w:firstLine="400"/>
    </w:pPr>
    <w:rPr>
      <w:rFonts w:ascii="宋体" w:hAnsi="宋体" w:eastAsia="宋体" w:cs="宋体"/>
      <w:szCs w:val="28"/>
      <w:lang w:val="zh-TW" w:eastAsia="zh-TW" w:bidi="zh-TW"/>
    </w:rPr>
  </w:style>
  <w:style w:type="paragraph" w:customStyle="1" w:styleId="48">
    <w:name w:val="Table caption|1"/>
    <w:basedOn w:val="1"/>
    <w:autoRedefine/>
    <w:qFormat/>
    <w:uiPriority w:val="0"/>
    <w:pPr>
      <w:spacing w:line="625" w:lineRule="exact"/>
      <w:jc w:val="center"/>
    </w:pPr>
    <w:rPr>
      <w:rFonts w:ascii="宋体" w:hAnsi="宋体" w:eastAsia="宋体" w:cs="宋体"/>
      <w:b/>
      <w:bCs/>
      <w:lang w:val="zh-TW" w:eastAsia="zh-TW" w:bidi="zh-TW"/>
    </w:rPr>
  </w:style>
  <w:style w:type="paragraph" w:customStyle="1" w:styleId="49">
    <w:name w:val="Other|1"/>
    <w:basedOn w:val="1"/>
    <w:autoRedefine/>
    <w:qFormat/>
    <w:uiPriority w:val="0"/>
    <w:pPr>
      <w:jc w:val="center"/>
    </w:pPr>
    <w:rPr>
      <w:rFonts w:ascii="宋体" w:hAnsi="宋体" w:eastAsia="宋体" w:cs="宋体"/>
      <w:sz w:val="22"/>
      <w:lang w:val="zh-TW" w:eastAsia="zh-TW" w:bidi="zh-TW"/>
    </w:rPr>
  </w:style>
  <w:style w:type="paragraph" w:customStyle="1" w:styleId="50">
    <w:name w:val="Heading #1|1"/>
    <w:basedOn w:val="1"/>
    <w:autoRedefine/>
    <w:qFormat/>
    <w:uiPriority w:val="0"/>
    <w:pPr>
      <w:spacing w:after="130"/>
      <w:ind w:firstLine="720"/>
      <w:outlineLvl w:val="0"/>
    </w:pPr>
    <w:rPr>
      <w:rFonts w:ascii="宋体" w:hAnsi="宋体" w:eastAsia="宋体" w:cs="宋体"/>
      <w:b/>
      <w:bCs/>
      <w:szCs w:val="28"/>
      <w:lang w:val="zh-TW" w:eastAsia="zh-TW" w:bidi="zh-TW"/>
    </w:rPr>
  </w:style>
  <w:style w:type="paragraph" w:customStyle="1" w:styleId="51">
    <w:name w:val="Body text|2"/>
    <w:basedOn w:val="1"/>
    <w:autoRedefine/>
    <w:qFormat/>
    <w:uiPriority w:val="0"/>
    <w:pPr>
      <w:spacing w:after="240"/>
      <w:jc w:val="center"/>
    </w:pPr>
    <w:rPr>
      <w:rFonts w:ascii="宋体" w:hAnsi="宋体" w:eastAsia="宋体" w:cs="宋体"/>
      <w:b/>
      <w:bCs/>
      <w:lang w:val="zh-TW" w:eastAsia="zh-TW" w:bidi="zh-TW"/>
    </w:rPr>
  </w:style>
  <w:style w:type="paragraph" w:customStyle="1" w:styleId="52">
    <w:name w:val="Heading #2|1"/>
    <w:basedOn w:val="1"/>
    <w:autoRedefine/>
    <w:qFormat/>
    <w:uiPriority w:val="0"/>
    <w:pPr>
      <w:spacing w:after="310"/>
      <w:ind w:firstLine="280"/>
      <w:outlineLvl w:val="1"/>
    </w:pPr>
    <w:rPr>
      <w:rFonts w:ascii="宋体" w:hAnsi="宋体" w:eastAsia="宋体" w:cs="宋体"/>
      <w:szCs w:val="28"/>
      <w:lang w:val="zh-TW" w:eastAsia="zh-TW" w:bidi="zh-TW"/>
    </w:rPr>
  </w:style>
  <w:style w:type="paragraph" w:customStyle="1" w:styleId="53">
    <w:name w:val="Header or footer|1"/>
    <w:basedOn w:val="1"/>
    <w:autoRedefine/>
    <w:qFormat/>
    <w:uiPriority w:val="0"/>
    <w:rPr>
      <w:sz w:val="18"/>
      <w:szCs w:val="18"/>
      <w:lang w:val="zh-TW" w:eastAsia="zh-TW" w:bidi="zh-TW"/>
    </w:rPr>
  </w:style>
  <w:style w:type="paragraph" w:customStyle="1" w:styleId="54">
    <w:name w:val="修订3"/>
    <w:autoRedefine/>
    <w:hidden/>
    <w:semiHidden/>
    <w:qFormat/>
    <w:uiPriority w:val="99"/>
    <w:rPr>
      <w:rFonts w:ascii="Times New Roman" w:hAnsi="Times New Roman" w:eastAsia="仿宋" w:cs="Times New Roman"/>
      <w:kern w:val="2"/>
      <w:sz w:val="28"/>
      <w:szCs w:val="22"/>
      <w:lang w:val="en-US" w:eastAsia="zh-CN" w:bidi="ar-SA"/>
    </w:rPr>
  </w:style>
  <w:style w:type="character" w:customStyle="1" w:styleId="55">
    <w:name w:val="fontstyle01"/>
    <w:basedOn w:val="17"/>
    <w:autoRedefine/>
    <w:qFormat/>
    <w:uiPriority w:val="0"/>
    <w:rPr>
      <w:rFonts w:ascii="MS Gothic" w:hAnsi="MS Gothic" w:eastAsia="MS Gothic" w:cs="MS Gothic"/>
      <w:color w:val="000000"/>
      <w:sz w:val="30"/>
      <w:szCs w:val="30"/>
    </w:rPr>
  </w:style>
  <w:style w:type="character" w:customStyle="1" w:styleId="56">
    <w:name w:val="font31"/>
    <w:basedOn w:val="17"/>
    <w:autoRedefine/>
    <w:qFormat/>
    <w:uiPriority w:val="0"/>
    <w:rPr>
      <w:rFonts w:hint="default" w:ascii="Times New Roman" w:hAnsi="Times New Roman" w:cs="Times New Roman"/>
      <w:color w:val="C00000"/>
      <w:sz w:val="24"/>
      <w:szCs w:val="24"/>
      <w:u w:val="none"/>
    </w:rPr>
  </w:style>
  <w:style w:type="character" w:customStyle="1" w:styleId="57">
    <w:name w:val="font21"/>
    <w:basedOn w:val="17"/>
    <w:autoRedefine/>
    <w:qFormat/>
    <w:uiPriority w:val="0"/>
    <w:rPr>
      <w:rFonts w:hint="eastAsia" w:ascii="仿宋" w:hAnsi="仿宋" w:eastAsia="仿宋" w:cs="仿宋"/>
      <w:color w:val="000000"/>
      <w:sz w:val="24"/>
      <w:szCs w:val="24"/>
      <w:u w:val="none"/>
    </w:rPr>
  </w:style>
  <w:style w:type="character" w:customStyle="1" w:styleId="58">
    <w:name w:val="font41"/>
    <w:basedOn w:val="17"/>
    <w:autoRedefine/>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AEC62-6BB4-4453-AA70-32C429249ECE}">
  <ds:schemaRefs/>
</ds:datastoreItem>
</file>

<file path=docProps/app.xml><?xml version="1.0" encoding="utf-8"?>
<Properties xmlns="http://schemas.openxmlformats.org/officeDocument/2006/extended-properties" xmlns:vt="http://schemas.openxmlformats.org/officeDocument/2006/docPropsVTypes">
  <Template>Normal.dotm</Template>
  <Pages>8</Pages>
  <Words>2388</Words>
  <Characters>2622</Characters>
  <Lines>244</Lines>
  <Paragraphs>68</Paragraphs>
  <TotalTime>4</TotalTime>
  <ScaleCrop>false</ScaleCrop>
  <LinksUpToDate>false</LinksUpToDate>
  <CharactersWithSpaces>2623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2022-10-21T03:00:00Z</dcterms:created>
  <dc:creator>user</dc:creator>
  <cp:lastModifiedBy>∞吴_晓晓</cp:lastModifiedBy>
  <cp:lastPrinted>2022-11-01T12:13:00Z</cp:lastPrinted>
  <dcterms:modified xsi:type="dcterms:W3CDTF">2024-06-24T08:35:30Z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EB83CA60FA794A8E9E925105F8987439_13</vt:lpwstr>
  </property>
  <property fmtid="{D5CDD505-2E9C-101B-9397-08002B2CF9AE}" pid="4" name="ribbonExt">
    <vt:lpwstr>{"WPSExtOfficeTab":{"OnGetEnabled":false,"OnGetVisible":false}}</vt:lpwstr>
  </property>
</Properties>
</file>