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sz w:val="44"/>
          <w:szCs w:val="44"/>
        </w:rPr>
      </w:pPr>
    </w:p>
    <w:p>
      <w:pPr>
        <w:jc w:val="center"/>
        <w:rPr>
          <w:rFonts w:hint="eastAsia" w:ascii="黑体" w:hAnsi="黑体" w:eastAsia="黑体"/>
          <w:sz w:val="44"/>
          <w:szCs w:val="44"/>
        </w:rPr>
      </w:pPr>
    </w:p>
    <w:p>
      <w:pPr>
        <w:jc w:val="center"/>
        <w:rPr>
          <w:rFonts w:hint="eastAsia" w:ascii="黑体" w:hAnsi="黑体" w:eastAsia="黑体"/>
          <w:sz w:val="44"/>
          <w:szCs w:val="44"/>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浈江区自然资源局2019年法治政府建设</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情况报告</w:t>
      </w:r>
    </w:p>
    <w:p>
      <w:pPr>
        <w:rPr>
          <w:rFonts w:ascii="仿宋_GB2312" w:eastAsia="仿宋_GB2312"/>
          <w:sz w:val="32"/>
          <w:szCs w:val="32"/>
        </w:rPr>
      </w:pPr>
    </w:p>
    <w:p>
      <w:pPr>
        <w:rPr>
          <w:rFonts w:ascii="仿宋_GB2312" w:eastAsia="仿宋_GB2312"/>
          <w:sz w:val="32"/>
          <w:szCs w:val="32"/>
        </w:rPr>
      </w:pPr>
    </w:p>
    <w:p>
      <w:pPr>
        <w:spacing w:line="540" w:lineRule="exact"/>
        <w:ind w:firstLine="640" w:firstLineChars="200"/>
        <w:rPr>
          <w:rFonts w:ascii="仿宋_GB2312" w:eastAsia="仿宋_GB2312"/>
          <w:sz w:val="32"/>
          <w:szCs w:val="32"/>
        </w:rPr>
      </w:pPr>
      <w:r>
        <w:rPr>
          <w:rFonts w:hint="eastAsia" w:ascii="仿宋_GB2312" w:eastAsia="仿宋_GB2312"/>
          <w:sz w:val="32"/>
          <w:szCs w:val="32"/>
        </w:rPr>
        <w:t>2019年以来，在区委、区政府和市自然资源部门的领导下，我局坚持以党的十九大、十九届三中、四中全会精神为指导，紧紧围绕自然资源管理中心工作，进一步提高自然资源依法行政水平，提升保护资源和保障发展能力，努力营造良好的法治环境，法治政府建设取得了一些成效。现将有关工作情况报告如下：</w:t>
      </w:r>
    </w:p>
    <w:p>
      <w:pPr>
        <w:spacing w:line="540" w:lineRule="exact"/>
        <w:ind w:firstLine="640" w:firstLineChars="200"/>
        <w:rPr>
          <w:rFonts w:hint="eastAsia" w:ascii="黑体" w:hAnsi="黑体" w:eastAsia="黑体" w:cs="黑体"/>
          <w:b w:val="0"/>
          <w:bCs/>
          <w:sz w:val="32"/>
          <w:szCs w:val="32"/>
        </w:rPr>
      </w:pPr>
      <w:r>
        <w:rPr>
          <w:rFonts w:hint="eastAsia" w:ascii="黑体" w:hAnsi="黑体" w:eastAsia="黑体" w:cs="黑体"/>
          <w:b w:val="0"/>
          <w:bCs/>
          <w:sz w:val="32"/>
          <w:szCs w:val="32"/>
        </w:rPr>
        <w:t>一、主要措施和取得的成效</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（一）依法全面履行政府职能情况</w:t>
      </w:r>
    </w:p>
    <w:p>
      <w:pPr>
        <w:ind w:firstLine="640" w:firstLineChars="200"/>
        <w:jc w:val="left"/>
        <w:rPr>
          <w:rFonts w:ascii="仿宋_GB2312" w:hAnsi="仿宋_GB2312" w:eastAsia="仿宋_GB2312" w:cs="仿宋_GB2312"/>
          <w:sz w:val="32"/>
          <w:szCs w:val="32"/>
          <w:u w:color="FFFFFF" w:themeColor="background1"/>
        </w:rPr>
      </w:pPr>
      <w:r>
        <w:rPr>
          <w:rFonts w:hint="eastAsia" w:ascii="仿宋_GB2312" w:eastAsia="仿宋_GB2312"/>
          <w:sz w:val="32"/>
          <w:szCs w:val="32"/>
        </w:rPr>
        <w:t>1.深化行政审批制度改革。机构改革后，市自然资源局、市林业局根据应放尽放的原则，下放108项职权到浈江区自然资源局。</w:t>
      </w:r>
      <w:r>
        <w:rPr>
          <w:rFonts w:hint="eastAsia" w:ascii="仿宋_GB2312" w:hAnsi="仿宋_GB2312" w:eastAsia="仿宋_GB2312" w:cs="仿宋_GB2312"/>
          <w:sz w:val="32"/>
          <w:szCs w:val="32"/>
          <w:u w:color="FFFFFF" w:themeColor="background1"/>
        </w:rPr>
        <w:t>其中，授权窗口负责</w:t>
      </w:r>
      <w:r>
        <w:rPr>
          <w:rFonts w:hint="eastAsia" w:ascii="仿宋_GB2312" w:hAnsi="仿宋_GB2312" w:eastAsia="仿宋_GB2312" w:cs="仿宋_GB2312"/>
          <w:sz w:val="32"/>
          <w:szCs w:val="32"/>
          <w:u w:val="single" w:color="FFFFFF" w:themeColor="background1"/>
        </w:rPr>
        <w:t>木材运输证核发</w:t>
      </w:r>
      <w:r>
        <w:rPr>
          <w:rFonts w:hint="eastAsia" w:ascii="仿宋_GB2312" w:hAnsi="仿宋_GB2312" w:eastAsia="仿宋_GB2312" w:cs="仿宋_GB2312"/>
          <w:sz w:val="32"/>
          <w:szCs w:val="32"/>
          <w:u w:color="FFFFFF" w:themeColor="background1"/>
        </w:rPr>
        <w:t>等</w:t>
      </w:r>
      <w:r>
        <w:rPr>
          <w:rFonts w:hint="eastAsia" w:ascii="仿宋_GB2312" w:hAnsi="仿宋_GB2312" w:eastAsia="仿宋_GB2312" w:cs="仿宋_GB2312"/>
          <w:sz w:val="32"/>
          <w:szCs w:val="32"/>
          <w:u w:val="single" w:color="FFFFFF" w:themeColor="background1"/>
        </w:rPr>
        <w:t xml:space="preserve"> 4 </w:t>
      </w:r>
      <w:r>
        <w:rPr>
          <w:rFonts w:hint="eastAsia" w:ascii="仿宋_GB2312" w:hAnsi="仿宋_GB2312" w:eastAsia="仿宋_GB2312" w:cs="仿宋_GB2312"/>
          <w:sz w:val="32"/>
          <w:szCs w:val="32"/>
          <w:u w:color="FFFFFF" w:themeColor="background1"/>
        </w:rPr>
        <w:t>项即办件的受理、办理、审核发证等工作环节；授权窗口负责</w:t>
      </w:r>
      <w:r>
        <w:rPr>
          <w:rFonts w:hint="eastAsia" w:ascii="仿宋_GB2312" w:hAnsi="仿宋_GB2312" w:eastAsia="仿宋_GB2312" w:cs="仿宋_GB2312"/>
          <w:sz w:val="32"/>
          <w:szCs w:val="32"/>
          <w:u w:val="single" w:color="FFFFFF" w:themeColor="background1"/>
        </w:rPr>
        <w:t>临时用地审批事项名称</w:t>
      </w:r>
      <w:r>
        <w:rPr>
          <w:rFonts w:hint="eastAsia" w:ascii="仿宋_GB2312" w:hAnsi="仿宋_GB2312" w:eastAsia="仿宋_GB2312" w:cs="仿宋_GB2312"/>
          <w:sz w:val="32"/>
          <w:szCs w:val="32"/>
          <w:u w:color="FFFFFF" w:themeColor="background1"/>
        </w:rPr>
        <w:t>等</w:t>
      </w:r>
      <w:r>
        <w:rPr>
          <w:rFonts w:hint="eastAsia" w:ascii="仿宋_GB2312" w:hAnsi="仿宋_GB2312" w:eastAsia="仿宋_GB2312" w:cs="仿宋_GB2312"/>
          <w:sz w:val="32"/>
          <w:szCs w:val="32"/>
          <w:u w:val="single" w:color="FFFFFF" w:themeColor="background1"/>
        </w:rPr>
        <w:t>35</w:t>
      </w:r>
      <w:r>
        <w:rPr>
          <w:rFonts w:hint="eastAsia" w:ascii="仿宋_GB2312" w:hAnsi="仿宋_GB2312" w:eastAsia="仿宋_GB2312" w:cs="仿宋_GB2312"/>
          <w:sz w:val="32"/>
          <w:szCs w:val="32"/>
          <w:u w:color="FFFFFF" w:themeColor="background1"/>
        </w:rPr>
        <w:t>项承诺件的接件、申报受理、初审、审核和发证等工作环节，其中：林木林地权属争议调处和土地权属争议调处不纳入综合窗受理和出件；授权窗口负责</w:t>
      </w:r>
      <w:r>
        <w:rPr>
          <w:rFonts w:hint="eastAsia" w:ascii="仿宋_GB2312" w:hAnsi="仿宋_GB2312" w:eastAsia="仿宋_GB2312" w:cs="仿宋_GB2312"/>
          <w:sz w:val="32"/>
          <w:szCs w:val="32"/>
          <w:u w:val="single" w:color="FFFFFF" w:themeColor="background1"/>
        </w:rPr>
        <w:t xml:space="preserve">对林木种子采种林的确定等69 </w:t>
      </w:r>
      <w:r>
        <w:rPr>
          <w:rFonts w:hint="eastAsia" w:ascii="仿宋_GB2312" w:hAnsi="仿宋_GB2312" w:eastAsia="仿宋_GB2312" w:cs="仿宋_GB2312"/>
          <w:sz w:val="32"/>
          <w:szCs w:val="32"/>
          <w:u w:color="FFFFFF" w:themeColor="background1"/>
        </w:rPr>
        <w:t>项上报件的接件、申报受理、初审、上报等工作环节。</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2.创新社会治理。一是全面落实国家、省、市、区关于应急管理、安全生产及防灾救灾减灾的规定，积极开展地质灾害防治工作和安全生产工作，二是会同浈江区应急管理局</w:t>
      </w:r>
      <w:r>
        <w:rPr>
          <w:rFonts w:hint="eastAsia" w:ascii="仿宋_GB2312" w:eastAsia="仿宋_GB2312"/>
          <w:color w:val="auto"/>
          <w:sz w:val="32"/>
          <w:szCs w:val="32"/>
        </w:rPr>
        <w:t>做好防灾减灾应急工作，</w:t>
      </w:r>
      <w:r>
        <w:rPr>
          <w:rFonts w:hint="eastAsia" w:ascii="仿宋_GB2312" w:eastAsia="仿宋_GB2312"/>
          <w:sz w:val="32"/>
          <w:szCs w:val="32"/>
        </w:rPr>
        <w:t>提高突发事件中各部门迅速反应、协同合作的能力。三是</w:t>
      </w:r>
      <w:r>
        <w:rPr>
          <w:rFonts w:hint="eastAsia" w:ascii="仿宋_GB2312" w:eastAsia="仿宋_GB2312"/>
          <w:sz w:val="32"/>
          <w:szCs w:val="32"/>
          <w:lang w:eastAsia="zh-CN"/>
        </w:rPr>
        <w:t>落实森林防火</w:t>
      </w:r>
      <w:r>
        <w:rPr>
          <w:rFonts w:hint="eastAsia" w:ascii="仿宋_GB2312" w:eastAsia="仿宋_GB2312"/>
          <w:sz w:val="32"/>
          <w:szCs w:val="32"/>
        </w:rPr>
        <w:t>责任</w:t>
      </w:r>
      <w:r>
        <w:rPr>
          <w:rFonts w:hint="eastAsia" w:ascii="仿宋_GB2312" w:eastAsia="仿宋_GB2312"/>
          <w:sz w:val="32"/>
          <w:szCs w:val="32"/>
          <w:lang w:eastAsia="zh-CN"/>
        </w:rPr>
        <w:t>制</w:t>
      </w:r>
      <w:r>
        <w:rPr>
          <w:rFonts w:hint="eastAsia" w:ascii="仿宋_GB2312" w:eastAsia="仿宋_GB2312"/>
          <w:sz w:val="32"/>
          <w:szCs w:val="32"/>
        </w:rPr>
        <w:t>，明确各部门防火责任，进一步健全和完善辖区自然资源森林防火监管体制机制。</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（二）完善依法行政制度体系情况</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1.做好规范性文件管理工作。严格按照《韶关市行政规范性文件管理办法》的规定，遵循法定程序。经梳理，2019年我局未印发规范性文件。</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2.落实规范性文件清理工作。根据省、市、区政府的工作部署，认真开展涉及证明事项的地方性法规、规章、文件清理和行政规范性文件自查自纠工作。经清理，我局均无自行设定的证明事项。</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（三）推进行政决策科学化、民主化、法治化情况</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1.确保重大行政决策内容合法。我局作出的重大行政决策均经过党组会、局务会讨论通过，确保各项决策均属本局法定职权，不与宪法、法律、法规、规章相抵触，与上级有关文件精神保持一致，需按规定报上级批准的均按要求报上级机关批准。</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2.严格执行重大行政决策程序。对专业性较强的重大决策，如村庄规划编制等，均组织专家进行论证；对涉及重大公共利益和群众切身利益或者可能影响社会稳定或者公众对决策方案有重大分歧的，举行听证会听取公众意见；所有重大行政决策事项均经领导集体讨论决定。</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（四）依法行政执法</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开展扫黑除恶专项斗争线索移交工作，规范移送涉嫌破坏土地资源、非法采矿等案件线索，不断提高线索排查能力和线索核查的效能。</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（五）强化对行政权</w:t>
      </w:r>
      <w:r>
        <w:rPr>
          <w:rFonts w:hint="eastAsia" w:ascii="楷体_GB2312" w:hAnsi="楷体_GB2312" w:eastAsia="楷体_GB2312" w:cs="楷体_GB2312"/>
          <w:sz w:val="32"/>
          <w:szCs w:val="32"/>
          <w:lang w:eastAsia="zh-CN"/>
        </w:rPr>
        <w:t>力</w:t>
      </w:r>
      <w:r>
        <w:rPr>
          <w:rFonts w:hint="eastAsia" w:ascii="楷体_GB2312" w:hAnsi="楷体_GB2312" w:eastAsia="楷体_GB2312" w:cs="楷体_GB2312"/>
          <w:sz w:val="32"/>
          <w:szCs w:val="32"/>
        </w:rPr>
        <w:t>的制约和监督</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1.将对行政权</w:t>
      </w:r>
      <w:r>
        <w:rPr>
          <w:rFonts w:hint="eastAsia" w:ascii="仿宋_GB2312" w:eastAsia="仿宋_GB2312"/>
          <w:sz w:val="32"/>
          <w:szCs w:val="32"/>
          <w:lang w:eastAsia="zh-CN"/>
        </w:rPr>
        <w:t>力</w:t>
      </w:r>
      <w:r>
        <w:rPr>
          <w:rFonts w:hint="eastAsia" w:ascii="仿宋_GB2312" w:eastAsia="仿宋_GB2312"/>
          <w:sz w:val="32"/>
          <w:szCs w:val="32"/>
        </w:rPr>
        <w:t>的制约和监督与扫黑除恶专项斗争、“不忘初心、牢记使命”主题教育结合起来。设立专用举报箱、专用举报电话、邮箱，广泛征求群众意见。</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2.自觉接受党内监督、纪检监督、民主监督、司法监督。通过定期开展党风廉政建设工作会议、“一岗双责”履职情况汇报会议，组织观看廉政警示片等方式，全面推进党风廉政建设；</w:t>
      </w:r>
      <w:r>
        <w:rPr>
          <w:rFonts w:hint="eastAsia" w:ascii="仿宋_GB2312" w:eastAsia="仿宋_GB2312"/>
          <w:sz w:val="32"/>
          <w:szCs w:val="32"/>
          <w:lang w:eastAsia="zh-CN"/>
        </w:rPr>
        <w:t>单位领导</w:t>
      </w:r>
      <w:r>
        <w:rPr>
          <w:rFonts w:hint="eastAsia" w:ascii="仿宋_GB2312" w:eastAsia="仿宋_GB2312"/>
          <w:sz w:val="32"/>
          <w:szCs w:val="32"/>
        </w:rPr>
        <w:t>积极参加庭审旁听活动，切实提高法</w:t>
      </w:r>
      <w:r>
        <w:rPr>
          <w:rFonts w:hint="eastAsia" w:ascii="仿宋_GB2312" w:eastAsia="仿宋_GB2312"/>
          <w:sz w:val="32"/>
          <w:szCs w:val="32"/>
          <w:lang w:eastAsia="zh-CN"/>
        </w:rPr>
        <w:t>治</w:t>
      </w:r>
      <w:r>
        <w:rPr>
          <w:rFonts w:hint="eastAsia" w:ascii="仿宋_GB2312" w:eastAsia="仿宋_GB2312"/>
          <w:sz w:val="32"/>
          <w:szCs w:val="32"/>
        </w:rPr>
        <w:t>意识、依法行政的能力和水平。</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（六）依法有效化解社会矛盾纠纷情况</w:t>
      </w:r>
      <w:bookmarkStart w:id="0" w:name="_GoBack"/>
      <w:bookmarkEnd w:id="0"/>
    </w:p>
    <w:p>
      <w:pPr>
        <w:spacing w:line="540" w:lineRule="exact"/>
        <w:ind w:firstLine="640" w:firstLineChars="200"/>
        <w:rPr>
          <w:rFonts w:ascii="仿宋_GB2312" w:eastAsia="仿宋_GB2312"/>
          <w:sz w:val="32"/>
          <w:szCs w:val="32"/>
        </w:rPr>
      </w:pPr>
      <w:r>
        <w:rPr>
          <w:rFonts w:hint="eastAsia" w:ascii="仿宋_GB2312" w:eastAsia="仿宋_GB2312"/>
          <w:sz w:val="32"/>
          <w:szCs w:val="32"/>
        </w:rPr>
        <w:t>1.加强法治宣传教育。开展“4.22”地球日，“6.25”土地日，“12.4”宪法宣传日等活动。发放宣传资料、宣传图册、宣传物料、摆放宣传展板。</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2.加强和改进信访工作。严格按照中华人民共和国《信访条例》的规定开展信访工作。共受理信访调处案件4宗，4人次，对反映的事情进行深入调查，使4宗信访答复令当事人满意。</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（七）全面提高机关工作人员法治思维和依法行政能力</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1.落实领导干部年度学法任务。积极参加区</w:t>
      </w:r>
      <w:r>
        <w:rPr>
          <w:rFonts w:hint="eastAsia" w:ascii="仿宋_GB2312" w:eastAsia="仿宋_GB2312"/>
          <w:sz w:val="32"/>
          <w:szCs w:val="32"/>
          <w:lang w:eastAsia="zh-CN"/>
        </w:rPr>
        <w:t>政</w:t>
      </w:r>
      <w:r>
        <w:rPr>
          <w:rFonts w:hint="eastAsia" w:ascii="仿宋_GB2312" w:eastAsia="仿宋_GB2312"/>
          <w:sz w:val="32"/>
          <w:szCs w:val="32"/>
        </w:rPr>
        <w:t>府组织的领导干部法治专题讲座，局领导班子均参与了集体学法</w:t>
      </w:r>
      <w:r>
        <w:rPr>
          <w:rFonts w:hint="eastAsia" w:ascii="仿宋_GB2312" w:eastAsia="仿宋_GB2312"/>
          <w:sz w:val="32"/>
          <w:szCs w:val="32"/>
          <w:lang w:eastAsia="zh-CN"/>
        </w:rPr>
        <w:t>，</w:t>
      </w:r>
      <w:r>
        <w:rPr>
          <w:rFonts w:hint="eastAsia" w:ascii="仿宋_GB2312" w:eastAsia="仿宋_GB2312"/>
          <w:sz w:val="32"/>
          <w:szCs w:val="32"/>
        </w:rPr>
        <w:t>取得了良好的培训效果。</w:t>
      </w:r>
    </w:p>
    <w:p>
      <w:pPr>
        <w:spacing w:line="54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2.组织全体职工学习“七五”普法读本，切实做好年度普法工作</w:t>
      </w:r>
      <w:r>
        <w:rPr>
          <w:rFonts w:hint="eastAsia" w:ascii="仿宋_GB2312" w:eastAsia="仿宋_GB2312"/>
          <w:sz w:val="32"/>
          <w:szCs w:val="32"/>
          <w:lang w:eastAsia="zh-CN"/>
        </w:rPr>
        <w:t>。</w:t>
      </w:r>
    </w:p>
    <w:p>
      <w:pPr>
        <w:spacing w:line="540" w:lineRule="exact"/>
        <w:ind w:firstLine="640" w:firstLineChars="200"/>
        <w:rPr>
          <w:rFonts w:hint="eastAsia" w:ascii="黑体" w:hAnsi="黑体" w:eastAsia="黑体" w:cs="黑体"/>
          <w:b w:val="0"/>
          <w:bCs/>
          <w:sz w:val="32"/>
          <w:szCs w:val="32"/>
        </w:rPr>
      </w:pPr>
      <w:r>
        <w:rPr>
          <w:rFonts w:hint="eastAsia" w:ascii="黑体" w:hAnsi="黑体" w:eastAsia="黑体" w:cs="黑体"/>
          <w:b w:val="0"/>
          <w:bCs/>
          <w:sz w:val="32"/>
          <w:szCs w:val="32"/>
        </w:rPr>
        <w:t>二、</w:t>
      </w:r>
      <w:r>
        <w:rPr>
          <w:rFonts w:hint="eastAsia" w:ascii="黑体" w:hAnsi="黑体" w:eastAsia="黑体" w:cs="黑体"/>
          <w:b w:val="0"/>
          <w:bCs/>
          <w:sz w:val="32"/>
          <w:szCs w:val="32"/>
          <w:lang w:val="en-US" w:eastAsia="zh-CN"/>
        </w:rPr>
        <w:t>2020</w:t>
      </w:r>
      <w:r>
        <w:rPr>
          <w:rFonts w:hint="eastAsia" w:ascii="黑体" w:hAnsi="黑体" w:eastAsia="黑体" w:cs="黑体"/>
          <w:b w:val="0"/>
          <w:bCs/>
          <w:sz w:val="32"/>
          <w:szCs w:val="32"/>
        </w:rPr>
        <w:t>年度法治政府建设工作的目标和重点</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（一）加强规范性文件监督管理工作，提升制度建设水平</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配合做好行政规范性文件审核、备案、清理工作，建立规范性文件清理长效机制。坚持定期清理和即时清理相结合，对不符合上位法规定、不适应经济社会发展需要的规范性文件及时修改，宣布失效和废止。</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（二）健全决策机制，坚持依法科学民主决策</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严格遵循重要项目的决议、审批均要经过领导班子集体决策，加快健全制度，做到以制度保障工作，以工作履行制度。</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（三）坚持严格规范公正文明执法</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进一步整合</w:t>
      </w:r>
      <w:r>
        <w:rPr>
          <w:rFonts w:hint="eastAsia" w:ascii="仿宋_GB2312" w:eastAsia="仿宋_GB2312"/>
          <w:sz w:val="32"/>
          <w:szCs w:val="32"/>
          <w:lang w:eastAsia="zh-CN"/>
        </w:rPr>
        <w:t>自然资源</w:t>
      </w:r>
      <w:r>
        <w:rPr>
          <w:rFonts w:hint="eastAsia" w:ascii="仿宋_GB2312" w:eastAsia="仿宋_GB2312"/>
          <w:sz w:val="32"/>
          <w:szCs w:val="32"/>
        </w:rPr>
        <w:t>行政执法队伍，严格按照程序开展巡查执法，依法查处各类破坏</w:t>
      </w:r>
      <w:r>
        <w:rPr>
          <w:rFonts w:hint="eastAsia" w:ascii="仿宋_GB2312" w:eastAsia="仿宋_GB2312"/>
          <w:sz w:val="32"/>
          <w:szCs w:val="32"/>
          <w:lang w:eastAsia="zh-CN"/>
        </w:rPr>
        <w:t>自然</w:t>
      </w:r>
      <w:r>
        <w:rPr>
          <w:rFonts w:hint="eastAsia" w:ascii="仿宋_GB2312" w:eastAsia="仿宋_GB2312"/>
          <w:sz w:val="32"/>
          <w:szCs w:val="32"/>
        </w:rPr>
        <w:t>资源的违法行为，依法依规做好</w:t>
      </w:r>
      <w:r>
        <w:rPr>
          <w:rFonts w:hint="eastAsia" w:ascii="仿宋_GB2312" w:eastAsia="仿宋_GB2312"/>
          <w:sz w:val="32"/>
          <w:szCs w:val="32"/>
          <w:lang w:eastAsia="zh-CN"/>
        </w:rPr>
        <w:t>土地、</w:t>
      </w:r>
      <w:r>
        <w:rPr>
          <w:rFonts w:hint="eastAsia" w:ascii="仿宋_GB2312" w:eastAsia="仿宋_GB2312"/>
          <w:sz w:val="32"/>
          <w:szCs w:val="32"/>
        </w:rPr>
        <w:t>山林</w:t>
      </w:r>
      <w:r>
        <w:rPr>
          <w:rFonts w:hint="eastAsia" w:ascii="仿宋_GB2312" w:eastAsia="仿宋_GB2312"/>
          <w:sz w:val="32"/>
          <w:szCs w:val="32"/>
          <w:lang w:eastAsia="zh-CN"/>
        </w:rPr>
        <w:t>权属</w:t>
      </w:r>
      <w:r>
        <w:rPr>
          <w:rFonts w:hint="eastAsia" w:ascii="仿宋_GB2312" w:eastAsia="仿宋_GB2312"/>
          <w:sz w:val="32"/>
          <w:szCs w:val="32"/>
        </w:rPr>
        <w:t>纠纷调处和信访事项办理。</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（四）依法有效化解行政纠纷</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积极化解行政纠纷。对各类行政纠纷，认真梳理排查，能采取主动纠错、撤销等程序化解行政争议的诉讼、复议案件，及时会同相关股室和法律顾问研究提出处理建议呈集体审议，确保化解行政纠纷，提升息诉息访率，提升群众满意度，确保依法行政。</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（五）全面提高自然资源系统法治思维和依法行政能力</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加强全系统法治教育培训。以年度法治政府建设考评为抓手，进一步增加学习内容，严格贯彻落实领导干部学法用法制度，采取领导干部集体学法、法治专题培训班和专题讲座以及组织观摩行政诉讼庭审活动等多种形式，努力提升领导干部运用法治思维和法治方式解决问题的能力。</w:t>
      </w:r>
    </w:p>
    <w:p>
      <w:pPr>
        <w:spacing w:line="540" w:lineRule="exact"/>
        <w:ind w:firstLine="480" w:firstLineChars="150"/>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（六）加强法治宣传</w:t>
      </w:r>
    </w:p>
    <w:p>
      <w:pPr>
        <w:spacing w:line="540" w:lineRule="exact"/>
        <w:ind w:firstLine="640" w:firstLineChars="200"/>
        <w:rPr>
          <w:rFonts w:ascii="仿宋_GB2312" w:eastAsia="仿宋_GB2312"/>
          <w:sz w:val="32"/>
          <w:szCs w:val="32"/>
        </w:rPr>
      </w:pPr>
      <w:r>
        <w:rPr>
          <w:rFonts w:hint="eastAsia" w:ascii="仿宋_GB2312" w:eastAsia="仿宋_GB2312"/>
          <w:sz w:val="32"/>
          <w:szCs w:val="32"/>
        </w:rPr>
        <w:t>开展自然资源管理法律法规“大讲堂”活动。以4.22地球日、6.25土地日、12.4宪法宣传日等活动为切入点，深入</w:t>
      </w:r>
      <w:r>
        <w:rPr>
          <w:rFonts w:hint="eastAsia" w:ascii="仿宋_GB2312" w:eastAsia="仿宋_GB2312"/>
          <w:sz w:val="32"/>
          <w:szCs w:val="32"/>
          <w:lang w:eastAsia="zh-CN"/>
        </w:rPr>
        <w:t>开展</w:t>
      </w:r>
      <w:r>
        <w:rPr>
          <w:rFonts w:hint="eastAsia" w:ascii="仿宋_GB2312" w:eastAsia="仿宋_GB2312"/>
          <w:sz w:val="32"/>
          <w:szCs w:val="32"/>
        </w:rPr>
        <w:t>“七五”普法宣传。采取日常宣传和重点宣传相结合、宣传教育与监管工作相结合的方法，加强对自然资源管理法律法规的宣传，营造浓厚的学法用法氛围。及时报送法治信息，积极报送法治信息及日常法</w:t>
      </w:r>
      <w:r>
        <w:rPr>
          <w:rFonts w:hint="eastAsia" w:ascii="仿宋_GB2312" w:eastAsia="仿宋_GB2312"/>
          <w:color w:val="auto"/>
          <w:sz w:val="32"/>
          <w:szCs w:val="32"/>
        </w:rPr>
        <w:t>治工作动态，完善我局法治建设。</w:t>
      </w:r>
    </w:p>
    <w:p>
      <w:pPr>
        <w:spacing w:line="540" w:lineRule="exact"/>
        <w:rPr>
          <w:rFonts w:ascii="仿宋_GB2312" w:eastAsia="仿宋_GB2312"/>
          <w:sz w:val="32"/>
          <w:szCs w:val="32"/>
        </w:rPr>
      </w:pPr>
    </w:p>
    <w:p>
      <w:pPr>
        <w:spacing w:line="540" w:lineRule="exact"/>
        <w:rPr>
          <w:rFonts w:ascii="仿宋_GB2312" w:eastAsia="仿宋_GB2312"/>
          <w:sz w:val="32"/>
          <w:szCs w:val="32"/>
        </w:rPr>
      </w:pPr>
    </w:p>
    <w:p>
      <w:pPr>
        <w:rPr>
          <w:rFonts w:ascii="仿宋_GB2312" w:eastAsia="仿宋_GB2312"/>
          <w:sz w:val="32"/>
          <w:szCs w:val="32"/>
        </w:rPr>
      </w:pPr>
    </w:p>
    <w:p>
      <w:pPr>
        <w:ind w:firstLine="4000" w:firstLineChars="1250"/>
        <w:rPr>
          <w:rFonts w:ascii="仿宋_GB2312" w:eastAsia="仿宋_GB2312"/>
          <w:sz w:val="32"/>
          <w:szCs w:val="32"/>
        </w:rPr>
      </w:pPr>
    </w:p>
    <w:p>
      <w:pPr>
        <w:rPr>
          <w:rFonts w:ascii="仿宋_GB2312" w:eastAsia="仿宋_GB2312"/>
          <w:sz w:val="32"/>
          <w:szCs w:val="32"/>
        </w:rPr>
      </w:pPr>
    </w:p>
    <w:sectPr>
      <w:headerReference r:id="rId3" w:type="default"/>
      <w:footerReference r:id="rId4" w:type="default"/>
      <w:pgSz w:w="11906" w:h="16838"/>
      <w:pgMar w:top="1440" w:right="1236" w:bottom="1440" w:left="1236"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68573"/>
      <w:docPartObj>
        <w:docPartGallery w:val="autotext"/>
      </w:docPartObj>
    </w:sdtPr>
    <w:sdtContent>
      <w:p>
        <w:pPr>
          <w:pStyle w:val="2"/>
          <w:jc w:val="center"/>
        </w:pPr>
        <w:r>
          <w:fldChar w:fldCharType="begin"/>
        </w:r>
        <w:r>
          <w:instrText xml:space="preserve"> PAGE   \* MERGEFORMAT </w:instrText>
        </w:r>
        <w:r>
          <w:fldChar w:fldCharType="separate"/>
        </w:r>
        <w:r>
          <w:rPr>
            <w:lang w:val="zh-CN"/>
          </w:rPr>
          <w:t>4</w:t>
        </w:r>
        <w:r>
          <w:rPr>
            <w:lang w:val="zh-CN"/>
          </w:rPr>
          <w:fldChar w:fldCharType="end"/>
        </w:r>
      </w:p>
    </w:sdtContent>
  </w:sdt>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TRkOTA5NTQyZTczZDU4ZTA5NjYxZGM4YzgzN2Y2OGQifQ=="/>
  </w:docVars>
  <w:rsids>
    <w:rsidRoot w:val="004130F0"/>
    <w:rsid w:val="0010145D"/>
    <w:rsid w:val="004130F0"/>
    <w:rsid w:val="00433BA3"/>
    <w:rsid w:val="00445C53"/>
    <w:rsid w:val="00545BF4"/>
    <w:rsid w:val="00615FF4"/>
    <w:rsid w:val="00766843"/>
    <w:rsid w:val="00A926A3"/>
    <w:rsid w:val="00CE6FEA"/>
    <w:rsid w:val="00DB3277"/>
    <w:rsid w:val="00DF3CAA"/>
    <w:rsid w:val="0A83125E"/>
    <w:rsid w:val="0E0B36A8"/>
    <w:rsid w:val="19043B2E"/>
    <w:rsid w:val="2002268C"/>
    <w:rsid w:val="20E82731"/>
    <w:rsid w:val="25593AB0"/>
    <w:rsid w:val="28657AEC"/>
    <w:rsid w:val="2C46408C"/>
    <w:rsid w:val="3EDB6930"/>
    <w:rsid w:val="4DE62975"/>
    <w:rsid w:val="516914B4"/>
    <w:rsid w:val="532718A6"/>
    <w:rsid w:val="62651707"/>
    <w:rsid w:val="66977947"/>
    <w:rsid w:val="6C45351B"/>
    <w:rsid w:val="6DAF622B"/>
    <w:rsid w:val="73BC5D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Pages>
  <Words>368</Words>
  <Characters>2100</Characters>
  <Lines>17</Lines>
  <Paragraphs>4</Paragraphs>
  <TotalTime>230</TotalTime>
  <ScaleCrop>false</ScaleCrop>
  <LinksUpToDate>false</LinksUpToDate>
  <CharactersWithSpaces>2464</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2020-03-06T14:06:00Z</dcterms:created>
  <dc:creator>1</dc:creator>
  <cp:lastModifiedBy>Administrator</cp:lastModifiedBy>
  <cp:lastPrinted>2020-03-06T23:38:00Z</cp:lastPrinted>
  <dcterms:modified xsi:type="dcterms:W3CDTF">2024-01-25T08:17:47Z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ribbonExt">
    <vt:lpwstr>{"WPSExtOfficeTab":{"OnGetEnabled":false,"OnGetVisible":false}}</vt:lpwstr>
  </property>
  <property fmtid="{D5CDD505-2E9C-101B-9397-08002B2CF9AE}" pid="4" name="ICV">
    <vt:lpwstr>1605658A9DA74E6DB09B095EF949BB07</vt:lpwstr>
  </property>
</Properties>
</file>