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rPr>
      </w:pPr>
      <w:r>
        <w:rPr>
          <w:rFonts w:hint="default" w:ascii="方正小标宋简体" w:hAnsi="方正小标宋简体" w:eastAsia="方正小标宋简体" w:cs="方正小标宋简体"/>
          <w:color w:val="000000"/>
          <w:sz w:val="44"/>
          <w:szCs w:val="44"/>
          <w:lang w:val="en"/>
        </w:rPr>
        <w:t xml:space="preserve"> </w:t>
      </w:r>
      <w:r>
        <w:rPr>
          <w:rFonts w:hint="eastAsia" w:ascii="方正小标宋简体" w:hAnsi="方正小标宋简体" w:eastAsia="方正小标宋简体" w:cs="方正小标宋简体"/>
          <w:color w:val="000000"/>
          <w:sz w:val="44"/>
          <w:szCs w:val="44"/>
        </w:rPr>
        <w:t>浈江区第二轮中央生态环境保护督察报告整改清单化调度汇总表</w:t>
      </w:r>
    </w:p>
    <w:p>
      <w:pPr>
        <w:pStyle w:val="3"/>
      </w:pPr>
    </w:p>
    <w:tbl>
      <w:tblPr>
        <w:tblStyle w:val="10"/>
        <w:tblW w:w="19929"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020"/>
        <w:gridCol w:w="840"/>
        <w:gridCol w:w="1155"/>
        <w:gridCol w:w="1095"/>
        <w:gridCol w:w="6855"/>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81" w:type="dxa"/>
            <w:vAlign w:val="center"/>
          </w:tcPr>
          <w:p>
            <w:pPr>
              <w:pStyle w:val="2"/>
              <w:ind w:firstLine="0" w:firstLineChars="0"/>
              <w:jc w:val="center"/>
              <w:rPr>
                <w:rFonts w:ascii="楷体_GB2312" w:hAnsi="宋体" w:cs="楷体_GB2312"/>
                <w:b/>
                <w:color w:val="auto"/>
                <w:kern w:val="0"/>
                <w:sz w:val="24"/>
              </w:rPr>
            </w:pPr>
            <w:r>
              <w:rPr>
                <w:rFonts w:hint="eastAsia" w:ascii="楷体_GB2312" w:hAnsi="宋体" w:cs="楷体_GB2312"/>
                <w:b/>
                <w:color w:val="auto"/>
                <w:kern w:val="0"/>
                <w:sz w:val="24"/>
              </w:rPr>
              <w:t>任务</w:t>
            </w:r>
          </w:p>
        </w:tc>
        <w:tc>
          <w:tcPr>
            <w:tcW w:w="1020" w:type="dxa"/>
            <w:vAlign w:val="center"/>
          </w:tcPr>
          <w:p>
            <w:pPr>
              <w:pStyle w:val="2"/>
              <w:ind w:firstLine="0" w:firstLineChars="0"/>
              <w:jc w:val="center"/>
              <w:rPr>
                <w:rFonts w:ascii="楷体_GB2312" w:hAnsi="宋体" w:cs="楷体_GB2312"/>
                <w:b/>
                <w:color w:val="auto"/>
                <w:kern w:val="0"/>
                <w:sz w:val="24"/>
              </w:rPr>
            </w:pPr>
            <w:r>
              <w:rPr>
                <w:rFonts w:hint="eastAsia" w:ascii="楷体_GB2312" w:hAnsi="宋体" w:cs="楷体_GB2312"/>
                <w:b/>
                <w:color w:val="auto"/>
                <w:kern w:val="0"/>
                <w:sz w:val="24"/>
              </w:rPr>
              <w:t>整改目标</w:t>
            </w:r>
          </w:p>
        </w:tc>
        <w:tc>
          <w:tcPr>
            <w:tcW w:w="840" w:type="dxa"/>
            <w:vAlign w:val="center"/>
          </w:tcPr>
          <w:p>
            <w:pPr>
              <w:pStyle w:val="2"/>
              <w:ind w:firstLine="0" w:firstLineChars="0"/>
              <w:jc w:val="center"/>
              <w:rPr>
                <w:rFonts w:ascii="楷体_GB2312" w:hAnsi="宋体" w:cs="楷体_GB2312"/>
                <w:b/>
                <w:color w:val="auto"/>
                <w:kern w:val="0"/>
                <w:sz w:val="24"/>
              </w:rPr>
            </w:pPr>
            <w:r>
              <w:rPr>
                <w:rFonts w:hint="eastAsia" w:ascii="楷体_GB2312" w:hAnsi="宋体" w:cs="楷体_GB2312"/>
                <w:b/>
                <w:color w:val="auto"/>
                <w:kern w:val="0"/>
                <w:sz w:val="24"/>
              </w:rPr>
              <w:t>整改时限</w:t>
            </w:r>
          </w:p>
        </w:tc>
        <w:tc>
          <w:tcPr>
            <w:tcW w:w="1155" w:type="dxa"/>
            <w:vAlign w:val="center"/>
          </w:tcPr>
          <w:p>
            <w:pPr>
              <w:pStyle w:val="2"/>
              <w:ind w:firstLine="0" w:firstLineChars="0"/>
              <w:jc w:val="center"/>
              <w:rPr>
                <w:rFonts w:ascii="楷体_GB2312" w:hAnsi="宋体" w:cs="楷体_GB2312"/>
                <w:b/>
                <w:color w:val="auto"/>
                <w:kern w:val="0"/>
                <w:sz w:val="24"/>
              </w:rPr>
            </w:pPr>
            <w:r>
              <w:rPr>
                <w:rFonts w:hint="eastAsia" w:ascii="楷体_GB2312" w:hAnsi="宋体" w:cs="楷体_GB2312"/>
                <w:b/>
                <w:color w:val="auto"/>
                <w:kern w:val="0"/>
                <w:sz w:val="24"/>
              </w:rPr>
              <w:t>责任单位</w:t>
            </w:r>
          </w:p>
        </w:tc>
        <w:tc>
          <w:tcPr>
            <w:tcW w:w="1095" w:type="dxa"/>
            <w:vAlign w:val="center"/>
          </w:tcPr>
          <w:p>
            <w:pPr>
              <w:pStyle w:val="2"/>
              <w:ind w:firstLine="0" w:firstLineChars="0"/>
              <w:jc w:val="center"/>
              <w:rPr>
                <w:rFonts w:ascii="楷体_GB2312" w:hAnsi="宋体" w:cs="楷体_GB2312"/>
                <w:b/>
                <w:color w:val="auto"/>
                <w:kern w:val="0"/>
                <w:sz w:val="24"/>
              </w:rPr>
            </w:pPr>
            <w:r>
              <w:rPr>
                <w:rFonts w:hint="eastAsia" w:ascii="楷体_GB2312" w:hAnsi="宋体" w:cs="楷体_GB2312"/>
                <w:b/>
                <w:color w:val="auto"/>
                <w:kern w:val="0"/>
                <w:sz w:val="24"/>
              </w:rPr>
              <w:t>责任领导</w:t>
            </w:r>
          </w:p>
        </w:tc>
        <w:tc>
          <w:tcPr>
            <w:tcW w:w="6855" w:type="dxa"/>
            <w:vAlign w:val="center"/>
          </w:tcPr>
          <w:p>
            <w:pPr>
              <w:pStyle w:val="2"/>
              <w:ind w:firstLine="480"/>
              <w:jc w:val="center"/>
              <w:rPr>
                <w:rFonts w:ascii="楷体_GB2312" w:hAnsi="宋体" w:cs="楷体_GB2312"/>
                <w:b/>
                <w:color w:val="auto"/>
                <w:kern w:val="0"/>
                <w:sz w:val="24"/>
              </w:rPr>
            </w:pPr>
            <w:r>
              <w:rPr>
                <w:rFonts w:hint="eastAsia" w:ascii="楷体_GB2312" w:hAnsi="宋体" w:cs="楷体_GB2312"/>
                <w:b/>
                <w:color w:val="auto"/>
                <w:kern w:val="0"/>
                <w:sz w:val="24"/>
              </w:rPr>
              <w:t>整改措施</w:t>
            </w:r>
          </w:p>
        </w:tc>
        <w:tc>
          <w:tcPr>
            <w:tcW w:w="6583" w:type="dxa"/>
            <w:vAlign w:val="center"/>
          </w:tcPr>
          <w:p>
            <w:pPr>
              <w:pStyle w:val="2"/>
              <w:ind w:firstLine="480"/>
              <w:jc w:val="center"/>
              <w:rPr>
                <w:rFonts w:ascii="楷体_GB2312" w:hAnsi="宋体" w:cs="楷体_GB2312"/>
                <w:b/>
                <w:color w:val="auto"/>
                <w:kern w:val="0"/>
                <w:sz w:val="24"/>
              </w:rPr>
            </w:pPr>
            <w:r>
              <w:rPr>
                <w:rFonts w:hint="eastAsia" w:ascii="楷体_GB2312" w:hAnsi="宋体" w:cs="楷体_GB2312"/>
                <w:b/>
                <w:color w:val="auto"/>
                <w:kern w:val="0"/>
                <w:sz w:val="24"/>
              </w:rPr>
              <w:t>整改进展情况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381" w:type="dxa"/>
            <w:vMerge w:val="restart"/>
            <w:vAlign w:val="center"/>
          </w:tcPr>
          <w:p>
            <w:pPr>
              <w:pStyle w:val="2"/>
              <w:ind w:firstLine="420"/>
              <w:rPr>
                <w:szCs w:val="21"/>
              </w:rPr>
            </w:pPr>
            <w:r>
              <w:rPr>
                <w:rFonts w:hint="eastAsia"/>
                <w:szCs w:val="21"/>
              </w:rPr>
              <w:t>一、广东省有些地市和部门认识不够到位，措施不够有力，生态环境保护抓得不够紧，推得不够实，在统筹协调、责任担当等方面还存在差距。有些市县思想认识不够到位，对习近平生态文明思想学习领会还不够深入，贯彻落实缺少方法，没有真正把生态环境保护作为高质量发展的应有之义和重要内容，工作落实“时冷时热”。对标中央要求，对照人民期待，对标高质量发展要求仍有差距，美丽河湖和美丽海湾保护与建设还存在一些突出问题，部分地方和领域生态环境安全保障不力，工作力度仍需进一步加大，一些突出生态环境问题亟待解决。</w:t>
            </w:r>
          </w:p>
        </w:tc>
        <w:tc>
          <w:tcPr>
            <w:tcW w:w="1020" w:type="dxa"/>
            <w:vMerge w:val="restart"/>
            <w:vAlign w:val="center"/>
          </w:tcPr>
          <w:p>
            <w:pPr>
              <w:pStyle w:val="2"/>
              <w:ind w:firstLine="0" w:firstLineChars="0"/>
              <w:rPr>
                <w:szCs w:val="21"/>
              </w:rPr>
            </w:pPr>
            <w:r>
              <w:rPr>
                <w:rFonts w:ascii="Times New Roman" w:hAnsi="Times New Roman"/>
              </w:rPr>
              <w:t>全面践行习近平生态文明思想，切实增强抓好生态环境保护的政治自觉、思想自觉、行动自觉。</w:t>
            </w:r>
          </w:p>
        </w:tc>
        <w:tc>
          <w:tcPr>
            <w:tcW w:w="840" w:type="dxa"/>
            <w:vMerge w:val="restart"/>
            <w:vAlign w:val="center"/>
          </w:tcPr>
          <w:p>
            <w:pPr>
              <w:pStyle w:val="2"/>
              <w:ind w:firstLine="0" w:firstLineChars="0"/>
              <w:rPr>
                <w:szCs w:val="21"/>
              </w:rPr>
            </w:pPr>
            <w:r>
              <w:rPr>
                <w:rFonts w:hint="eastAsia"/>
                <w:szCs w:val="21"/>
              </w:rPr>
              <w:t>立行立改，长期坚持</w:t>
            </w:r>
          </w:p>
        </w:tc>
        <w:tc>
          <w:tcPr>
            <w:tcW w:w="1155" w:type="dxa"/>
            <w:vMerge w:val="restart"/>
            <w:vAlign w:val="center"/>
          </w:tcPr>
          <w:p>
            <w:pPr>
              <w:pStyle w:val="2"/>
              <w:ind w:firstLine="0" w:firstLineChars="0"/>
              <w:rPr>
                <w:szCs w:val="21"/>
              </w:rPr>
            </w:pPr>
            <w:r>
              <w:rPr>
                <w:rFonts w:hint="eastAsia"/>
              </w:rPr>
              <w:t>区生态环境保护委员会成员单位、各镇（办）党委和政府</w:t>
            </w:r>
          </w:p>
        </w:tc>
        <w:tc>
          <w:tcPr>
            <w:tcW w:w="1095" w:type="dxa"/>
            <w:vMerge w:val="restart"/>
            <w:vAlign w:val="center"/>
          </w:tcPr>
          <w:p>
            <w:pPr>
              <w:pStyle w:val="2"/>
              <w:ind w:firstLine="0" w:firstLineChars="0"/>
            </w:pPr>
            <w:r>
              <w:rPr>
                <w:rFonts w:hint="eastAsia"/>
              </w:rPr>
              <w:t>陈来安</w:t>
            </w:r>
          </w:p>
          <w:p>
            <w:pPr>
              <w:pStyle w:val="2"/>
              <w:ind w:firstLine="0" w:firstLineChars="0"/>
              <w:jc w:val="center"/>
              <w:rPr>
                <w:szCs w:val="21"/>
              </w:rPr>
            </w:pPr>
            <w:r>
              <w:rPr>
                <w:rFonts w:hint="eastAsia"/>
              </w:rPr>
              <w:t>鲁锦锋</w:t>
            </w:r>
          </w:p>
        </w:tc>
        <w:tc>
          <w:tcPr>
            <w:tcW w:w="6855" w:type="dxa"/>
            <w:vAlign w:val="center"/>
          </w:tcPr>
          <w:p>
            <w:pPr>
              <w:pStyle w:val="2"/>
              <w:ind w:firstLine="0" w:firstLineChars="0"/>
              <w:rPr>
                <w:szCs w:val="21"/>
              </w:rPr>
            </w:pPr>
            <w:r>
              <w:rPr>
                <w:rFonts w:hint="eastAsia"/>
                <w:szCs w:val="21"/>
              </w:rPr>
              <w:t>（一）深入学习习近平生态文明思想，把贯彻落实总书记重要讲话和重要指示批示精神作为首要政治任务，不断增强各级领导干部的政治判断力、政治领悟力、政治执行力。完整、准确、全面贯彻新发展理念，牢牢把握高质量发展主题，坚持不懈推进经济社会发展全面绿色转型。按照“五位一体”总体布局和“四个全面”战略布局要求，坚持把生态文明建设融入全区改革发展全过程各领域，系统谋划、全面部署、强力推进。</w:t>
            </w:r>
          </w:p>
        </w:tc>
        <w:tc>
          <w:tcPr>
            <w:tcW w:w="658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szCs w:val="21"/>
                <w:lang w:val="en" w:eastAsia="zh-CN"/>
              </w:rPr>
            </w:pPr>
            <w:r>
              <w:rPr>
                <w:rFonts w:hint="eastAsia" w:eastAsia="楷体_GB2312"/>
                <w:color w:val="000000"/>
                <w:szCs w:val="21"/>
                <w:lang w:val="en-US" w:eastAsia="zh-CN"/>
              </w:rPr>
              <w:t xml:space="preserve">   </w:t>
            </w:r>
            <w:r>
              <w:rPr>
                <w:rFonts w:hint="eastAsia" w:ascii="楷体_GB2312" w:hAnsi="楷体_GB2312" w:eastAsia="楷体_GB2312" w:cs="楷体_GB2312"/>
                <w:color w:val="auto"/>
                <w:kern w:val="0"/>
                <w:sz w:val="21"/>
                <w:szCs w:val="21"/>
                <w:lang w:val="en-US" w:eastAsia="zh-CN" w:bidi="ar-SA"/>
              </w:rPr>
              <w:t>区委、区政府坚持以习近平新时代中国特色社会主义思想为指导，深入贯彻习近平生态文明思想，牢固树立绿水青山就是金山银山的理念，完整、准确、全面贯彻新发展理念，将习近平生态文明思想转化为全市上下的思想自觉和统一行动，全面落实生态环境保护责任。区委、区政府经常性召开区委常委会、区委书记专题会、区政府常务会等会议研究部署生态环境保护和生态环境保护督察整改相关工作，有力、有序推进生态环境保护督察整改。助力我市成功创建国家生态文明建设示范区和国家森林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jc w:val="center"/>
              <w:rPr>
                <w:rFonts w:eastAsia="楷体_GB2312"/>
                <w:color w:val="000000"/>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全面加强党对生态环境保护工作的领导，压实各部门生态环境保护责任，严格落实“党政同责、一岗双责”，强化担当作为。建立健全区生态环境保护委员会工作机制，成立污染防治攻坚战指挥部，充分发挥河长制作用，统筹推进全市生态环境工作。强化人大、政协监督指导，开展重点区域、重点领域、重点行业监督帮扶，加快形成大生态环境工作格局。</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kern w:val="0"/>
                <w:sz w:val="21"/>
                <w:szCs w:val="21"/>
                <w:lang w:eastAsia="zh-CN"/>
                <w14:textFill>
                  <w14:solidFill>
                    <w14:schemeClr w14:val="tx1"/>
                  </w14:solidFill>
                </w14:textFill>
              </w:rPr>
              <w:t>区</w:t>
            </w:r>
            <w:r>
              <w:rPr>
                <w:rFonts w:hint="eastAsia" w:ascii="楷体_GB2312" w:hAnsi="楷体_GB2312" w:eastAsia="楷体_GB2312" w:cs="楷体_GB2312"/>
                <w:color w:val="000000" w:themeColor="text1"/>
                <w:kern w:val="0"/>
                <w:sz w:val="21"/>
                <w:szCs w:val="21"/>
                <w14:textFill>
                  <w14:solidFill>
                    <w14:schemeClr w14:val="tx1"/>
                  </w14:solidFill>
                </w14:textFill>
              </w:rPr>
              <w:t>委、</w:t>
            </w:r>
            <w:r>
              <w:rPr>
                <w:rFonts w:hint="eastAsia" w:ascii="楷体_GB2312" w:hAnsi="楷体_GB2312" w:cs="楷体_GB2312"/>
                <w:color w:val="000000" w:themeColor="text1"/>
                <w:kern w:val="0"/>
                <w:sz w:val="21"/>
                <w:szCs w:val="21"/>
                <w:lang w:eastAsia="zh-CN"/>
                <w14:textFill>
                  <w14:solidFill>
                    <w14:schemeClr w14:val="tx1"/>
                  </w14:solidFill>
                </w14:textFill>
              </w:rPr>
              <w:t>区</w:t>
            </w:r>
            <w:r>
              <w:rPr>
                <w:rFonts w:hint="eastAsia" w:ascii="楷体_GB2312" w:hAnsi="楷体_GB2312" w:eastAsia="楷体_GB2312" w:cs="楷体_GB2312"/>
                <w:color w:val="000000" w:themeColor="text1"/>
                <w:kern w:val="0"/>
                <w:sz w:val="21"/>
                <w:szCs w:val="21"/>
                <w14:textFill>
                  <w14:solidFill>
                    <w14:schemeClr w14:val="tx1"/>
                  </w14:solidFill>
                </w14:textFill>
              </w:rPr>
              <w:t>政府扛起生态环境保护政治责任</w:t>
            </w:r>
            <w:r>
              <w:rPr>
                <w:rFonts w:hint="eastAsia" w:ascii="楷体_GB2312" w:hAnsi="楷体_GB2312" w:cs="楷体_GB2312"/>
                <w:color w:val="000000" w:themeColor="text1"/>
                <w:kern w:val="0"/>
                <w:sz w:val="21"/>
                <w:szCs w:val="21"/>
                <w:lang w:eastAsia="zh-CN"/>
                <w14:textFill>
                  <w14:solidFill>
                    <w14:schemeClr w14:val="tx1"/>
                  </w14:solidFill>
                </w14:textFill>
              </w:rPr>
              <w:t>，</w:t>
            </w:r>
            <w:r>
              <w:rPr>
                <w:rFonts w:hint="eastAsia" w:ascii="楷体_GB2312" w:hAnsi="楷体_GB2312" w:eastAsia="楷体_GB2312" w:cs="楷体_GB2312"/>
                <w:color w:val="000000" w:themeColor="text1"/>
                <w:kern w:val="0"/>
                <w:sz w:val="21"/>
                <w:szCs w:val="21"/>
                <w14:textFill>
                  <w14:solidFill>
                    <w14:schemeClr w14:val="tx1"/>
                  </w14:solidFill>
                </w14:textFill>
              </w:rPr>
              <w:t>各</w:t>
            </w:r>
            <w:r>
              <w:rPr>
                <w:rFonts w:hint="eastAsia" w:ascii="楷体_GB2312" w:hAnsi="楷体_GB2312" w:cs="楷体_GB2312"/>
                <w:color w:val="000000" w:themeColor="text1"/>
                <w:kern w:val="0"/>
                <w:sz w:val="21"/>
                <w:szCs w:val="21"/>
                <w:lang w:eastAsia="zh-CN"/>
                <w14:textFill>
                  <w14:solidFill>
                    <w14:schemeClr w14:val="tx1"/>
                  </w14:solidFill>
                </w14:textFill>
              </w:rPr>
              <w:t>镇（办）</w:t>
            </w:r>
            <w:r>
              <w:rPr>
                <w:rFonts w:hint="eastAsia" w:ascii="楷体_GB2312" w:hAnsi="楷体_GB2312" w:eastAsia="楷体_GB2312" w:cs="楷体_GB2312"/>
                <w:color w:val="000000" w:themeColor="text1"/>
                <w:kern w:val="0"/>
                <w:sz w:val="21"/>
                <w:szCs w:val="21"/>
                <w14:textFill>
                  <w14:solidFill>
                    <w14:schemeClr w14:val="tx1"/>
                  </w14:solidFill>
                </w14:textFill>
              </w:rPr>
              <w:t>各有关部门通力协作，统筹推进中央生态环境保护督察各项任务措施落地见效。充分发挥生态环境保护委员会</w:t>
            </w:r>
            <w:r>
              <w:rPr>
                <w:rFonts w:hint="eastAsia" w:ascii="楷体_GB2312" w:hAnsi="楷体_GB2312" w:cs="楷体_GB2312"/>
                <w:color w:val="000000" w:themeColor="text1"/>
                <w:kern w:val="0"/>
                <w:sz w:val="21"/>
                <w:szCs w:val="21"/>
                <w:lang w:eastAsia="zh-CN"/>
                <w14:textFill>
                  <w14:solidFill>
                    <w14:schemeClr w14:val="tx1"/>
                  </w14:solidFill>
                </w14:textFill>
              </w:rPr>
              <w:t>的</w:t>
            </w:r>
            <w:r>
              <w:rPr>
                <w:rFonts w:hint="eastAsia" w:ascii="楷体_GB2312" w:hAnsi="楷体_GB2312" w:eastAsia="楷体_GB2312" w:cs="楷体_GB2312"/>
                <w:color w:val="000000" w:themeColor="text1"/>
                <w:kern w:val="0"/>
                <w:sz w:val="21"/>
                <w:szCs w:val="21"/>
                <w14:textFill>
                  <w14:solidFill>
                    <w14:schemeClr w14:val="tx1"/>
                  </w14:solidFill>
                </w14:textFill>
              </w:rPr>
              <w:t>统筹协调作用，全面压实生态环境保护“党政同责、一岗双责”工作责任，</w:t>
            </w:r>
            <w:r>
              <w:rPr>
                <w:rFonts w:hint="eastAsia" w:ascii="楷体_GB2312" w:hAnsi="楷体_GB2312" w:eastAsia="楷体_GB2312" w:cs="楷体_GB2312"/>
                <w:color w:val="000000" w:themeColor="text1"/>
                <w:kern w:val="0"/>
                <w:sz w:val="21"/>
                <w:szCs w:val="21"/>
                <w:lang w:eastAsia="zh-CN"/>
                <w14:textFill>
                  <w14:solidFill>
                    <w14:schemeClr w14:val="tx1"/>
                  </w14:solidFill>
                </w14:textFill>
              </w:rPr>
              <w:t>持续</w:t>
            </w:r>
            <w:r>
              <w:rPr>
                <w:rFonts w:hint="eastAsia" w:ascii="楷体_GB2312" w:hAnsi="楷体_GB2312" w:eastAsia="楷体_GB2312" w:cs="楷体_GB2312"/>
                <w:color w:val="000000" w:themeColor="text1"/>
                <w:kern w:val="0"/>
                <w:sz w:val="21"/>
                <w:szCs w:val="21"/>
                <w14:textFill>
                  <w14:solidFill>
                    <w14:schemeClr w14:val="tx1"/>
                  </w14:solidFill>
                </w14:textFill>
              </w:rPr>
              <w:t>推进</w:t>
            </w:r>
            <w:r>
              <w:rPr>
                <w:rFonts w:hint="eastAsia" w:ascii="楷体_GB2312" w:hAnsi="楷体_GB2312" w:eastAsia="楷体_GB2312" w:cs="楷体_GB2312"/>
                <w:color w:val="000000" w:themeColor="text1"/>
                <w:kern w:val="0"/>
                <w:sz w:val="21"/>
                <w:szCs w:val="21"/>
                <w:lang w:eastAsia="zh-CN"/>
                <w14:textFill>
                  <w14:solidFill>
                    <w14:schemeClr w14:val="tx1"/>
                  </w14:solidFill>
                </w14:textFill>
              </w:rPr>
              <w:t>生态环境保护和生态环境保护</w:t>
            </w:r>
            <w:r>
              <w:rPr>
                <w:rFonts w:hint="eastAsia" w:ascii="楷体_GB2312" w:hAnsi="楷体_GB2312" w:eastAsia="楷体_GB2312" w:cs="楷体_GB2312"/>
                <w:color w:val="000000" w:themeColor="text1"/>
                <w:kern w:val="0"/>
                <w:sz w:val="21"/>
                <w:szCs w:val="21"/>
                <w14:textFill>
                  <w14:solidFill>
                    <w14:schemeClr w14:val="tx1"/>
                  </w14:solidFill>
                </w14:textFill>
              </w:rPr>
              <w:t>督察整改工作。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严格考核问责，积极构建以绿色发展为导向的生态文明建设考核评价体系，突出中央生态环境保护督察整改、污染防治攻坚、生态环境质量改善等成效考核，把考核结果作为各级领导班子和领导干部任用和奖惩、专项资金划拨的重要依据。严格党政领导干部生态环境损害责任追究，倒逼责任落实。</w:t>
            </w:r>
          </w:p>
        </w:tc>
        <w:tc>
          <w:tcPr>
            <w:tcW w:w="6583" w:type="dxa"/>
            <w:vAlign w:val="center"/>
          </w:tcPr>
          <w:p>
            <w:pPr>
              <w:pStyle w:val="12"/>
              <w:snapToGrid w:val="0"/>
              <w:jc w:val="left"/>
              <w:rPr>
                <w:color w:val="000000" w:themeColor="text1"/>
                <w:szCs w:val="21"/>
                <w:lang w:val="en"/>
                <w14:textFill>
                  <w14:solidFill>
                    <w14:schemeClr w14:val="tx1"/>
                  </w14:solidFill>
                </w14:textFill>
              </w:rPr>
            </w:pPr>
            <w:r>
              <w:rPr>
                <w:rFonts w:hint="eastAsia" w:eastAsia="楷体_GB2312"/>
                <w:color w:val="000000" w:themeColor="text1"/>
                <w:szCs w:val="21"/>
                <w:lang w:val="en" w:eastAsia="zh-CN"/>
                <w14:textFill>
                  <w14:solidFill>
                    <w14:schemeClr w14:val="tx1"/>
                  </w14:solidFill>
                </w14:textFill>
              </w:rPr>
              <w:t>印发</w:t>
            </w:r>
            <w:r>
              <w:rPr>
                <w:rFonts w:hint="eastAsia" w:eastAsia="楷体_GB2312"/>
                <w:color w:val="000000" w:themeColor="text1"/>
                <w:szCs w:val="21"/>
                <w:lang w:val="en"/>
                <w14:textFill>
                  <w14:solidFill>
                    <w14:schemeClr w14:val="tx1"/>
                  </w14:solidFill>
                </w14:textFill>
              </w:rPr>
              <w:t>《</w:t>
            </w:r>
            <w:r>
              <w:rPr>
                <w:rFonts w:hint="eastAsia" w:eastAsia="楷体_GB2312"/>
                <w:color w:val="000000" w:themeColor="text1"/>
                <w:szCs w:val="21"/>
                <w:lang w:val="en-US" w:eastAsia="zh-CN"/>
                <w14:textFill>
                  <w14:solidFill>
                    <w14:schemeClr w14:val="tx1"/>
                  </w14:solidFill>
                </w14:textFill>
              </w:rPr>
              <w:t>2022年</w:t>
            </w:r>
            <w:r>
              <w:rPr>
                <w:rFonts w:hint="eastAsia" w:eastAsia="楷体_GB2312"/>
                <w:color w:val="000000" w:themeColor="text1"/>
                <w:szCs w:val="21"/>
                <w14:textFill>
                  <w14:solidFill>
                    <w14:schemeClr w14:val="tx1"/>
                  </w14:solidFill>
                </w14:textFill>
              </w:rPr>
              <w:t>浈江区机关绩效考核实施方案</w:t>
            </w:r>
            <w:r>
              <w:rPr>
                <w:rFonts w:hint="eastAsia" w:eastAsia="楷体_GB2312"/>
                <w:color w:val="000000" w:themeColor="text1"/>
                <w:szCs w:val="21"/>
                <w:lang w:val="en"/>
                <w14:textFill>
                  <w14:solidFill>
                    <w14:schemeClr w14:val="tx1"/>
                  </w14:solidFill>
                </w14:textFill>
              </w:rPr>
              <w:t>》，</w:t>
            </w:r>
            <w:r>
              <w:rPr>
                <w:rFonts w:hint="eastAsia" w:eastAsia="楷体_GB2312"/>
                <w:color w:val="000000" w:themeColor="text1"/>
                <w:szCs w:val="21"/>
                <w14:textFill>
                  <w14:solidFill>
                    <w14:schemeClr w14:val="tx1"/>
                  </w14:solidFill>
                </w14:textFill>
              </w:rPr>
              <w:t>积极构建以绿色发展为导向的生态文明建设考核评价体系，突出中央生态环境保护督察整改、污染防治攻坚、生态环境质量改善等成效考核。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加快推进美丽河湖建设。以水生态环境质量改善为核心,坚持环境治理与生态修复两手发力,统筹水资源利用、水生态保护和水环境治理,全力推动流域和城市内河涌整治,高质量推进万里碧道建设,打造一批美丽河湖典范。</w:t>
            </w:r>
          </w:p>
        </w:tc>
        <w:tc>
          <w:tcPr>
            <w:tcW w:w="6583" w:type="dxa"/>
            <w:vAlign w:val="center"/>
          </w:tcPr>
          <w:p>
            <w:pPr>
              <w:pStyle w:val="2"/>
              <w:ind w:firstLine="0" w:firstLineChars="0"/>
              <w:rPr>
                <w:rFonts w:hint="default" w:eastAsia="楷体_GB2312"/>
                <w:color w:val="000000" w:themeColor="text1"/>
                <w:szCs w:val="21"/>
                <w:lang w:val="en" w:eastAsia="zh-CN"/>
                <w14:textFill>
                  <w14:solidFill>
                    <w14:schemeClr w14:val="tx1"/>
                  </w14:solidFill>
                </w14:textFill>
              </w:rPr>
            </w:pPr>
            <w:r>
              <w:rPr>
                <w:rFonts w:hint="eastAsia" w:ascii="楷体_GB2312" w:hAnsi="楷体_GB2312" w:eastAsia="楷体_GB2312" w:cs="楷体_GB2312"/>
                <w:color w:val="auto"/>
                <w:kern w:val="0"/>
                <w:sz w:val="21"/>
                <w:szCs w:val="21"/>
                <w:lang w:val="en-US" w:eastAsia="zh-CN" w:bidi="ar-SA"/>
              </w:rPr>
              <w:t>开展沿江岸线整治。按照《韶关市浈江区深入开展沿江岸线整治百日攻坚行动方案》要求，全区各镇办各部门继续开展沿江岸线百日攻坚专项整治工作。自2021年9月开展专项行动起至2022年底，全区摸底调查共发现并完成整改问题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rPr>
                <w:szCs w:val="21"/>
              </w:rPr>
            </w:pPr>
          </w:p>
        </w:tc>
        <w:tc>
          <w:tcPr>
            <w:tcW w:w="6855" w:type="dxa"/>
            <w:vAlign w:val="center"/>
          </w:tcPr>
          <w:p>
            <w:pPr>
              <w:pStyle w:val="2"/>
              <w:ind w:firstLine="0" w:firstLineChars="0"/>
              <w:rPr>
                <w:szCs w:val="21"/>
              </w:rPr>
            </w:pPr>
            <w:r>
              <w:rPr>
                <w:rFonts w:hint="eastAsia"/>
                <w:szCs w:val="21"/>
              </w:rPr>
              <w:t>（五）持续强化环境风险防控。以生态保护红线、自然保护地为重点,加强重要生态系统保护监管。强化危险废物、重金属、危险化学品环境风险管控,围绕固体废物源头减量、资源化利用、安全处理处置和环境风险管控,构建固体废物全过程管理体系。加强环境应急能力建设,强化环境风险评估和完善环境风险防范措施;配合市级推进环境应急管理队伍、应急救援队伍、应急专家库建设,提升环境应急能力。</w:t>
            </w:r>
          </w:p>
          <w:p>
            <w:pPr>
              <w:pStyle w:val="2"/>
              <w:ind w:firstLine="0" w:firstLineChars="0"/>
              <w:rPr>
                <w:szCs w:val="21"/>
              </w:rPr>
            </w:pPr>
          </w:p>
        </w:tc>
        <w:tc>
          <w:tcPr>
            <w:tcW w:w="6583" w:type="dxa"/>
            <w:vAlign w:val="center"/>
          </w:tcPr>
          <w:p>
            <w:pPr>
              <w:pStyle w:val="2"/>
              <w:ind w:firstLine="0" w:firstLineChars="0"/>
              <w:rPr>
                <w:rFonts w:hint="eastAsia" w:eastAsia="楷体_GB2312"/>
                <w:szCs w:val="21"/>
                <w:lang w:eastAsia="zh-CN"/>
              </w:rPr>
            </w:pPr>
            <w:r>
              <w:rPr>
                <w:rFonts w:hint="eastAsia" w:ascii="楷体_GB2312" w:hAnsi="楷体_GB2312" w:eastAsia="楷体_GB2312" w:cs="楷体_GB2312"/>
                <w:color w:val="auto"/>
                <w:kern w:val="0"/>
                <w:sz w:val="21"/>
                <w:szCs w:val="21"/>
                <w:lang w:val="en-US" w:eastAsia="zh-CN" w:bidi="ar-SA"/>
              </w:rPr>
              <w:t>持续强化环境风险防控。</w:t>
            </w:r>
            <w:r>
              <w:rPr>
                <w:rFonts w:hint="eastAsia" w:ascii="楷体_GB2312" w:hAnsi="楷体_GB2312" w:cs="楷体_GB2312"/>
                <w:color w:val="auto"/>
                <w:kern w:val="0"/>
                <w:sz w:val="21"/>
                <w:szCs w:val="21"/>
                <w:lang w:val="en-US" w:eastAsia="zh-CN" w:bidi="ar-SA"/>
              </w:rPr>
              <w:t>严格根据</w:t>
            </w:r>
            <w:r>
              <w:rPr>
                <w:rFonts w:hint="eastAsia" w:ascii="楷体_GB2312" w:hAnsi="楷体_GB2312" w:eastAsia="楷体_GB2312" w:cs="楷体_GB2312"/>
                <w:color w:val="auto"/>
                <w:kern w:val="0"/>
                <w:sz w:val="21"/>
                <w:szCs w:val="21"/>
                <w:lang w:val="en-US" w:eastAsia="zh-CN" w:bidi="ar-SA"/>
              </w:rPr>
              <w:t>《韶关市危险废物规范化管理工作指引（试行）》《韶关市生态环境局2022年度危险废物规范化环境管理评估工作方案》</w:t>
            </w:r>
            <w:r>
              <w:rPr>
                <w:rFonts w:hint="eastAsia" w:ascii="楷体_GB2312" w:hAnsi="楷体_GB2312" w:cs="楷体_GB2312"/>
                <w:color w:val="auto"/>
                <w:kern w:val="0"/>
                <w:sz w:val="21"/>
                <w:szCs w:val="21"/>
                <w:lang w:val="en-US" w:eastAsia="zh-CN" w:bidi="ar-SA"/>
              </w:rPr>
              <w:t>落实各项工作。在汛期及节假日等关键时间点向企业多次发出《加强环境风险管控通知》，</w:t>
            </w:r>
            <w:r>
              <w:rPr>
                <w:rFonts w:hint="eastAsia" w:ascii="楷体_GB2312" w:hAnsi="楷体_GB2312" w:cs="楷体_GB2312"/>
                <w:color w:val="000000" w:themeColor="text1"/>
                <w:szCs w:val="21"/>
                <w:lang w:eastAsia="zh-CN"/>
                <w14:textFill>
                  <w14:solidFill>
                    <w14:schemeClr w14:val="tx1"/>
                  </w14:solidFill>
                </w14:textFill>
              </w:rPr>
              <w:t>同时针对各企事业落实情况进行实地检查，确保环境应急工作落到实处。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381" w:type="dxa"/>
            <w:vMerge w:val="restart"/>
            <w:vAlign w:val="center"/>
          </w:tcPr>
          <w:p>
            <w:pPr>
              <w:pStyle w:val="2"/>
              <w:ind w:firstLine="420"/>
              <w:rPr>
                <w:szCs w:val="21"/>
              </w:rPr>
            </w:pPr>
            <w:r>
              <w:rPr>
                <w:rFonts w:hint="eastAsia"/>
                <w:szCs w:val="21"/>
              </w:rPr>
              <w:t>二、有的地方和部门对粤北生态屏障缺乏基本认识，没有把生态保护和环境安全摆到应有的位置和高度，对一些生态修复难度较大的工作存在畏难情绪、推诿思想。个别地方面对保护地内的生态破坏问题，没有积极主动去解决，而是通过调整保护地来应对。</w:t>
            </w:r>
          </w:p>
        </w:tc>
        <w:tc>
          <w:tcPr>
            <w:tcW w:w="1020" w:type="dxa"/>
            <w:vMerge w:val="restart"/>
            <w:vAlign w:val="center"/>
          </w:tcPr>
          <w:p>
            <w:pPr>
              <w:pStyle w:val="2"/>
              <w:ind w:firstLine="0" w:firstLineChars="0"/>
              <w:rPr>
                <w:szCs w:val="21"/>
              </w:rPr>
            </w:pPr>
            <w:r>
              <w:rPr>
                <w:rFonts w:hint="eastAsia"/>
                <w:szCs w:val="21"/>
              </w:rPr>
              <w:t>加强自然保护地监管和生态修复，开展“绿盾”行动，持续巩固粤北生态屏障。</w:t>
            </w:r>
          </w:p>
        </w:tc>
        <w:tc>
          <w:tcPr>
            <w:tcW w:w="840" w:type="dxa"/>
            <w:vMerge w:val="restart"/>
            <w:vAlign w:val="center"/>
          </w:tcPr>
          <w:p>
            <w:pPr>
              <w:pStyle w:val="2"/>
              <w:ind w:firstLine="0" w:firstLineChars="0"/>
              <w:rPr>
                <w:szCs w:val="21"/>
              </w:rPr>
            </w:pPr>
            <w:r>
              <w:rPr>
                <w:rFonts w:hint="eastAsia"/>
                <w:szCs w:val="21"/>
              </w:rPr>
              <w:t>立行立改，长期坚持</w:t>
            </w:r>
          </w:p>
        </w:tc>
        <w:tc>
          <w:tcPr>
            <w:tcW w:w="1155" w:type="dxa"/>
            <w:vMerge w:val="restart"/>
            <w:vAlign w:val="center"/>
          </w:tcPr>
          <w:p>
            <w:pPr>
              <w:pStyle w:val="2"/>
              <w:ind w:firstLine="0" w:firstLineChars="0"/>
              <w:rPr>
                <w:szCs w:val="21"/>
              </w:rPr>
            </w:pPr>
            <w:r>
              <w:rPr>
                <w:rFonts w:hint="eastAsia"/>
              </w:rPr>
              <w:t>区生态环境保护委员会成员单位、各镇（办）党委和政府</w:t>
            </w:r>
          </w:p>
        </w:tc>
        <w:tc>
          <w:tcPr>
            <w:tcW w:w="1095" w:type="dxa"/>
            <w:vMerge w:val="restart"/>
            <w:vAlign w:val="center"/>
          </w:tcPr>
          <w:p>
            <w:pPr>
              <w:pStyle w:val="2"/>
              <w:ind w:firstLine="0" w:firstLineChars="0"/>
            </w:pPr>
            <w:r>
              <w:rPr>
                <w:rFonts w:hint="eastAsia"/>
              </w:rPr>
              <w:t>陈来安</w:t>
            </w:r>
          </w:p>
          <w:p>
            <w:pPr>
              <w:pStyle w:val="2"/>
              <w:ind w:firstLine="0" w:firstLineChars="0"/>
              <w:jc w:val="center"/>
              <w:rPr>
                <w:szCs w:val="21"/>
              </w:rPr>
            </w:pPr>
            <w:r>
              <w:rPr>
                <w:rFonts w:hint="eastAsia"/>
              </w:rPr>
              <w:t>鲁锦锋</w:t>
            </w:r>
          </w:p>
        </w:tc>
        <w:tc>
          <w:tcPr>
            <w:tcW w:w="6855" w:type="dxa"/>
            <w:vAlign w:val="center"/>
          </w:tcPr>
          <w:p>
            <w:pPr>
              <w:pStyle w:val="2"/>
              <w:ind w:firstLine="0" w:firstLineChars="0"/>
              <w:rPr>
                <w:szCs w:val="21"/>
              </w:rPr>
            </w:pPr>
            <w:r>
              <w:rPr>
                <w:rFonts w:hint="eastAsia"/>
                <w:szCs w:val="21"/>
              </w:rPr>
              <w:t>（一）牢固树立“绿水青山就是金山银山”理念，进一步提高对筑牢粤北生态屏障重要性的认识，正确处理发展与保护的关系，严格落实自然保护地管理制度要求。</w:t>
            </w:r>
          </w:p>
        </w:tc>
        <w:tc>
          <w:tcPr>
            <w:tcW w:w="6583" w:type="dxa"/>
            <w:vAlign w:val="center"/>
          </w:tcPr>
          <w:p>
            <w:pPr>
              <w:pStyle w:val="2"/>
              <w:ind w:firstLine="0" w:firstLineChars="0"/>
              <w:rPr>
                <w:rFonts w:hint="eastAsia" w:eastAsia="楷体_GB2312"/>
                <w:color w:val="000000" w:themeColor="text1"/>
                <w:szCs w:val="21"/>
                <w:lang w:eastAsia="zh-CN"/>
                <w14:textFill>
                  <w14:solidFill>
                    <w14:schemeClr w14:val="tx1"/>
                  </w14:solidFill>
                </w14:textFill>
              </w:rPr>
            </w:pPr>
            <w:r>
              <w:rPr>
                <w:rFonts w:hint="eastAsia" w:ascii="楷体_GB2312" w:hAnsi="楷体_GB2312" w:cs="楷体_GB2312"/>
                <w:color w:val="000000" w:themeColor="text1"/>
                <w:szCs w:val="21"/>
                <w:lang w:eastAsia="zh-CN"/>
                <w14:textFill>
                  <w14:solidFill>
                    <w14:schemeClr w14:val="tx1"/>
                  </w14:solidFill>
                </w14:textFill>
              </w:rPr>
              <w:t>我区将</w:t>
            </w:r>
            <w:r>
              <w:rPr>
                <w:rFonts w:hint="eastAsia" w:ascii="楷体_GB2312" w:hAnsi="楷体_GB2312" w:cs="楷体_GB2312"/>
                <w:color w:val="000000" w:themeColor="text1"/>
                <w:szCs w:val="21"/>
                <w14:textFill>
                  <w14:solidFill>
                    <w14:schemeClr w14:val="tx1"/>
                  </w14:solidFill>
                </w14:textFill>
              </w:rPr>
              <w:t>自然保护地体系建设纳入了《韶关市浈江区林地保护利用规划（2021-2035）》和《韶关市浈江区林业发展“十四五”规划》</w:t>
            </w:r>
            <w:r>
              <w:rPr>
                <w:rFonts w:hint="eastAsia" w:ascii="楷体_GB2312" w:hAnsi="楷体_GB2312" w:cs="楷体_GB2312"/>
                <w:color w:val="000000" w:themeColor="text1"/>
                <w:szCs w:val="21"/>
                <w:lang w:eastAsia="zh-CN"/>
                <w14:textFill>
                  <w14:solidFill>
                    <w14:schemeClr w14:val="tx1"/>
                  </w14:solidFill>
                </w14:textFill>
              </w:rPr>
              <w:t>，加强全区生态环境保护，深入打好污染防治攻坚战。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区自然资源局严格落实《广东省国土空间生态修复规划（2021-2035年）》《广东省重要生态系统保护和修复重大工程总体规划（2021—2035年）》《广东省自然保护地规划（2021-2035年）》。加强自然保护区监督管理。</w:t>
            </w:r>
          </w:p>
        </w:tc>
        <w:tc>
          <w:tcPr>
            <w:tcW w:w="6583" w:type="dxa"/>
            <w:vAlign w:val="center"/>
          </w:tcPr>
          <w:p>
            <w:pPr>
              <w:pStyle w:val="2"/>
              <w:ind w:firstLine="0" w:firstLineChars="0"/>
              <w:rPr>
                <w:color w:val="FF0000"/>
                <w:szCs w:val="21"/>
              </w:rPr>
            </w:pPr>
            <w:r>
              <w:rPr>
                <w:rFonts w:hint="eastAsia"/>
                <w:color w:val="000000"/>
                <w:szCs w:val="21"/>
                <w:lang w:val="en-US" w:eastAsia="zh-CN"/>
              </w:rPr>
              <w:t>严格落实</w:t>
            </w:r>
            <w:r>
              <w:rPr>
                <w:rFonts w:hint="eastAsia"/>
                <w:color w:val="000000"/>
                <w:szCs w:val="21"/>
              </w:rPr>
              <w:t>《广东省国土空间生态修复规划（2021-2035年）》《广东省重要生态系统保护和修复重大工程总体规划（2021—2035年）》</w:t>
            </w:r>
            <w:r>
              <w:rPr>
                <w:rFonts w:hint="eastAsia"/>
                <w:color w:val="000000"/>
                <w:szCs w:val="21"/>
                <w:lang w:eastAsia="zh-CN"/>
              </w:rPr>
              <w:t>，做好生态修复工作；</w:t>
            </w:r>
            <w:r>
              <w:rPr>
                <w:rFonts w:hint="eastAsia"/>
                <w:color w:val="000000"/>
                <w:szCs w:val="21"/>
              </w:rPr>
              <w:t>加强自然保护区监督管理</w:t>
            </w:r>
            <w:r>
              <w:rPr>
                <w:rFonts w:hint="eastAsia"/>
                <w:color w:val="000000"/>
                <w:szCs w:val="21"/>
                <w:lang w:eastAsia="zh-CN"/>
              </w:rPr>
              <w:t>，加大巡查力度、打击破坏森林资源的不法行为。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szCs w:val="21"/>
              </w:rPr>
            </w:pPr>
          </w:p>
        </w:tc>
        <w:tc>
          <w:tcPr>
            <w:tcW w:w="6855" w:type="dxa"/>
            <w:vAlign w:val="center"/>
          </w:tcPr>
          <w:p>
            <w:pPr>
              <w:pStyle w:val="2"/>
              <w:ind w:firstLine="0" w:firstLineChars="0"/>
              <w:rPr>
                <w:szCs w:val="21"/>
              </w:rPr>
            </w:pPr>
            <w:r>
              <w:rPr>
                <w:rFonts w:hint="eastAsia"/>
                <w:szCs w:val="21"/>
              </w:rPr>
              <w:t>（三）区自然资源局、市生态环境局浈江分局指导督促各镇（办）加强对自然保护地的巡查监管，结合“绿剑”“绿盾”等自然保护地监督行动，建立问题台账，实行挂账销号，严厉打击各种破坏、损害自然保护地生态环境的违法违规行为，防止出现“以调代改”等情况。</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szCs w:val="21"/>
              </w:rPr>
              <w:t>积极结合自然保护地监督行动，加强自然保护地的动态巡查，建立问题台账，实行挂账销号，指导督促乡镇加强对自然保护地的巡查监管，及时对违法行为进行立案查处、整改。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1" w:type="dxa"/>
            <w:vMerge w:val="restart"/>
            <w:vAlign w:val="center"/>
          </w:tcPr>
          <w:p>
            <w:pPr>
              <w:ind w:firstLine="420" w:firstLineChars="200"/>
              <w:rPr>
                <w:rFonts w:eastAsia="楷体_GB2312"/>
                <w:color w:val="000000"/>
                <w:szCs w:val="21"/>
              </w:rPr>
            </w:pPr>
            <w:r>
              <w:rPr>
                <w:rFonts w:hint="eastAsia" w:eastAsia="楷体_GB2312"/>
                <w:color w:val="000000"/>
                <w:szCs w:val="21"/>
              </w:rPr>
              <w:t>三、“两高”项目盲目上马冲动仍然存在。2021年广东省能源消费增量控制目标为1610万吨标准煤，能耗强度下降目标为3.08%,实际上半年能耗增量已超过2600万吨标准煤，超出年度控制目标 61.5%；能耗强度也不降反升，幅度超过3.6%,被国家有关部门一级预警。</w:t>
            </w:r>
          </w:p>
        </w:tc>
        <w:tc>
          <w:tcPr>
            <w:tcW w:w="1020" w:type="dxa"/>
            <w:vMerge w:val="restart"/>
            <w:vAlign w:val="center"/>
          </w:tcPr>
          <w:p>
            <w:pPr>
              <w:pStyle w:val="2"/>
              <w:ind w:firstLine="0" w:firstLineChars="0"/>
              <w:rPr>
                <w:szCs w:val="21"/>
              </w:rPr>
            </w:pPr>
            <w:r>
              <w:rPr>
                <w:rFonts w:hint="eastAsia" w:ascii="Times New Roman" w:hAnsi="Times New Roman"/>
              </w:rPr>
              <w:t>完成市下达我区的“十四五”能耗双控目标任务。</w:t>
            </w:r>
          </w:p>
        </w:tc>
        <w:tc>
          <w:tcPr>
            <w:tcW w:w="840" w:type="dxa"/>
            <w:vMerge w:val="restart"/>
            <w:vAlign w:val="center"/>
          </w:tcPr>
          <w:p>
            <w:pPr>
              <w:pStyle w:val="2"/>
              <w:ind w:firstLine="0" w:firstLineChars="0"/>
              <w:rPr>
                <w:szCs w:val="21"/>
              </w:rPr>
            </w:pPr>
            <w:r>
              <w:rPr>
                <w:rFonts w:hint="eastAsia"/>
                <w:szCs w:val="21"/>
              </w:rPr>
              <w:t>2025年年底前</w:t>
            </w:r>
          </w:p>
        </w:tc>
        <w:tc>
          <w:tcPr>
            <w:tcW w:w="1155" w:type="dxa"/>
            <w:vMerge w:val="restart"/>
            <w:vAlign w:val="center"/>
          </w:tcPr>
          <w:p>
            <w:pPr>
              <w:pStyle w:val="2"/>
              <w:ind w:firstLine="0" w:firstLineChars="0"/>
              <w:rPr>
                <w:szCs w:val="21"/>
              </w:rPr>
            </w:pPr>
            <w:r>
              <w:rPr>
                <w:rFonts w:hint="eastAsia"/>
              </w:rPr>
              <w:t>区发展和改革局、各镇（办）</w:t>
            </w:r>
          </w:p>
        </w:tc>
        <w:tc>
          <w:tcPr>
            <w:tcW w:w="1095" w:type="dxa"/>
            <w:vMerge w:val="restart"/>
            <w:vAlign w:val="center"/>
          </w:tcPr>
          <w:p>
            <w:pPr>
              <w:jc w:val="center"/>
              <w:rPr>
                <w:rFonts w:eastAsia="楷体_GB2312"/>
                <w:szCs w:val="21"/>
              </w:rPr>
            </w:pPr>
            <w:r>
              <w:rPr>
                <w:rFonts w:hint="eastAsia" w:eastAsia="楷体_GB2312"/>
                <w:szCs w:val="21"/>
              </w:rPr>
              <w:t>罗奕文</w:t>
            </w:r>
          </w:p>
        </w:tc>
        <w:tc>
          <w:tcPr>
            <w:tcW w:w="6855" w:type="dxa"/>
            <w:vAlign w:val="center"/>
          </w:tcPr>
          <w:p>
            <w:pPr>
              <w:pStyle w:val="2"/>
              <w:ind w:firstLine="0" w:firstLineChars="0"/>
              <w:rPr>
                <w:szCs w:val="21"/>
              </w:rPr>
            </w:pPr>
            <w:r>
              <w:rPr>
                <w:rFonts w:hint="eastAsia"/>
                <w:szCs w:val="21"/>
              </w:rPr>
              <w:t xml:space="preserve"> （一）严格落实能耗双控目标责任。完成市下达我区的能耗双控目标任务。加强全区能耗双控目标完成形势的分析预警，对重点用能企业进行督促指导。压实相关负责人责任，未完成能耗强度目标的情况下，落实限期整改要求。</w:t>
            </w:r>
          </w:p>
        </w:tc>
        <w:tc>
          <w:tcPr>
            <w:tcW w:w="6583" w:type="dxa"/>
            <w:vAlign w:val="center"/>
          </w:tcPr>
          <w:p>
            <w:pPr>
              <w:pStyle w:val="13"/>
              <w:snapToGrid w:val="0"/>
              <w:rPr>
                <w:rFonts w:ascii="楷体_GB2312" w:hAnsi="楷体_GB2312" w:eastAsia="楷体_GB2312" w:cs="楷体_GB2312"/>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1</w:t>
            </w:r>
            <w:r>
              <w:rPr>
                <w:rFonts w:hint="eastAsia" w:ascii="楷体_GB2312" w:hAnsi="楷体_GB2312" w:eastAsia="楷体_GB2312" w:cs="楷体_GB2312"/>
                <w:color w:val="000000" w:themeColor="text1"/>
                <w:szCs w:val="21"/>
                <w14:textFill>
                  <w14:solidFill>
                    <w14:schemeClr w14:val="tx1"/>
                  </w14:solidFill>
                </w14:textFill>
              </w:rPr>
              <w:t>.正在草拟《韶关市浈江区“十四五”节能减排工作方案》。</w:t>
            </w:r>
          </w:p>
          <w:p>
            <w:pPr>
              <w:pStyle w:val="13"/>
              <w:snapToGrid w:val="0"/>
              <w:rPr>
                <w:rFonts w:ascii="楷体_GB2312" w:hAnsi="楷体_GB2312" w:eastAsia="楷体_GB2312" w:cs="楷体_GB2312"/>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2</w:t>
            </w:r>
            <w:r>
              <w:rPr>
                <w:rFonts w:hint="eastAsia" w:ascii="楷体_GB2312" w:hAnsi="楷体_GB2312" w:eastAsia="楷体_GB2312" w:cs="楷体_GB2312"/>
                <w:color w:val="000000" w:themeColor="text1"/>
                <w:szCs w:val="21"/>
                <w14:textFill>
                  <w14:solidFill>
                    <w14:schemeClr w14:val="tx1"/>
                  </w14:solidFill>
                </w14:textFill>
              </w:rPr>
              <w:t>.完成节约型机关单位评审工作。</w:t>
            </w:r>
          </w:p>
          <w:p>
            <w:pPr>
              <w:pStyle w:val="13"/>
              <w:snapToGrid w:val="0"/>
              <w:rPr>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3</w:t>
            </w:r>
            <w:r>
              <w:rPr>
                <w:rFonts w:hint="eastAsia" w:ascii="楷体_GB2312" w:hAnsi="楷体_GB2312" w:eastAsia="楷体_GB2312" w:cs="楷体_GB2312"/>
                <w:color w:val="000000" w:themeColor="text1"/>
                <w:szCs w:val="21"/>
                <w14:textFill>
                  <w14:solidFill>
                    <w14:schemeClr w14:val="tx1"/>
                  </w14:solidFill>
                </w14:textFill>
              </w:rPr>
              <w:t>.完成公共机构能源消费统计工作。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二）坚决遏制“两高”项目盲目发展。严格贯彻落实省、市坚决遏制“两高”项目盲目发展实施方案，严格控制新上“两高”项目，强化能耗来源审查。强化节能监察执法，坚决从严查处违规“两高”项目。深入挖掘存量项目节能减排潜力，推进节能减排改造升级，加快淘汰落后产能。</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szCs w:val="21"/>
                <w14:textFill>
                  <w14:solidFill>
                    <w14:schemeClr w14:val="tx1"/>
                  </w14:solidFill>
                </w14:textFill>
              </w:rPr>
              <w:t>一是我区严格贯彻落实省、市坚决遏制“两高”项目盲目发展实施方案，目前存量“两高”项目有深圳市中金岭南有色金属股份有限公司韶关冶炼厂、国粤（韶关）电力有限公司。二是配合市发改局于11月下旬至12月下旬，采用现场监察和书面监察的方式，对钢铁、有色、石化、化工、电力、非金属制造（水泥、玻璃、陶瓷等）、造纸、纺织、建筑、机械制造等工业行业实施节能监察，共计15家，其中现场监察5家，书面监察10家，按时完成了市下达的节能监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三）严格执行节能审查制度。做好节能审查与能耗双控目标的衔接，加强对能耗量较大特别是化石能源消费量大的项目节能审查，从源头控制新上项目能效水平，新上高耗能项目必须符合国家产业政策且能效达到行业先进水平。加强节能审查事中事后监管，强化节能管理服务，实行闭环管理。</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szCs w:val="21"/>
                <w14:textFill>
                  <w14:solidFill>
                    <w14:schemeClr w14:val="tx1"/>
                  </w14:solidFill>
                </w14:textFill>
              </w:rPr>
              <w:t>严格按照国家节能审查办法的要求实行固定资产投资项目实质性节能审查，对于年综合能源消费量1000吨标准煤以上项目，由区发改局报送市发改局办理节能审查手续。2021年9月至今，区发改局已上报26份节能审查报告和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（四）配合省、市部门实行用能预算管理。根据相关用能预算管理方案要求,强化重点用能单位节能管理,要求相关企业用能预算指标不超出节能审查意见批复能耗量。</w:t>
            </w:r>
          </w:p>
        </w:tc>
        <w:tc>
          <w:tcPr>
            <w:tcW w:w="6583" w:type="dxa"/>
            <w:vAlign w:val="center"/>
          </w:tcPr>
          <w:p>
            <w:pPr>
              <w:pStyle w:val="13"/>
              <w:snapToGrid w:val="0"/>
              <w:rPr>
                <w:rFonts w:eastAsia="楷体_GB2312"/>
                <w:color w:val="000000" w:themeColor="text1"/>
                <w:szCs w:val="2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1.已完成重点用能企业省能源平台填报。</w:t>
            </w:r>
          </w:p>
          <w:p>
            <w:pPr>
              <w:pStyle w:val="13"/>
              <w:snapToGrid w:val="0"/>
              <w:rPr>
                <w:rFonts w:eastAsia="楷体_GB2312"/>
                <w:color w:val="000000" w:themeColor="text1"/>
                <w:szCs w:val="21"/>
                <w14:textFill>
                  <w14:solidFill>
                    <w14:schemeClr w14:val="tx1"/>
                  </w14:solidFill>
                </w14:textFill>
              </w:rPr>
            </w:pPr>
            <w:r>
              <w:rPr>
                <w:rFonts w:hint="eastAsia" w:eastAsia="楷体_GB2312"/>
                <w:color w:val="000000" w:themeColor="text1"/>
                <w:szCs w:val="21"/>
                <w14:textFill>
                  <w14:solidFill>
                    <w14:schemeClr w14:val="tx1"/>
                  </w14:solidFill>
                </w14:textFill>
              </w:rPr>
              <w:t>2.配合省、市部门实行用能预算管理，配合市发改局做好重点用能企业节能监察工作。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（五）进一步完善能耗双控工作机制，加强需压减的高能耗企业用能跟踪监测，采取有力措施，确保完成市下达的能耗强度目标任务。</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ascii="楷体_GB2312" w:hAnsi="楷体_GB2312" w:cs="楷体_GB2312"/>
                <w:color w:val="000000" w:themeColor="text1"/>
                <w:szCs w:val="21"/>
                <w14:textFill>
                  <w14:solidFill>
                    <w14:schemeClr w14:val="tx1"/>
                  </w14:solidFill>
                </w14:textFill>
              </w:rPr>
              <w:t>正在草拟《韶关市浈江区“十四五”节能减排工作方案》。</w:t>
            </w:r>
          </w:p>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2.要求重点用能企业做好月报、季报、年报等工作。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381" w:type="dxa"/>
            <w:vMerge w:val="restart"/>
            <w:vAlign w:val="center"/>
          </w:tcPr>
          <w:p>
            <w:pPr>
              <w:ind w:firstLine="420" w:firstLineChars="200"/>
              <w:rPr>
                <w:rFonts w:eastAsia="楷体_GB2312"/>
                <w:color w:val="000000"/>
                <w:szCs w:val="21"/>
              </w:rPr>
            </w:pPr>
            <w:r>
              <w:rPr>
                <w:rFonts w:hint="eastAsia" w:eastAsia="楷体_GB2312"/>
                <w:color w:val="000000"/>
                <w:szCs w:val="21"/>
              </w:rPr>
              <w:t>四、一些地方和部门对“两高”项目上马把关不严，节能审查监管责任缺位。2020年以来，全省121个在建或建成的用能1万吨标准煤以上“两高”项目中，未经节能审查的达42个，占比34.7%。2021年3月，广东省还集中通过5个石化化工项目的节能审查，新增能耗1376万吨标准煤。其中，茂名石化炼油转型升级及乙烯提质改造项目被国家有关部门指出问题后，广东省能源局才撤销其节能审查意见。</w:t>
            </w:r>
          </w:p>
        </w:tc>
        <w:tc>
          <w:tcPr>
            <w:tcW w:w="1020" w:type="dxa"/>
            <w:vMerge w:val="restart"/>
            <w:vAlign w:val="center"/>
          </w:tcPr>
          <w:p>
            <w:pPr>
              <w:pStyle w:val="2"/>
              <w:ind w:firstLine="0" w:firstLineChars="0"/>
              <w:rPr>
                <w:szCs w:val="21"/>
              </w:rPr>
            </w:pPr>
            <w:r>
              <w:rPr>
                <w:rFonts w:hint="eastAsia"/>
                <w:szCs w:val="21"/>
              </w:rPr>
              <w:t>节能审查监管纳入节能监察计划，对照市通报的违规项目进行自查，严把新上“两高”项目节能审查关，对不符合产业政策、没有能源指标来源等项目坚决不予审批，坚决遏制“两高”项目盲目发展。</w:t>
            </w:r>
          </w:p>
        </w:tc>
        <w:tc>
          <w:tcPr>
            <w:tcW w:w="840" w:type="dxa"/>
            <w:vMerge w:val="restart"/>
            <w:vAlign w:val="center"/>
          </w:tcPr>
          <w:p>
            <w:pPr>
              <w:rPr>
                <w:rFonts w:eastAsia="楷体_GB2312"/>
                <w:color w:val="000000"/>
                <w:szCs w:val="21"/>
              </w:rPr>
            </w:pPr>
            <w:r>
              <w:rPr>
                <w:rFonts w:eastAsia="楷体_GB2312"/>
                <w:color w:val="000000"/>
                <w:szCs w:val="21"/>
              </w:rPr>
              <w:t>202</w:t>
            </w:r>
            <w:r>
              <w:rPr>
                <w:rFonts w:hint="eastAsia" w:eastAsia="楷体_GB2312"/>
                <w:color w:val="000000"/>
                <w:szCs w:val="21"/>
              </w:rPr>
              <w:t>2</w:t>
            </w:r>
            <w:r>
              <w:rPr>
                <w:rFonts w:eastAsia="楷体_GB2312"/>
                <w:color w:val="000000"/>
                <w:szCs w:val="21"/>
              </w:rPr>
              <w:t>年年底前</w:t>
            </w:r>
          </w:p>
          <w:p>
            <w:pPr>
              <w:pStyle w:val="2"/>
              <w:ind w:firstLine="0" w:firstLineChars="0"/>
              <w:rPr>
                <w:szCs w:val="21"/>
              </w:rPr>
            </w:pPr>
          </w:p>
        </w:tc>
        <w:tc>
          <w:tcPr>
            <w:tcW w:w="1155" w:type="dxa"/>
            <w:vMerge w:val="restart"/>
            <w:vAlign w:val="center"/>
          </w:tcPr>
          <w:p>
            <w:pPr>
              <w:pStyle w:val="2"/>
              <w:ind w:firstLine="0" w:firstLineChars="0"/>
              <w:rPr>
                <w:szCs w:val="21"/>
              </w:rPr>
            </w:pPr>
            <w:r>
              <w:rPr>
                <w:rFonts w:hint="eastAsia"/>
              </w:rPr>
              <w:t>区发展和改革局、各镇（办）</w:t>
            </w:r>
          </w:p>
        </w:tc>
        <w:tc>
          <w:tcPr>
            <w:tcW w:w="1095" w:type="dxa"/>
            <w:vMerge w:val="restart"/>
            <w:vAlign w:val="center"/>
          </w:tcPr>
          <w:p>
            <w:pPr>
              <w:pStyle w:val="2"/>
              <w:ind w:firstLine="0" w:firstLineChars="0"/>
              <w:jc w:val="center"/>
              <w:rPr>
                <w:rFonts w:ascii="Times New Roman" w:hAnsi="Times New Roman"/>
              </w:rPr>
            </w:pPr>
            <w:r>
              <w:rPr>
                <w:rFonts w:hint="eastAsia"/>
                <w:color w:val="auto"/>
                <w:szCs w:val="21"/>
              </w:rPr>
              <w:t>罗奕文</w:t>
            </w:r>
          </w:p>
        </w:tc>
        <w:tc>
          <w:tcPr>
            <w:tcW w:w="6855" w:type="dxa"/>
            <w:vAlign w:val="center"/>
          </w:tcPr>
          <w:p>
            <w:pPr>
              <w:pStyle w:val="2"/>
              <w:ind w:firstLine="0" w:firstLineChars="0"/>
              <w:rPr>
                <w:szCs w:val="21"/>
              </w:rPr>
            </w:pPr>
            <w:r>
              <w:rPr>
                <w:rFonts w:hint="eastAsia"/>
                <w:szCs w:val="21"/>
              </w:rPr>
              <w:t xml:space="preserve">  （一）严格把关新上“两高”项目。贯彻落实广东省坚决遏制“两高”项目盲目发展的实施方案。对于尚未获批节能审查、环境影响评价的拟建“两高”项目，认真分析评估对能耗双控、碳排放控制、产业高质量发展的影响，对不符合产业政策、产能置换、煤炭消费减量替代，不符合生态环境保护法律法规和相关规划以及不满足碳排放目标、环境准入条件、环评审批原则等要求，或无能耗指标和主要污染物排放总量指标来源的新建、改建、扩建项目，不得批准建设。严格执行产业政策和实行等量或减量替代。新建“两高”项目，必须严格落实国家《产业结构调整指导目录》要求，符合国家和省产业规划布局。严格按照国家节能审查办法的要求实行固定资产投资项目实质性节能审查，对于年综合能源消费量5000吨标准煤以上项目，由区级发改部门报送市级节能主管部门办理节能审查手续。</w:t>
            </w:r>
          </w:p>
        </w:tc>
        <w:tc>
          <w:tcPr>
            <w:tcW w:w="6583" w:type="dxa"/>
            <w:vAlign w:val="center"/>
          </w:tcPr>
          <w:p>
            <w:pPr>
              <w:pStyle w:val="4"/>
              <w:ind w:left="0" w:leftChars="0"/>
              <w:rPr>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严格贯彻落实省坚决遏制“两高”项目盲目发展实施方案，严格控制新上“两高”项目，强化能耗来源审查，要求新上项目必须符合国家产业政策且单位产品能耗达到行业先进水平，符合节约能源等相关规划，对不符合产业政策、没有能源指标来源等项目坚决不予审批。目前存量“两高”项目有深圳市中金岭南有色金属股份有限公司韶关冶炼厂、国粤（韶关）电力有限公司。严格按照国家节能审查办法的要求实行固定资产投资项目实质性节能审查，对于年综合能源消费量1000吨标准煤以上项目，2021年9月至今，区发改局已上报26份节能审查报告和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（二）强化“两高”项目节能审查监管。节能主管部门将“两高”项目节能审查办理情况、节能审查意见落实情况纳入节能监察计划，对发现的问题依法依规严肃处理。</w:t>
            </w:r>
          </w:p>
        </w:tc>
        <w:tc>
          <w:tcPr>
            <w:tcW w:w="6583" w:type="dxa"/>
            <w:vAlign w:val="center"/>
          </w:tcPr>
          <w:p>
            <w:pPr>
              <w:pStyle w:val="2"/>
              <w:ind w:firstLine="0" w:firstLineChars="0"/>
              <w:rPr>
                <w:rFonts w:ascii="楷体_GB2312" w:hAnsi="楷体_GB2312" w:cs="楷体_GB2312"/>
                <w:color w:val="000000" w:themeColor="text1"/>
                <w14:textFill>
                  <w14:solidFill>
                    <w14:schemeClr w14:val="tx1"/>
                  </w14:solidFill>
                </w14:textFill>
              </w:rPr>
            </w:pPr>
            <w:r>
              <w:rPr>
                <w:rFonts w:hint="eastAsia" w:ascii="楷体_GB2312" w:hAnsi="楷体_GB2312" w:cs="楷体_GB2312"/>
                <w:color w:val="000000" w:themeColor="text1"/>
                <w14:textFill>
                  <w14:solidFill>
                    <w14:schemeClr w14:val="tx1"/>
                  </w14:solidFill>
                </w14:textFill>
              </w:rPr>
              <w:t>1.我区严格贯彻落实省、市坚决遏制“两高”项目盲目发展实施方案，目前我区存量“两高”项目有深圳市中金岭南有色金属股份有限公司韶关冶炼厂、国粤（韶关）电力有限公司，深圳市中金岭南有色金属股份有限公司韶关冶炼厂为老牌国企，国粤（韶关）电力有限公司按核准权限在省发改委立项，2017年以来未新增“两高”项目。</w:t>
            </w:r>
          </w:p>
          <w:p>
            <w:pPr>
              <w:pStyle w:val="3"/>
              <w:rPr>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2</w:t>
            </w:r>
            <w:r>
              <w:rPr>
                <w:rFonts w:hint="eastAsia" w:ascii="楷体_GB2312" w:hAnsi="楷体_GB2312" w:eastAsia="楷体_GB2312" w:cs="楷体_GB2312"/>
                <w:color w:val="000000" w:themeColor="text1"/>
                <w:szCs w:val="21"/>
                <w:lang w:val="en-US" w:eastAsia="zh-CN"/>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配合市发改局于11月下旬至12月下旬，采用现场监察和书面监察的方式，对钢铁、有色、石化、化工、电力、非金属制造（水泥、玻璃、陶瓷等）、造纸、纺织、建筑、机械制造等工业行业实施节能监察，共计15家，其中现场监察5家，书面监察10家，按时完成了市下达的节能监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rFonts w:ascii="Times New Roman" w:hAnsi="Times New Roman"/>
              </w:rPr>
            </w:pPr>
          </w:p>
        </w:tc>
        <w:tc>
          <w:tcPr>
            <w:tcW w:w="6855" w:type="dxa"/>
            <w:vAlign w:val="center"/>
          </w:tcPr>
          <w:p>
            <w:pPr>
              <w:pStyle w:val="2"/>
              <w:ind w:firstLine="0" w:firstLineChars="0"/>
              <w:rPr>
                <w:szCs w:val="21"/>
              </w:rPr>
            </w:pPr>
            <w:r>
              <w:rPr>
                <w:rFonts w:hint="eastAsia"/>
                <w:szCs w:val="21"/>
              </w:rPr>
              <w:t>（三）对照市通报的违规项目进行自查，推进问题整改。暂停违规项目建设或投入生产，并责令限期整改。对于在建项目，督促指导项目单位通过能耗指标等量或减量替代、可再生能源扣减等方式落实能耗指标来源。对于已建成项目，督促指导项目单位开展整改，整改到位后，报市级节能主管部门依法按程序完善相关手续。如无法整改，依法依规予以关停。</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对照市通报的违规项目，及时下达整改通知书，要求企业限期做好节能整改。2021年至今，区发改局已下达12份整改通知书。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381" w:type="dxa"/>
            <w:vMerge w:val="restart"/>
            <w:vAlign w:val="center"/>
          </w:tcPr>
          <w:p>
            <w:pPr>
              <w:ind w:firstLine="420" w:firstLineChars="200"/>
              <w:rPr>
                <w:rFonts w:eastAsia="楷体_GB2312"/>
                <w:color w:val="000000"/>
                <w:szCs w:val="21"/>
              </w:rPr>
            </w:pPr>
            <w:r>
              <w:rPr>
                <w:rFonts w:hint="eastAsia" w:eastAsia="楷体_GB2312"/>
                <w:color w:val="000000"/>
                <w:szCs w:val="21"/>
              </w:rPr>
              <w:t>五、</w:t>
            </w:r>
            <w:r>
              <w:rPr>
                <w:rFonts w:eastAsia="楷体_GB2312"/>
                <w:color w:val="000000"/>
                <w:szCs w:val="21"/>
              </w:rPr>
              <w:t>韶关市</w:t>
            </w:r>
            <w:r>
              <w:rPr>
                <w:rFonts w:hint="eastAsia" w:eastAsia="楷体_GB2312"/>
                <w:color w:val="000000"/>
                <w:szCs w:val="21"/>
              </w:rPr>
              <w:t>“</w:t>
            </w:r>
            <w:r>
              <w:rPr>
                <w:rFonts w:eastAsia="楷体_GB2312"/>
                <w:color w:val="000000"/>
                <w:szCs w:val="21"/>
              </w:rPr>
              <w:t>十三五</w:t>
            </w:r>
            <w:r>
              <w:rPr>
                <w:rFonts w:hint="eastAsia" w:eastAsia="楷体_GB2312"/>
                <w:color w:val="000000"/>
                <w:szCs w:val="21"/>
              </w:rPr>
              <w:t>”</w:t>
            </w:r>
            <w:r>
              <w:rPr>
                <w:rFonts w:eastAsia="楷体_GB2312"/>
                <w:color w:val="000000"/>
                <w:szCs w:val="21"/>
              </w:rPr>
              <w:t>能耗强度</w:t>
            </w:r>
            <w:r>
              <w:rPr>
                <w:rFonts w:hint="eastAsia" w:eastAsia="楷体_GB2312"/>
                <w:color w:val="000000"/>
                <w:szCs w:val="21"/>
              </w:rPr>
              <w:t>、</w:t>
            </w:r>
            <w:r>
              <w:rPr>
                <w:rFonts w:eastAsia="楷体_GB2312"/>
                <w:color w:val="000000"/>
                <w:szCs w:val="21"/>
              </w:rPr>
              <w:t>碳排放强度任务均未完成</w:t>
            </w:r>
            <w:r>
              <w:rPr>
                <w:rFonts w:hint="eastAsia" w:eastAsia="楷体_GB2312"/>
                <w:color w:val="000000"/>
                <w:szCs w:val="21"/>
              </w:rPr>
              <w:t>，</w:t>
            </w:r>
            <w:r>
              <w:rPr>
                <w:rFonts w:eastAsia="楷体_GB2312"/>
                <w:color w:val="000000"/>
                <w:szCs w:val="21"/>
              </w:rPr>
              <w:t>2020年以来仍放任9个</w:t>
            </w:r>
            <w:r>
              <w:rPr>
                <w:rFonts w:hint="eastAsia" w:eastAsia="楷体_GB2312"/>
                <w:color w:val="000000"/>
                <w:szCs w:val="21"/>
              </w:rPr>
              <w:t>“</w:t>
            </w:r>
            <w:r>
              <w:rPr>
                <w:rFonts w:eastAsia="楷体_GB2312"/>
                <w:color w:val="000000"/>
                <w:szCs w:val="21"/>
              </w:rPr>
              <w:t>两高</w:t>
            </w:r>
            <w:r>
              <w:rPr>
                <w:rFonts w:hint="eastAsia" w:eastAsia="楷体_GB2312"/>
                <w:color w:val="000000"/>
                <w:szCs w:val="21"/>
              </w:rPr>
              <w:t>”</w:t>
            </w:r>
            <w:r>
              <w:rPr>
                <w:rFonts w:eastAsia="楷体_GB2312"/>
                <w:color w:val="000000"/>
                <w:szCs w:val="21"/>
              </w:rPr>
              <w:t>项目未批先建。</w:t>
            </w:r>
          </w:p>
        </w:tc>
        <w:tc>
          <w:tcPr>
            <w:tcW w:w="1020" w:type="dxa"/>
            <w:vMerge w:val="restart"/>
            <w:vAlign w:val="center"/>
          </w:tcPr>
          <w:p>
            <w:pPr>
              <w:pStyle w:val="2"/>
              <w:ind w:firstLine="0" w:firstLineChars="0"/>
              <w:rPr>
                <w:szCs w:val="21"/>
              </w:rPr>
            </w:pPr>
            <w:r>
              <w:rPr>
                <w:rFonts w:hint="eastAsia"/>
                <w:szCs w:val="21"/>
              </w:rPr>
              <w:t>完成“十四五”能耗“双控”、碳排放强度目标任务。</w:t>
            </w:r>
          </w:p>
        </w:tc>
        <w:tc>
          <w:tcPr>
            <w:tcW w:w="840" w:type="dxa"/>
            <w:vMerge w:val="restart"/>
            <w:vAlign w:val="center"/>
          </w:tcPr>
          <w:p>
            <w:pPr>
              <w:rPr>
                <w:rFonts w:eastAsia="楷体_GB2312"/>
                <w:color w:val="000000"/>
                <w:szCs w:val="21"/>
              </w:rPr>
            </w:pPr>
            <w:r>
              <w:rPr>
                <w:rFonts w:eastAsia="楷体_GB2312"/>
                <w:color w:val="000000"/>
                <w:szCs w:val="21"/>
              </w:rPr>
              <w:t>202</w:t>
            </w:r>
            <w:r>
              <w:rPr>
                <w:rFonts w:hint="eastAsia" w:eastAsia="楷体_GB2312"/>
                <w:color w:val="000000"/>
                <w:szCs w:val="21"/>
              </w:rPr>
              <w:t>2</w:t>
            </w:r>
            <w:r>
              <w:rPr>
                <w:rFonts w:eastAsia="楷体_GB2312"/>
                <w:color w:val="000000"/>
                <w:szCs w:val="21"/>
              </w:rPr>
              <w:t>年年底前</w:t>
            </w:r>
          </w:p>
          <w:p>
            <w:pPr>
              <w:pStyle w:val="2"/>
              <w:ind w:firstLine="0" w:firstLineChars="0"/>
              <w:rPr>
                <w:szCs w:val="21"/>
              </w:rPr>
            </w:pPr>
          </w:p>
        </w:tc>
        <w:tc>
          <w:tcPr>
            <w:tcW w:w="1155" w:type="dxa"/>
            <w:vMerge w:val="restart"/>
            <w:vAlign w:val="center"/>
          </w:tcPr>
          <w:p>
            <w:pPr>
              <w:pStyle w:val="2"/>
              <w:ind w:firstLine="0" w:firstLineChars="0"/>
              <w:rPr>
                <w:szCs w:val="21"/>
              </w:rPr>
            </w:pPr>
            <w:r>
              <w:rPr>
                <w:rFonts w:hint="eastAsia"/>
              </w:rPr>
              <w:t>区发展和改革局、市生态环境局浈江分局、各镇（办）</w:t>
            </w:r>
          </w:p>
        </w:tc>
        <w:tc>
          <w:tcPr>
            <w:tcW w:w="1095" w:type="dxa"/>
            <w:vMerge w:val="restart"/>
            <w:vAlign w:val="center"/>
          </w:tcPr>
          <w:p>
            <w:pPr>
              <w:pStyle w:val="2"/>
              <w:ind w:firstLine="0" w:firstLineChars="0"/>
            </w:pPr>
            <w:r>
              <w:rPr>
                <w:rFonts w:hint="eastAsia"/>
              </w:rPr>
              <w:t>罗奕文</w:t>
            </w:r>
          </w:p>
          <w:p>
            <w:pPr>
              <w:pStyle w:val="2"/>
              <w:ind w:firstLine="0" w:firstLineChars="0"/>
              <w:jc w:val="center"/>
              <w:rPr>
                <w:color w:val="auto"/>
                <w:szCs w:val="21"/>
              </w:rPr>
            </w:pPr>
            <w:r>
              <w:rPr>
                <w:rFonts w:hint="eastAsia"/>
              </w:rPr>
              <w:t>徐湘宜</w:t>
            </w:r>
          </w:p>
        </w:tc>
        <w:tc>
          <w:tcPr>
            <w:tcW w:w="6855" w:type="dxa"/>
            <w:vAlign w:val="center"/>
          </w:tcPr>
          <w:p>
            <w:pPr>
              <w:pStyle w:val="2"/>
              <w:ind w:firstLine="0" w:firstLineChars="0"/>
              <w:rPr>
                <w:szCs w:val="21"/>
              </w:rPr>
            </w:pPr>
            <w:r>
              <w:rPr>
                <w:rFonts w:hint="eastAsia"/>
                <w:szCs w:val="21"/>
              </w:rPr>
              <w:t>（一）坚定不移抓产业结构调整。聚焦产业生态化、生态产业化，在加快推动全区传统优势产业转型升级的同时，大力培育发展先进装备制造业、电子信息、生物医药、现代农业、商贸物流等能耗较低的新兴支柱产业，加快构建完整产业链和供应链，推动产业链价值链向高端延伸，提升经济质量和效益。大力发展风电和光伏，持续提升新能源在能源结构中的比重。</w:t>
            </w:r>
          </w:p>
        </w:tc>
        <w:tc>
          <w:tcPr>
            <w:tcW w:w="6583" w:type="dxa"/>
            <w:vAlign w:val="center"/>
          </w:tcPr>
          <w:p>
            <w:pPr>
              <w:pStyle w:val="14"/>
              <w:autoSpaceDE/>
              <w:autoSpaceDN/>
              <w:adjustRightInd/>
              <w:spacing w:line="240" w:lineRule="auto"/>
              <w:jc w:val="left"/>
              <w:rPr>
                <w:color w:val="000000" w:themeColor="text1"/>
                <w:szCs w:val="21"/>
                <w:highlight w:val="none"/>
                <w14:textFill>
                  <w14:solidFill>
                    <w14:schemeClr w14:val="tx1"/>
                  </w14:solidFill>
                </w14:textFill>
              </w:rPr>
            </w:pPr>
            <w:r>
              <w:rPr>
                <w:rFonts w:hint="eastAsia" w:ascii="楷体_GB2312" w:hAnsi="楷体_GB2312" w:eastAsia="楷体_GB2312" w:cs="楷体_GB2312"/>
                <w:color w:val="000000" w:themeColor="text1"/>
                <w:szCs w:val="21"/>
                <w:highlight w:val="none"/>
                <w14:textFill>
                  <w14:solidFill>
                    <w14:schemeClr w14:val="tx1"/>
                  </w14:solidFill>
                </w14:textFill>
              </w:rPr>
              <w:t>1.积极推进整区屋顶分布式光伏项目。目前，经区有关会议明确，已确定了屋顶光伏开发主体，正在协调浈江区鸿通投资有限公司与开发主体签订合作协议，并督促开发主体着手成立法人公司、开展项目前期调查摸底工作。                                                               2.加快集中式光伏项目建设。按照市的工作部署，我区集中式光伏项目开发主体为三峡珠江发电有限公司。该公司在我区备案的三峡能源浈江犁市10万千瓦农光互补项目已入场施工。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二）严格落实节能审查制度。新建企业必须符合国家产业政策且能效达到行业先进水平。“十四五”期间投产的年综合能耗5000吨标煤以上的“两高”项目，未落实能耗指标来源的，实行缓建、缓投产。完成“十四五”市下达的能耗“双控”、碳排放强度目标任务。</w:t>
            </w:r>
          </w:p>
          <w:p>
            <w:pPr>
              <w:pStyle w:val="2"/>
              <w:ind w:firstLine="0" w:firstLineChars="0"/>
              <w:rPr>
                <w:szCs w:val="21"/>
              </w:rPr>
            </w:pP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szCs w:val="21"/>
                <w14:textFill>
                  <w14:solidFill>
                    <w14:schemeClr w14:val="tx1"/>
                  </w14:solidFill>
                </w14:textFill>
              </w:rPr>
              <w:t>严格按照国家节能审查办法的要求实行固定资产投资项目实质性节能审查，对于年综合能源消费量1000吨标准煤以上项目，由区发改局报送市发改局办理节能审查手续，暂未发现未落实能耗指标来源的项目。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三）坚决遏制“两高”项目盲目发展。严格贯彻落实省坚决遏制“两高”项目盲目发展实施方案，严格控制新上“两高”项目。着力抓好重点领域节能。强化工业节能、推进建筑节能、加强交通运输节能、引导商业和民用节能、抓好农村节能、推进政府机构节能等。</w:t>
            </w:r>
          </w:p>
          <w:p>
            <w:pPr>
              <w:pStyle w:val="2"/>
              <w:ind w:firstLine="0" w:firstLineChars="0"/>
              <w:rPr>
                <w:szCs w:val="21"/>
              </w:rPr>
            </w:pP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szCs w:val="21"/>
                <w14:textFill>
                  <w14:solidFill>
                    <w14:schemeClr w14:val="tx1"/>
                  </w14:solidFill>
                </w14:textFill>
              </w:rPr>
              <w:t>我区严格贯彻落实省、市坚决遏制“两高”项目盲目发展实施方案，目前我区存量“两高”项目有深圳市中金岭南有色金属股份有限公司韶关冶炼厂、国粤（韶关）电力有限公司，深圳市中金岭南有色金属股份有限公司韶关冶炼厂为老牌国企，国粤（韶关）电力有限公司按核准权限在省发改委立项，2017年以来未新增“两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四）强化重点用能单位管理。加强对年综合能耗5000吨标煤以上的工业企业用能情况跟踪和分析,节能主管部门加强对年综合能耗1000-5000吨标煤以上的工业企业用能情况跟踪和分析,严格控制高耗能企业的能耗过快增长。加快推进重点用能企业节能技术改造,进一步挖掘企业自身节能潜力,提高企业能源利用效率。</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要求重点用能企业做好月报、季报、年报等工作，每月收集上报重点用能企业用能情况表。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vAlign w:val="center"/>
          </w:tcPr>
          <w:p>
            <w:pPr>
              <w:ind w:firstLine="420" w:firstLineChars="200"/>
              <w:rPr>
                <w:rFonts w:eastAsia="楷体_GB2312"/>
                <w:color w:val="000000"/>
                <w:szCs w:val="21"/>
              </w:rPr>
            </w:pPr>
            <w:r>
              <w:rPr>
                <w:rFonts w:hint="eastAsia" w:eastAsia="楷体_GB2312"/>
                <w:color w:val="000000"/>
                <w:szCs w:val="21"/>
              </w:rPr>
              <w:t>六、</w:t>
            </w:r>
            <w:r>
              <w:rPr>
                <w:rFonts w:eastAsia="楷体_GB2312"/>
                <w:color w:val="000000"/>
                <w:szCs w:val="21"/>
              </w:rPr>
              <w:t>近年来</w:t>
            </w:r>
            <w:r>
              <w:rPr>
                <w:rFonts w:hint="eastAsia" w:eastAsia="楷体_GB2312"/>
                <w:color w:val="000000"/>
                <w:szCs w:val="21"/>
              </w:rPr>
              <w:t>，</w:t>
            </w:r>
            <w:r>
              <w:rPr>
                <w:rFonts w:eastAsia="楷体_GB2312"/>
                <w:color w:val="000000"/>
                <w:szCs w:val="21"/>
              </w:rPr>
              <w:t>广东省生活污水管网和处理设施建设力度空前</w:t>
            </w:r>
            <w:r>
              <w:rPr>
                <w:rFonts w:hint="eastAsia" w:eastAsia="楷体_GB2312"/>
                <w:color w:val="000000"/>
                <w:szCs w:val="21"/>
              </w:rPr>
              <w:t>，</w:t>
            </w:r>
            <w:r>
              <w:rPr>
                <w:rFonts w:eastAsia="楷体_GB2312"/>
                <w:color w:val="000000"/>
                <w:szCs w:val="21"/>
              </w:rPr>
              <w:t>但主要集中在广州</w:t>
            </w:r>
            <w:r>
              <w:rPr>
                <w:rFonts w:hint="eastAsia" w:eastAsia="楷体_GB2312"/>
                <w:color w:val="000000"/>
                <w:szCs w:val="21"/>
              </w:rPr>
              <w:t>、</w:t>
            </w:r>
            <w:r>
              <w:rPr>
                <w:rFonts w:eastAsia="楷体_GB2312"/>
                <w:color w:val="000000"/>
                <w:szCs w:val="21"/>
              </w:rPr>
              <w:t>深圳</w:t>
            </w:r>
            <w:r>
              <w:rPr>
                <w:rFonts w:hint="eastAsia" w:eastAsia="楷体_GB2312"/>
                <w:color w:val="000000"/>
                <w:szCs w:val="21"/>
              </w:rPr>
              <w:t>、</w:t>
            </w:r>
            <w:r>
              <w:rPr>
                <w:rFonts w:eastAsia="楷体_GB2312"/>
                <w:color w:val="000000"/>
                <w:szCs w:val="21"/>
              </w:rPr>
              <w:t>东莞及练江流域</w:t>
            </w:r>
            <w:r>
              <w:rPr>
                <w:rFonts w:hint="eastAsia" w:eastAsia="楷体_GB2312"/>
                <w:color w:val="000000"/>
                <w:szCs w:val="21"/>
              </w:rPr>
              <w:t>，</w:t>
            </w:r>
            <w:r>
              <w:rPr>
                <w:rFonts w:eastAsia="楷体_GB2312"/>
                <w:color w:val="000000"/>
                <w:szCs w:val="21"/>
              </w:rPr>
              <w:t>其他地区力度不足</w:t>
            </w:r>
            <w:r>
              <w:rPr>
                <w:rFonts w:hint="eastAsia" w:eastAsia="楷体_GB2312"/>
                <w:color w:val="000000"/>
                <w:szCs w:val="21"/>
              </w:rPr>
              <w:t>，</w:t>
            </w:r>
            <w:r>
              <w:rPr>
                <w:rFonts w:eastAsia="楷体_GB2312"/>
                <w:color w:val="000000"/>
                <w:szCs w:val="21"/>
              </w:rPr>
              <w:t>差距很大</w:t>
            </w:r>
            <w:r>
              <w:rPr>
                <w:rFonts w:hint="eastAsia" w:eastAsia="楷体_GB2312"/>
                <w:color w:val="000000"/>
                <w:szCs w:val="21"/>
              </w:rPr>
              <w:t>，</w:t>
            </w:r>
            <w:r>
              <w:rPr>
                <w:rFonts w:eastAsia="楷体_GB2312"/>
                <w:color w:val="000000"/>
                <w:szCs w:val="21"/>
              </w:rPr>
              <w:t>区域工作推进不平衡。2018年以来</w:t>
            </w:r>
            <w:r>
              <w:rPr>
                <w:rFonts w:hint="eastAsia" w:eastAsia="楷体_GB2312"/>
                <w:color w:val="000000"/>
                <w:szCs w:val="21"/>
              </w:rPr>
              <w:t>，</w:t>
            </w:r>
            <w:r>
              <w:rPr>
                <w:rFonts w:eastAsia="楷体_GB2312"/>
                <w:color w:val="000000"/>
                <w:szCs w:val="21"/>
              </w:rPr>
              <w:t>广州</w:t>
            </w:r>
            <w:r>
              <w:rPr>
                <w:rFonts w:hint="eastAsia" w:eastAsia="楷体_GB2312"/>
                <w:color w:val="000000"/>
                <w:szCs w:val="21"/>
              </w:rPr>
              <w:t>、</w:t>
            </w:r>
            <w:r>
              <w:rPr>
                <w:rFonts w:eastAsia="楷体_GB2312"/>
                <w:color w:val="000000"/>
                <w:szCs w:val="21"/>
              </w:rPr>
              <w:t>深圳</w:t>
            </w:r>
            <w:r>
              <w:rPr>
                <w:rFonts w:hint="eastAsia" w:eastAsia="楷体_GB2312"/>
                <w:color w:val="000000"/>
                <w:szCs w:val="21"/>
              </w:rPr>
              <w:t>、</w:t>
            </w:r>
            <w:r>
              <w:rPr>
                <w:rFonts w:eastAsia="楷体_GB2312"/>
                <w:color w:val="000000"/>
                <w:szCs w:val="21"/>
              </w:rPr>
              <w:t>东莞3市新增管网2.06万公里</w:t>
            </w:r>
            <w:r>
              <w:rPr>
                <w:rFonts w:hint="eastAsia" w:eastAsia="楷体_GB2312"/>
                <w:color w:val="000000"/>
                <w:szCs w:val="21"/>
              </w:rPr>
              <w:t>，</w:t>
            </w:r>
            <w:r>
              <w:rPr>
                <w:rFonts w:eastAsia="楷体_GB2312"/>
                <w:color w:val="000000"/>
                <w:szCs w:val="21"/>
              </w:rPr>
              <w:t>占全省新增总数的78.6%</w:t>
            </w:r>
            <w:r>
              <w:rPr>
                <w:rFonts w:hint="eastAsia" w:eastAsia="楷体_GB2312"/>
                <w:color w:val="000000"/>
                <w:szCs w:val="21"/>
              </w:rPr>
              <w:t>，</w:t>
            </w:r>
            <w:r>
              <w:rPr>
                <w:rFonts w:eastAsia="楷体_GB2312"/>
                <w:color w:val="000000"/>
                <w:szCs w:val="21"/>
              </w:rPr>
              <w:t>新增处理能力397万吨/日</w:t>
            </w:r>
            <w:r>
              <w:rPr>
                <w:rFonts w:hint="eastAsia" w:eastAsia="楷体_GB2312"/>
                <w:color w:val="000000"/>
                <w:szCs w:val="21"/>
              </w:rPr>
              <w:t>，</w:t>
            </w:r>
            <w:r>
              <w:rPr>
                <w:rFonts w:eastAsia="楷体_GB2312"/>
                <w:color w:val="000000"/>
                <w:szCs w:val="21"/>
              </w:rPr>
              <w:t>占全省的56%。其余18个地市新增管网占比仅21.4%</w:t>
            </w:r>
            <w:r>
              <w:rPr>
                <w:rFonts w:hint="eastAsia" w:eastAsia="楷体_GB2312"/>
                <w:color w:val="000000"/>
                <w:szCs w:val="21"/>
              </w:rPr>
              <w:t>，</w:t>
            </w:r>
            <w:r>
              <w:rPr>
                <w:rFonts w:eastAsia="楷体_GB2312"/>
                <w:color w:val="000000"/>
                <w:szCs w:val="21"/>
              </w:rPr>
              <w:t>新增处理能力占比仅44%。区域管网建设的不平衡导致污水收集率差异明显。2020年粤西地区污水收集率仅52.5%</w:t>
            </w:r>
            <w:r>
              <w:rPr>
                <w:rFonts w:hint="eastAsia" w:eastAsia="楷体_GB2312"/>
                <w:color w:val="000000"/>
                <w:szCs w:val="21"/>
              </w:rPr>
              <w:t>，</w:t>
            </w:r>
            <w:r>
              <w:rPr>
                <w:rFonts w:eastAsia="楷体_GB2312"/>
                <w:color w:val="000000"/>
                <w:szCs w:val="21"/>
              </w:rPr>
              <w:t>粤东</w:t>
            </w:r>
            <w:r>
              <w:rPr>
                <w:rFonts w:hint="eastAsia" w:eastAsia="楷体_GB2312"/>
                <w:color w:val="000000"/>
                <w:szCs w:val="21"/>
              </w:rPr>
              <w:t>、</w:t>
            </w:r>
            <w:r>
              <w:rPr>
                <w:rFonts w:eastAsia="楷体_GB2312"/>
                <w:color w:val="000000"/>
                <w:szCs w:val="21"/>
              </w:rPr>
              <w:t>粤北地区污水收集率更低</w:t>
            </w:r>
            <w:r>
              <w:rPr>
                <w:rFonts w:hint="eastAsia" w:eastAsia="楷体_GB2312"/>
                <w:color w:val="000000"/>
                <w:szCs w:val="21"/>
              </w:rPr>
              <w:t>，</w:t>
            </w:r>
            <w:r>
              <w:rPr>
                <w:rFonts w:eastAsia="楷体_GB2312"/>
                <w:color w:val="000000"/>
                <w:szCs w:val="21"/>
              </w:rPr>
              <w:t>分别只有34.5%</w:t>
            </w:r>
            <w:r>
              <w:rPr>
                <w:rFonts w:hint="eastAsia" w:eastAsia="楷体_GB2312"/>
                <w:color w:val="000000"/>
                <w:szCs w:val="21"/>
              </w:rPr>
              <w:t>、</w:t>
            </w:r>
            <w:r>
              <w:rPr>
                <w:rFonts w:eastAsia="楷体_GB2312"/>
                <w:color w:val="000000"/>
                <w:szCs w:val="21"/>
              </w:rPr>
              <w:t>32.5%</w:t>
            </w:r>
            <w:r>
              <w:rPr>
                <w:rFonts w:hint="eastAsia" w:eastAsia="楷体_GB2312"/>
                <w:color w:val="000000"/>
                <w:szCs w:val="21"/>
              </w:rPr>
              <w:t>，</w:t>
            </w:r>
            <w:r>
              <w:rPr>
                <w:rFonts w:eastAsia="楷体_GB2312"/>
                <w:color w:val="000000"/>
                <w:szCs w:val="21"/>
              </w:rPr>
              <w:t>不足珠三角地区的1/2。</w:t>
            </w:r>
          </w:p>
        </w:tc>
        <w:tc>
          <w:tcPr>
            <w:tcW w:w="1020" w:type="dxa"/>
            <w:vAlign w:val="center"/>
          </w:tcPr>
          <w:p>
            <w:pPr>
              <w:pStyle w:val="2"/>
              <w:ind w:firstLine="0" w:firstLineChars="0"/>
              <w:jc w:val="center"/>
              <w:rPr>
                <w:szCs w:val="21"/>
              </w:rPr>
            </w:pPr>
            <w:r>
              <w:rPr>
                <w:rFonts w:hint="eastAsia"/>
                <w:szCs w:val="21"/>
              </w:rPr>
              <w:t>城区污水集中收集率比2020年提高5个百分点以上。</w:t>
            </w:r>
          </w:p>
        </w:tc>
        <w:tc>
          <w:tcPr>
            <w:tcW w:w="840" w:type="dxa"/>
            <w:vAlign w:val="center"/>
          </w:tcPr>
          <w:p>
            <w:pPr>
              <w:pStyle w:val="2"/>
              <w:ind w:firstLine="0" w:firstLineChars="0"/>
              <w:jc w:val="center"/>
              <w:rPr>
                <w:szCs w:val="21"/>
              </w:rPr>
            </w:pPr>
            <w:r>
              <w:rPr>
                <w:szCs w:val="21"/>
              </w:rPr>
              <w:t>2025年年底前</w:t>
            </w:r>
          </w:p>
          <w:p>
            <w:pPr>
              <w:pStyle w:val="2"/>
              <w:ind w:firstLine="0" w:firstLineChars="0"/>
              <w:jc w:val="center"/>
              <w:rPr>
                <w:szCs w:val="21"/>
              </w:rPr>
            </w:pPr>
          </w:p>
        </w:tc>
        <w:tc>
          <w:tcPr>
            <w:tcW w:w="1155" w:type="dxa"/>
            <w:vAlign w:val="center"/>
          </w:tcPr>
          <w:p>
            <w:pPr>
              <w:pStyle w:val="2"/>
              <w:ind w:firstLine="0" w:firstLineChars="0"/>
              <w:rPr>
                <w:szCs w:val="21"/>
              </w:rPr>
            </w:pPr>
            <w:r>
              <w:rPr>
                <w:rFonts w:hint="eastAsia"/>
              </w:rPr>
              <w:t>区城管和执法局、区住建局、各镇（办）</w:t>
            </w:r>
          </w:p>
        </w:tc>
        <w:tc>
          <w:tcPr>
            <w:tcW w:w="1095" w:type="dxa"/>
            <w:vAlign w:val="center"/>
          </w:tcPr>
          <w:p>
            <w:pPr>
              <w:jc w:val="center"/>
              <w:rPr>
                <w:rFonts w:eastAsia="楷体_GB2312"/>
                <w:szCs w:val="21"/>
              </w:rPr>
            </w:pPr>
            <w:r>
              <w:rPr>
                <w:rFonts w:hint="eastAsia" w:eastAsia="楷体_GB2312"/>
                <w:szCs w:val="21"/>
              </w:rPr>
              <w:t>何爱华</w:t>
            </w:r>
          </w:p>
        </w:tc>
        <w:tc>
          <w:tcPr>
            <w:tcW w:w="6855" w:type="dxa"/>
            <w:vAlign w:val="center"/>
          </w:tcPr>
          <w:p>
            <w:pPr>
              <w:pStyle w:val="2"/>
              <w:ind w:firstLine="0" w:firstLineChars="0"/>
              <w:rPr>
                <w:szCs w:val="21"/>
              </w:rPr>
            </w:pPr>
            <w:r>
              <w:rPr>
                <w:rFonts w:hint="eastAsia"/>
                <w:szCs w:val="21"/>
              </w:rPr>
              <w:t>大力配合市级部门补强污水管网短板。配合市级部门完善污水管网布局，扎实推进老城区雨污分流、清污分流改造。在已有工作基础上，进一步增强污水处理能力。</w:t>
            </w:r>
          </w:p>
          <w:p>
            <w:pPr>
              <w:pStyle w:val="2"/>
              <w:ind w:firstLine="0" w:firstLineChars="0"/>
              <w:rPr>
                <w:szCs w:val="21"/>
              </w:rPr>
            </w:pP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市辖三区范围内的污水管网建设工作已由市水投公司统筹负责，我区主要负责雨水管网管护工作。2022年以来，涉及我区的城镇生活污水处理设施项目共4项，分别为：武江支流十里亭段生态环境系统保护修复工程</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、韶关市区污水管网建设与提升项目（首期）</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、韶关市第一污水处理厂出水水质提标改造项目</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、市供水管道改造和污水处理工程——供水管道改造部分（二期）</w:t>
            </w:r>
            <w:r>
              <w:rPr>
                <w:rFonts w:hint="eastAsia"/>
                <w:color w:val="000000" w:themeColor="text1"/>
                <w:szCs w:val="21"/>
                <w:lang w:eastAsia="zh-CN"/>
                <w14:textFill>
                  <w14:solidFill>
                    <w14:schemeClr w14:val="tx1"/>
                  </w14:solidFill>
                </w14:textFill>
              </w:rPr>
              <w:t>（目前仍在建设中）</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381" w:type="dxa"/>
            <w:vAlign w:val="center"/>
          </w:tcPr>
          <w:p>
            <w:pPr>
              <w:pStyle w:val="2"/>
              <w:ind w:firstLine="420"/>
              <w:rPr>
                <w:szCs w:val="21"/>
              </w:rPr>
            </w:pPr>
            <w:r>
              <w:rPr>
                <w:rFonts w:hint="eastAsia"/>
                <w:szCs w:val="21"/>
              </w:rPr>
              <w:t>七、生活垃圾处理不平衡问题也十分突出。截至2021年8月，珠三角地区生活垃圾焚烧占比达75.4%，深圳、惠州、东莞等市已经实现“日产日清”全焚烧，但粤北地区垃圾焚烧占比仅为41.1%，河源、云浮两市垃圾更是零焚烧，完全依靠填埋。</w:t>
            </w:r>
          </w:p>
        </w:tc>
        <w:tc>
          <w:tcPr>
            <w:tcW w:w="1020" w:type="dxa"/>
            <w:vAlign w:val="center"/>
          </w:tcPr>
          <w:p>
            <w:pPr>
              <w:pStyle w:val="2"/>
              <w:ind w:firstLine="0" w:firstLineChars="0"/>
              <w:rPr>
                <w:szCs w:val="21"/>
              </w:rPr>
            </w:pPr>
            <w:r>
              <w:rPr>
                <w:rFonts w:hint="eastAsia" w:ascii="Times New Roman" w:hAnsi="Times New Roman"/>
              </w:rPr>
              <w:t>配合市级部门推进生活垃圾焚烧处理设施建设，不断提高焚烧处理能力占比。</w:t>
            </w:r>
          </w:p>
        </w:tc>
        <w:tc>
          <w:tcPr>
            <w:tcW w:w="840" w:type="dxa"/>
            <w:vAlign w:val="center"/>
          </w:tcPr>
          <w:p>
            <w:pPr>
              <w:pStyle w:val="2"/>
              <w:ind w:firstLine="0" w:firstLineChars="0"/>
              <w:rPr>
                <w:szCs w:val="21"/>
              </w:rPr>
            </w:pPr>
            <w:r>
              <w:rPr>
                <w:rFonts w:hint="eastAsia"/>
                <w:szCs w:val="21"/>
              </w:rPr>
              <w:t>2025年年底前</w:t>
            </w:r>
          </w:p>
        </w:tc>
        <w:tc>
          <w:tcPr>
            <w:tcW w:w="1155" w:type="dxa"/>
            <w:vAlign w:val="center"/>
          </w:tcPr>
          <w:p>
            <w:pPr>
              <w:pStyle w:val="2"/>
              <w:ind w:firstLine="0" w:firstLineChars="0"/>
              <w:rPr>
                <w:szCs w:val="21"/>
              </w:rPr>
            </w:pPr>
            <w:r>
              <w:rPr>
                <w:rFonts w:hint="eastAsia"/>
              </w:rPr>
              <w:t>区城管和执法局、区住建局、各镇（办）</w:t>
            </w:r>
          </w:p>
        </w:tc>
        <w:tc>
          <w:tcPr>
            <w:tcW w:w="1095" w:type="dxa"/>
          </w:tcPr>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rPr>
                <w:color w:val="auto"/>
                <w:szCs w:val="21"/>
              </w:rPr>
            </w:pPr>
            <w:r>
              <w:rPr>
                <w:rFonts w:hint="eastAsia"/>
              </w:rPr>
              <w:t>何爱华</w:t>
            </w:r>
          </w:p>
          <w:p>
            <w:pPr>
              <w:pStyle w:val="2"/>
              <w:ind w:firstLine="420"/>
              <w:jc w:val="center"/>
              <w:rPr>
                <w:color w:val="auto"/>
                <w:szCs w:val="21"/>
              </w:rPr>
            </w:pPr>
          </w:p>
        </w:tc>
        <w:tc>
          <w:tcPr>
            <w:tcW w:w="6855" w:type="dxa"/>
            <w:vAlign w:val="center"/>
          </w:tcPr>
          <w:p>
            <w:pPr>
              <w:pStyle w:val="2"/>
              <w:ind w:firstLine="0" w:firstLineChars="0"/>
              <w:rPr>
                <w:szCs w:val="21"/>
              </w:rPr>
            </w:pPr>
            <w:r>
              <w:rPr>
                <w:rFonts w:hint="eastAsia"/>
                <w:szCs w:val="21"/>
              </w:rPr>
              <w:t>全力做好辖区生活垃圾分类、转运等全过程管理。</w:t>
            </w:r>
          </w:p>
          <w:p>
            <w:pPr>
              <w:pStyle w:val="2"/>
              <w:ind w:firstLine="0" w:firstLineChars="0"/>
              <w:rPr>
                <w:szCs w:val="21"/>
              </w:rPr>
            </w:pPr>
          </w:p>
        </w:tc>
        <w:tc>
          <w:tcPr>
            <w:tcW w:w="6583" w:type="dxa"/>
            <w:vAlign w:val="center"/>
          </w:tcPr>
          <w:p>
            <w:pPr>
              <w:pStyle w:val="2"/>
              <w:ind w:firstLine="0" w:firstLineChars="0"/>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cs="楷体_GB2312"/>
                <w:color w:val="0000FF"/>
                <w:lang w:val="en-US" w:eastAsia="zh-CN"/>
              </w:rPr>
              <w:t xml:space="preserve">  </w:t>
            </w:r>
            <w:r>
              <w:rPr>
                <w:rFonts w:hint="eastAsia" w:ascii="楷体_GB2312" w:hAnsi="楷体_GB2312" w:cs="楷体_GB2312"/>
                <w:color w:val="000000" w:themeColor="text1"/>
                <w:lang w:val="en-US" w:eastAsia="zh-CN"/>
                <w14:textFill>
                  <w14:solidFill>
                    <w14:schemeClr w14:val="tx1"/>
                  </w14:solidFill>
                </w14:textFill>
              </w:rPr>
              <w:t xml:space="preserve"> 进行垃圾分类实施试点，我区</w:t>
            </w:r>
            <w:r>
              <w:rPr>
                <w:rFonts w:hint="eastAsia" w:ascii="楷体_GB2312" w:hAnsi="楷体_GB2312" w:cs="楷体_GB2312"/>
                <w:color w:val="000000" w:themeColor="text1"/>
                <w14:textFill>
                  <w14:solidFill>
                    <w14:schemeClr w14:val="tx1"/>
                  </w14:solidFill>
                </w14:textFill>
              </w:rPr>
              <w:t>对东河片区所有垃圾桶进行数量统计和位置摆放情况的摸底，其次对整个东河片区垃圾产生源进行统计分类</w:t>
            </w:r>
            <w:r>
              <w:rPr>
                <w:rFonts w:hint="eastAsia" w:ascii="楷体_GB2312" w:hAnsi="楷体_GB2312" w:cs="楷体_GB2312"/>
                <w:color w:val="000000" w:themeColor="text1"/>
                <w:lang w:eastAsia="zh-CN"/>
                <w14:textFill>
                  <w14:solidFill>
                    <w14:schemeClr w14:val="tx1"/>
                  </w14:solidFill>
                </w14:textFill>
              </w:rPr>
              <w:t>，</w:t>
            </w:r>
            <w:r>
              <w:rPr>
                <w:rFonts w:hint="eastAsia" w:ascii="楷体_GB2312" w:hAnsi="楷体_GB2312" w:cs="楷体_GB2312"/>
                <w:color w:val="000000" w:themeColor="text1"/>
                <w14:textFill>
                  <w14:solidFill>
                    <w14:schemeClr w14:val="tx1"/>
                  </w14:solidFill>
                </w14:textFill>
              </w:rPr>
              <w:t>共有七大垃圾产生源</w:t>
            </w:r>
            <w:r>
              <w:rPr>
                <w:rFonts w:hint="eastAsia" w:ascii="楷体_GB2312" w:hAnsi="楷体_GB2312" w:cs="楷体_GB2312"/>
                <w:color w:val="000000" w:themeColor="text1"/>
                <w:lang w:eastAsia="zh-CN"/>
                <w14:textFill>
                  <w14:solidFill>
                    <w14:schemeClr w14:val="tx1"/>
                  </w14:solidFill>
                </w14:textFill>
              </w:rPr>
              <w:t>各单位定期开展宣传活动，向广大群众派发垃圾分类宣传册，讲解垃圾分类相关知识，大大的提高了垃圾分类的知晓率、参与率；区垃圾分类工作领导小组不定期抽检示范片区相关工作进展情况并通报相关问题及责任单位，及时整改完善相关工作。</w:t>
            </w:r>
          </w:p>
          <w:p>
            <w:pPr>
              <w:pStyle w:val="2"/>
              <w:ind w:firstLine="0" w:firstLineChars="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浈江区生活垃圾统一收集到各垃圾中转站进行压缩,然后运往大塘粤丰焚烧场处置,大件垃圾和绿化垃圾、临时垃圾统一收集装运到花拉寨填埋场处置，所有垃圾做到日产日清。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381" w:type="dxa"/>
            <w:vMerge w:val="restart"/>
            <w:vAlign w:val="center"/>
          </w:tcPr>
          <w:p>
            <w:pPr>
              <w:ind w:firstLine="420" w:firstLineChars="200"/>
              <w:rPr>
                <w:rFonts w:eastAsia="楷体_GB2312"/>
                <w:color w:val="000000"/>
                <w:szCs w:val="21"/>
              </w:rPr>
            </w:pPr>
            <w:r>
              <w:rPr>
                <w:rFonts w:hint="eastAsia" w:eastAsia="楷体_GB2312"/>
                <w:color w:val="000000"/>
                <w:szCs w:val="21"/>
              </w:rPr>
              <w:t>八、</w:t>
            </w:r>
            <w:r>
              <w:rPr>
                <w:rFonts w:eastAsia="楷体_GB2312"/>
                <w:color w:val="000000"/>
                <w:szCs w:val="21"/>
              </w:rPr>
              <w:t>农村环境基础设施建设投入虽有所增加</w:t>
            </w:r>
            <w:r>
              <w:rPr>
                <w:rFonts w:hint="eastAsia" w:eastAsia="楷体_GB2312"/>
                <w:color w:val="000000"/>
                <w:szCs w:val="21"/>
              </w:rPr>
              <w:t>，</w:t>
            </w:r>
            <w:r>
              <w:rPr>
                <w:rFonts w:eastAsia="楷体_GB2312"/>
                <w:color w:val="000000"/>
                <w:szCs w:val="21"/>
              </w:rPr>
              <w:t>但短板依然明显</w:t>
            </w:r>
            <w:r>
              <w:rPr>
                <w:rFonts w:hint="eastAsia" w:eastAsia="楷体_GB2312"/>
                <w:color w:val="000000"/>
                <w:szCs w:val="21"/>
              </w:rPr>
              <w:t>，</w:t>
            </w:r>
            <w:r>
              <w:rPr>
                <w:rFonts w:eastAsia="楷体_GB2312"/>
                <w:color w:val="000000"/>
                <w:szCs w:val="21"/>
              </w:rPr>
              <w:t>农村环境保护</w:t>
            </w:r>
            <w:r>
              <w:rPr>
                <w:rFonts w:hint="eastAsia" w:eastAsia="楷体_GB2312"/>
                <w:color w:val="000000"/>
                <w:szCs w:val="21"/>
              </w:rPr>
              <w:t>“</w:t>
            </w:r>
            <w:r>
              <w:rPr>
                <w:rFonts w:eastAsia="楷体_GB2312"/>
                <w:color w:val="000000"/>
                <w:szCs w:val="21"/>
              </w:rPr>
              <w:t>十三五</w:t>
            </w:r>
            <w:r>
              <w:rPr>
                <w:rFonts w:hint="eastAsia" w:eastAsia="楷体_GB2312"/>
                <w:color w:val="000000"/>
                <w:szCs w:val="21"/>
              </w:rPr>
              <w:t>”</w:t>
            </w:r>
            <w:r>
              <w:rPr>
                <w:rFonts w:eastAsia="楷体_GB2312"/>
                <w:color w:val="000000"/>
                <w:szCs w:val="21"/>
              </w:rPr>
              <w:t>规划部署的生活污水收集任务未完成</w:t>
            </w:r>
            <w:r>
              <w:rPr>
                <w:rFonts w:hint="eastAsia" w:eastAsia="楷体_GB2312"/>
                <w:color w:val="000000"/>
                <w:szCs w:val="21"/>
              </w:rPr>
              <w:t>，</w:t>
            </w:r>
            <w:r>
              <w:rPr>
                <w:rFonts w:eastAsia="楷体_GB2312"/>
                <w:color w:val="000000"/>
                <w:szCs w:val="21"/>
              </w:rPr>
              <w:t>建设推进的乡镇农村污水处理设施中</w:t>
            </w:r>
            <w:r>
              <w:rPr>
                <w:rFonts w:hint="eastAsia" w:eastAsia="楷体_GB2312"/>
                <w:color w:val="000000"/>
                <w:szCs w:val="21"/>
              </w:rPr>
              <w:t>，</w:t>
            </w:r>
            <w:r>
              <w:rPr>
                <w:rFonts w:eastAsia="楷体_GB2312"/>
                <w:color w:val="000000"/>
                <w:szCs w:val="21"/>
              </w:rPr>
              <w:t>管网不配套</w:t>
            </w:r>
            <w:r>
              <w:rPr>
                <w:rFonts w:hint="eastAsia" w:eastAsia="楷体_GB2312"/>
                <w:color w:val="000000"/>
                <w:szCs w:val="21"/>
              </w:rPr>
              <w:t>、</w:t>
            </w:r>
            <w:r>
              <w:rPr>
                <w:rFonts w:eastAsia="楷体_GB2312"/>
                <w:color w:val="000000"/>
                <w:szCs w:val="21"/>
              </w:rPr>
              <w:t>运行不正常</w:t>
            </w:r>
            <w:r>
              <w:rPr>
                <w:rFonts w:hint="eastAsia" w:eastAsia="楷体_GB2312"/>
                <w:color w:val="000000"/>
                <w:szCs w:val="21"/>
              </w:rPr>
              <w:t>、</w:t>
            </w:r>
            <w:r>
              <w:rPr>
                <w:rFonts w:eastAsia="楷体_GB2312"/>
                <w:color w:val="000000"/>
                <w:szCs w:val="21"/>
              </w:rPr>
              <w:t>设施闲置坏损等现象较为普遍。</w:t>
            </w:r>
          </w:p>
        </w:tc>
        <w:tc>
          <w:tcPr>
            <w:tcW w:w="1020" w:type="dxa"/>
            <w:vMerge w:val="restart"/>
            <w:vAlign w:val="center"/>
          </w:tcPr>
          <w:p>
            <w:pPr>
              <w:pStyle w:val="2"/>
              <w:ind w:firstLine="0" w:firstLineChars="0"/>
              <w:rPr>
                <w:szCs w:val="21"/>
              </w:rPr>
            </w:pPr>
            <w:r>
              <w:rPr>
                <w:rFonts w:hint="eastAsia" w:ascii="Times New Roman" w:hAnsi="Times New Roman"/>
              </w:rPr>
              <w:t>加快补齐农村环境基础设施短板，健全乡镇及农村污水处理设施长效运营管理机制。</w:t>
            </w:r>
          </w:p>
        </w:tc>
        <w:tc>
          <w:tcPr>
            <w:tcW w:w="840" w:type="dxa"/>
            <w:vMerge w:val="restart"/>
            <w:vAlign w:val="center"/>
          </w:tcPr>
          <w:p>
            <w:pPr>
              <w:pStyle w:val="2"/>
              <w:ind w:firstLine="0" w:firstLineChars="0"/>
              <w:rPr>
                <w:szCs w:val="21"/>
              </w:rPr>
            </w:pPr>
            <w:r>
              <w:rPr>
                <w:rFonts w:hint="eastAsia"/>
                <w:szCs w:val="21"/>
              </w:rPr>
              <w:t>2025年年底前</w:t>
            </w:r>
          </w:p>
        </w:tc>
        <w:tc>
          <w:tcPr>
            <w:tcW w:w="1155" w:type="dxa"/>
            <w:vMerge w:val="restart"/>
            <w:vAlign w:val="center"/>
          </w:tcPr>
          <w:p>
            <w:pPr>
              <w:pStyle w:val="2"/>
              <w:ind w:firstLine="0" w:firstLineChars="0"/>
              <w:rPr>
                <w:szCs w:val="21"/>
              </w:rPr>
            </w:pPr>
            <w:r>
              <w:rPr>
                <w:rFonts w:hint="eastAsia"/>
              </w:rPr>
              <w:t>区农业农村局、区住建局、区自然资源局、市生态环境局浈江分局、各镇（办）</w:t>
            </w:r>
          </w:p>
        </w:tc>
        <w:tc>
          <w:tcPr>
            <w:tcW w:w="1095" w:type="dxa"/>
            <w:vMerge w:val="restart"/>
            <w:vAlign w:val="center"/>
          </w:tcPr>
          <w:p>
            <w:pPr>
              <w:pStyle w:val="2"/>
              <w:ind w:firstLine="0" w:firstLineChars="0"/>
            </w:pPr>
            <w:r>
              <w:rPr>
                <w:rFonts w:hint="eastAsia"/>
              </w:rPr>
              <w:t>何爱华</w:t>
            </w:r>
          </w:p>
          <w:p>
            <w:pPr>
              <w:pStyle w:val="2"/>
              <w:ind w:firstLine="0" w:firstLineChars="0"/>
              <w:jc w:val="center"/>
              <w:rPr>
                <w:color w:val="auto"/>
                <w:szCs w:val="21"/>
              </w:rPr>
            </w:pPr>
            <w:r>
              <w:rPr>
                <w:rFonts w:hint="eastAsia"/>
              </w:rPr>
              <w:t>徐湘宜</w:t>
            </w:r>
          </w:p>
        </w:tc>
        <w:tc>
          <w:tcPr>
            <w:tcW w:w="6855" w:type="dxa"/>
            <w:vAlign w:val="center"/>
          </w:tcPr>
          <w:p>
            <w:pPr>
              <w:pStyle w:val="2"/>
              <w:ind w:firstLine="0" w:firstLineChars="0"/>
              <w:rPr>
                <w:szCs w:val="21"/>
              </w:rPr>
            </w:pPr>
            <w:r>
              <w:rPr>
                <w:rFonts w:hint="eastAsia"/>
                <w:szCs w:val="21"/>
              </w:rPr>
              <w:t>（一）全面实施农村生活污水治理攻坚行动，科学合理选择建设、运维、管理模式。城镇周边的自然村优先选择纳入城镇生活污水处理厂处理，人口规模较大的自然村优先选择管护简便、建设运维费用低的工艺设备，其他有条件的自然村优先选用污水资源化利用的技术路线。按照《韶关市农村生活污水处理设施运行维护管理办法（试行）》，建立健全运维长效机制。2025年底农村生活污水治理覆盖率达70%。</w:t>
            </w:r>
          </w:p>
        </w:tc>
        <w:tc>
          <w:tcPr>
            <w:tcW w:w="6583" w:type="dxa"/>
            <w:vAlign w:val="center"/>
          </w:tcPr>
          <w:p>
            <w:pPr>
              <w:pStyle w:val="2"/>
              <w:ind w:firstLine="0" w:firstLineChars="0"/>
              <w:rPr>
                <w:color w:val="auto"/>
                <w:szCs w:val="21"/>
              </w:rPr>
            </w:pPr>
            <w:r>
              <w:rPr>
                <w:rFonts w:hint="eastAsia"/>
                <w:color w:val="auto"/>
                <w:szCs w:val="21"/>
              </w:rPr>
              <w:t>我区进一步加大污水设施建设。</w:t>
            </w:r>
            <w:r>
              <w:rPr>
                <w:rFonts w:hint="default"/>
                <w:color w:val="auto"/>
                <w:szCs w:val="21"/>
                <w:lang w:val="en"/>
              </w:rPr>
              <w:t>2022</w:t>
            </w:r>
            <w:r>
              <w:rPr>
                <w:rFonts w:hint="eastAsia"/>
                <w:color w:val="auto"/>
                <w:szCs w:val="21"/>
                <w:lang w:val="en" w:eastAsia="zh-CN"/>
              </w:rPr>
              <w:t>年</w:t>
            </w:r>
            <w:r>
              <w:rPr>
                <w:rFonts w:hint="eastAsia"/>
                <w:color w:val="auto"/>
                <w:szCs w:val="21"/>
              </w:rPr>
              <w:t>全区累积完成225个自然村治理任务，全区农村污水治理率为71%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（二）区住建局加强对花坪镇生活污水处理设施和配套管网建设运行指导，根据反馈核查情况积极落实整改。负责项目施工过程的质量监管，对已建管网、设施是否符合工程质量标准全面开展“回头看”。</w:t>
            </w:r>
          </w:p>
        </w:tc>
        <w:tc>
          <w:tcPr>
            <w:tcW w:w="6583" w:type="dxa"/>
            <w:vAlign w:val="center"/>
          </w:tcPr>
          <w:p>
            <w:pPr>
              <w:pStyle w:val="2"/>
              <w:ind w:firstLine="0" w:firstLineChars="0"/>
              <w:rPr>
                <w:color w:val="auto"/>
                <w:szCs w:val="21"/>
              </w:rPr>
            </w:pPr>
            <w:r>
              <w:rPr>
                <w:rFonts w:hint="eastAsia"/>
                <w:color w:val="000000" w:themeColor="text1"/>
                <w:szCs w:val="21"/>
                <w14:textFill>
                  <w14:solidFill>
                    <w14:schemeClr w14:val="tx1"/>
                  </w14:solidFill>
                </w14:textFill>
              </w:rPr>
              <w:t>花坪镇污水处理厂及污水管网项目已于2020年底竣工验收并投入使用，已移交花坪镇人民政府负责日常管养。犁市镇污水管网项目已于2020年竣工并投入使用，犁市镇污水通过管网收集统一排入浈江区产业园铣鸡坑污水处理厂进行处理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三）区农业农村局、区自然资源局、区住建局、市生态环境局浈江分局按照《广东省农村人居环境整治提升五年行动方案（2021-2025年）》，对农村污水治理、厕所革命等农村人居环境整治工作的系统部署安排；推进农村污水治理、集中供水，对存在问题的村庄逐村建档立卡、挂图作战；将农村污水治理、集中供水等工作纳入乡村振兴考核重要内容，发挥考核指挥棒作用，倒逼问题整改。</w:t>
            </w:r>
          </w:p>
        </w:tc>
        <w:tc>
          <w:tcPr>
            <w:tcW w:w="6583" w:type="dxa"/>
            <w:vAlign w:val="center"/>
          </w:tcPr>
          <w:p>
            <w:pPr>
              <w:pStyle w:val="3"/>
              <w:keepNext w:val="0"/>
              <w:keepLines w:val="0"/>
              <w:pageBreakBefore w:val="0"/>
              <w:widowControl w:val="0"/>
              <w:kinsoku/>
              <w:wordWrap/>
              <w:overflowPunct/>
              <w:topLinePunct w:val="0"/>
              <w:autoSpaceDE/>
              <w:autoSpaceDN/>
              <w:bidi w:val="0"/>
              <w:adjustRightInd/>
              <w:snapToGrid/>
              <w:spacing w:after="0"/>
              <w:textAlignment w:val="auto"/>
              <w:rPr>
                <w:color w:val="000000" w:themeColor="text1"/>
                <w:szCs w:val="21"/>
                <w14:textFill>
                  <w14:solidFill>
                    <w14:schemeClr w14:val="tx1"/>
                  </w14:solidFill>
                </w14:textFill>
              </w:rPr>
            </w:pPr>
            <w:r>
              <w:rPr>
                <w:rFonts w:hint="eastAsia" w:ascii="Calibri" w:hAnsi="Calibri" w:eastAsia="楷体_GB2312" w:cs="Times New Roman"/>
                <w:color w:val="000000" w:themeColor="text1"/>
                <w:kern w:val="2"/>
                <w:sz w:val="21"/>
                <w:szCs w:val="24"/>
                <w:lang w:val="en-US" w:eastAsia="zh-CN" w:bidi="ar-SA"/>
                <w14:textFill>
                  <w14:solidFill>
                    <w14:schemeClr w14:val="tx1"/>
                  </w14:solidFill>
                </w14:textFill>
              </w:rPr>
              <w:t>我区进行2022年度乡村振兴战略实绩考核工作，其中考核明细中“四、乡村建设 4.7 农村生活污水治理率达 71%，完成了农村生活污水治理率达到 50%以上的目标；全区农村集中供水全覆盖率达100%。已将厕所革命、污水、供水问题整改情况纳入对各镇的乡村振兴专项考核中。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2381" w:type="dxa"/>
            <w:vAlign w:val="center"/>
          </w:tcPr>
          <w:p>
            <w:pPr>
              <w:pStyle w:val="2"/>
              <w:ind w:firstLine="420"/>
              <w:rPr>
                <w:color w:val="auto"/>
                <w:szCs w:val="21"/>
              </w:rPr>
            </w:pPr>
            <w:r>
              <w:rPr>
                <w:rFonts w:hint="eastAsia"/>
                <w:color w:val="auto"/>
                <w:szCs w:val="21"/>
              </w:rPr>
              <w:t>九、截至2021年8月，全省仍有276万农村人口未实现集中供水，河源、清远、茂名仅完成农村集中供水任务的16.8%、32.5%, 34.5%,且全省农村集中式供水水源仍有7%水质不达标。</w:t>
            </w:r>
          </w:p>
        </w:tc>
        <w:tc>
          <w:tcPr>
            <w:tcW w:w="1020" w:type="dxa"/>
            <w:vAlign w:val="center"/>
          </w:tcPr>
          <w:p>
            <w:pPr>
              <w:pStyle w:val="2"/>
              <w:ind w:firstLine="0" w:firstLineChars="0"/>
              <w:rPr>
                <w:color w:val="auto"/>
                <w:szCs w:val="21"/>
              </w:rPr>
            </w:pPr>
            <w:r>
              <w:rPr>
                <w:rFonts w:hint="eastAsia"/>
              </w:rPr>
              <w:t>确保</w:t>
            </w:r>
            <w:r>
              <w:rPr>
                <w:rFonts w:ascii="Times New Roman" w:hAnsi="Times New Roman"/>
              </w:rPr>
              <w:t>农村集中供水全覆盖，加强农村饮用水源地水质保护。</w:t>
            </w:r>
          </w:p>
        </w:tc>
        <w:tc>
          <w:tcPr>
            <w:tcW w:w="840" w:type="dxa"/>
            <w:vAlign w:val="center"/>
          </w:tcPr>
          <w:p>
            <w:pPr>
              <w:pStyle w:val="2"/>
              <w:ind w:firstLine="0" w:firstLineChars="0"/>
              <w:rPr>
                <w:color w:val="auto"/>
                <w:szCs w:val="21"/>
              </w:rPr>
            </w:pPr>
            <w:r>
              <w:rPr>
                <w:rFonts w:hint="eastAsia"/>
                <w:color w:val="auto"/>
                <w:szCs w:val="21"/>
              </w:rPr>
              <w:t>2023年年底前</w:t>
            </w:r>
          </w:p>
        </w:tc>
        <w:tc>
          <w:tcPr>
            <w:tcW w:w="1155" w:type="dxa"/>
            <w:vAlign w:val="center"/>
          </w:tcPr>
          <w:p>
            <w:pPr>
              <w:pStyle w:val="2"/>
              <w:ind w:firstLine="0" w:firstLineChars="0"/>
              <w:rPr>
                <w:color w:val="auto"/>
                <w:szCs w:val="21"/>
              </w:rPr>
            </w:pPr>
            <w:r>
              <w:rPr>
                <w:rFonts w:hint="eastAsia"/>
                <w:color w:val="auto"/>
                <w:szCs w:val="21"/>
              </w:rPr>
              <w:t>区农业农村局、市生态环境局浈江分局、区卫生和健康局、各镇（办）</w:t>
            </w:r>
          </w:p>
        </w:tc>
        <w:tc>
          <w:tcPr>
            <w:tcW w:w="1095" w:type="dxa"/>
            <w:vAlign w:val="center"/>
          </w:tcPr>
          <w:p>
            <w:pPr>
              <w:pStyle w:val="2"/>
              <w:ind w:firstLine="0" w:firstLineChars="0"/>
              <w:jc w:val="center"/>
            </w:pPr>
            <w:r>
              <w:rPr>
                <w:rFonts w:hint="eastAsia"/>
              </w:rPr>
              <w:t>何爱华</w:t>
            </w:r>
          </w:p>
          <w:p>
            <w:pPr>
              <w:pStyle w:val="2"/>
              <w:ind w:firstLine="0" w:firstLineChars="0"/>
              <w:jc w:val="center"/>
            </w:pPr>
            <w:r>
              <w:rPr>
                <w:rFonts w:hint="eastAsia"/>
              </w:rPr>
              <w:t>徐湘宜</w:t>
            </w:r>
          </w:p>
          <w:p>
            <w:pPr>
              <w:pStyle w:val="2"/>
              <w:ind w:firstLine="0" w:firstLineChars="0"/>
              <w:jc w:val="center"/>
              <w:rPr>
                <w:color w:val="auto"/>
                <w:szCs w:val="21"/>
              </w:rPr>
            </w:pPr>
            <w:r>
              <w:rPr>
                <w:rFonts w:hint="eastAsia"/>
              </w:rPr>
              <w:t>马细妹</w:t>
            </w:r>
          </w:p>
        </w:tc>
        <w:tc>
          <w:tcPr>
            <w:tcW w:w="6855" w:type="dxa"/>
            <w:vAlign w:val="center"/>
          </w:tcPr>
          <w:p>
            <w:pPr>
              <w:pStyle w:val="2"/>
              <w:ind w:firstLine="0" w:firstLineChars="0"/>
              <w:rPr>
                <w:szCs w:val="21"/>
              </w:rPr>
            </w:pPr>
            <w:r>
              <w:rPr>
                <w:rFonts w:hint="eastAsia"/>
                <w:szCs w:val="21"/>
              </w:rPr>
              <w:t>强化监督考核，把集中供水全覆盖工作纳入乡村振兴等相关考核，合理运用考核结果。以农村“千吨万人”水源地为重点，开展水源地环境问题排查，建立问题清单，2023年底前基本完成环境问题整治工作。配合市级做好水源水质状况监测，指导各地对水质不达标水源地开展分类整治，科学运用水源替代、集中供水、污染综合整治、水厂深度处理等措施，积极提升水源水质。</w:t>
            </w:r>
          </w:p>
          <w:p>
            <w:pPr>
              <w:pStyle w:val="2"/>
              <w:ind w:firstLine="0" w:firstLineChars="0"/>
              <w:rPr>
                <w:szCs w:val="21"/>
              </w:rPr>
            </w:pP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全</w:t>
            </w:r>
            <w:r>
              <w:rPr>
                <w:rFonts w:hint="eastAsia"/>
                <w:color w:val="000000" w:themeColor="text1"/>
                <w:szCs w:val="21"/>
                <w:highlight w:val="none"/>
                <w:lang w:eastAsia="zh-CN"/>
                <w14:textFill>
                  <w14:solidFill>
                    <w14:schemeClr w14:val="tx1"/>
                  </w14:solidFill>
                </w14:textFill>
              </w:rPr>
              <w:t>区</w:t>
            </w:r>
            <w:r>
              <w:rPr>
                <w:rFonts w:hint="eastAsia"/>
                <w:color w:val="000000" w:themeColor="text1"/>
                <w:szCs w:val="21"/>
                <w:highlight w:val="none"/>
                <w14:textFill>
                  <w14:solidFill>
                    <w14:schemeClr w14:val="tx1"/>
                  </w14:solidFill>
                </w14:textFill>
              </w:rPr>
              <w:t>已完成农村集中供水全覆盖</w:t>
            </w:r>
            <w:r>
              <w:rPr>
                <w:rFonts w:hint="eastAsia"/>
                <w:color w:val="000000" w:themeColor="text1"/>
                <w:szCs w:val="21"/>
                <w:highlight w:val="none"/>
                <w:lang w:eastAsia="zh-CN"/>
                <w14:textFill>
                  <w14:solidFill>
                    <w14:schemeClr w14:val="tx1"/>
                  </w14:solidFill>
                </w14:textFill>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2381" w:type="dxa"/>
            <w:vMerge w:val="restart"/>
            <w:vAlign w:val="center"/>
          </w:tcPr>
          <w:p>
            <w:pPr>
              <w:ind w:firstLine="420" w:firstLineChars="200"/>
              <w:rPr>
                <w:rFonts w:eastAsia="楷体_GB2312"/>
                <w:color w:val="000000"/>
                <w:szCs w:val="21"/>
              </w:rPr>
            </w:pPr>
            <w:r>
              <w:rPr>
                <w:rFonts w:eastAsia="楷体_GB2312"/>
                <w:color w:val="000000"/>
                <w:szCs w:val="21"/>
              </w:rPr>
              <w:t>十</w:t>
            </w:r>
            <w:r>
              <w:rPr>
                <w:rFonts w:hint="eastAsia" w:eastAsia="楷体_GB2312"/>
                <w:color w:val="000000"/>
                <w:szCs w:val="21"/>
              </w:rPr>
              <w:t>、</w:t>
            </w:r>
            <w:r>
              <w:rPr>
                <w:rFonts w:eastAsia="楷体_GB2312"/>
                <w:color w:val="000000"/>
                <w:szCs w:val="21"/>
              </w:rPr>
              <w:t>一些部门和地方在处理生态环境管理新问题上责任意识不强</w:t>
            </w:r>
            <w:r>
              <w:rPr>
                <w:rFonts w:hint="eastAsia" w:eastAsia="楷体_GB2312"/>
                <w:color w:val="000000"/>
                <w:szCs w:val="21"/>
              </w:rPr>
              <w:t>，</w:t>
            </w:r>
            <w:r>
              <w:rPr>
                <w:rFonts w:eastAsia="楷体_GB2312"/>
                <w:color w:val="000000"/>
                <w:szCs w:val="21"/>
              </w:rPr>
              <w:t>统筹不力</w:t>
            </w:r>
            <w:r>
              <w:rPr>
                <w:rFonts w:hint="eastAsia" w:eastAsia="楷体_GB2312"/>
                <w:color w:val="000000"/>
                <w:szCs w:val="21"/>
              </w:rPr>
              <w:t>，</w:t>
            </w:r>
            <w:r>
              <w:rPr>
                <w:rFonts w:eastAsia="楷体_GB2312"/>
                <w:color w:val="000000"/>
                <w:szCs w:val="21"/>
              </w:rPr>
              <w:t>魄力不足。近年来</w:t>
            </w:r>
            <w:r>
              <w:rPr>
                <w:rFonts w:hint="eastAsia" w:eastAsia="楷体_GB2312"/>
                <w:color w:val="000000"/>
                <w:szCs w:val="21"/>
              </w:rPr>
              <w:t>，</w:t>
            </w:r>
            <w:r>
              <w:rPr>
                <w:rFonts w:eastAsia="楷体_GB2312"/>
                <w:color w:val="000000"/>
                <w:szCs w:val="21"/>
              </w:rPr>
              <w:t>珠三角河道非法洗砂洗泥行为日益猖獗</w:t>
            </w:r>
            <w:r>
              <w:rPr>
                <w:rFonts w:hint="eastAsia" w:eastAsia="楷体_GB2312"/>
                <w:color w:val="000000"/>
                <w:szCs w:val="21"/>
              </w:rPr>
              <w:t>，</w:t>
            </w:r>
            <w:r>
              <w:rPr>
                <w:rFonts w:eastAsia="楷体_GB2312"/>
                <w:color w:val="000000"/>
                <w:szCs w:val="21"/>
              </w:rPr>
              <w:t>污染河道水质</w:t>
            </w:r>
            <w:r>
              <w:rPr>
                <w:rFonts w:hint="eastAsia" w:eastAsia="楷体_GB2312"/>
                <w:color w:val="000000"/>
                <w:szCs w:val="21"/>
              </w:rPr>
              <w:t>，</w:t>
            </w:r>
            <w:r>
              <w:rPr>
                <w:rFonts w:eastAsia="楷体_GB2312"/>
                <w:color w:val="000000"/>
                <w:szCs w:val="21"/>
              </w:rPr>
              <w:t>改变河床形态</w:t>
            </w:r>
            <w:r>
              <w:rPr>
                <w:rFonts w:hint="eastAsia" w:eastAsia="楷体_GB2312"/>
                <w:color w:val="000000"/>
                <w:szCs w:val="21"/>
              </w:rPr>
              <w:t>，</w:t>
            </w:r>
            <w:r>
              <w:rPr>
                <w:rFonts w:eastAsia="楷体_GB2312"/>
                <w:color w:val="000000"/>
                <w:szCs w:val="21"/>
              </w:rPr>
              <w:t>威胁行洪和航道安全</w:t>
            </w:r>
            <w:r>
              <w:rPr>
                <w:rFonts w:hint="eastAsia" w:eastAsia="楷体_GB2312"/>
                <w:color w:val="000000"/>
                <w:szCs w:val="21"/>
              </w:rPr>
              <w:t>，</w:t>
            </w:r>
            <w:r>
              <w:rPr>
                <w:rFonts w:eastAsia="楷体_GB2312"/>
                <w:color w:val="000000"/>
                <w:szCs w:val="21"/>
              </w:rPr>
              <w:t>对水生生物栖息繁衍带来不良影响。省直有关部门对此重视不够</w:t>
            </w:r>
            <w:r>
              <w:rPr>
                <w:rFonts w:hint="eastAsia" w:eastAsia="楷体_GB2312"/>
                <w:color w:val="000000"/>
                <w:szCs w:val="21"/>
              </w:rPr>
              <w:t>，</w:t>
            </w:r>
            <w:r>
              <w:rPr>
                <w:rFonts w:eastAsia="楷体_GB2312"/>
                <w:color w:val="000000"/>
                <w:szCs w:val="21"/>
              </w:rPr>
              <w:t>主动作为不足</w:t>
            </w:r>
            <w:r>
              <w:rPr>
                <w:rFonts w:hint="eastAsia" w:eastAsia="楷体_GB2312"/>
                <w:color w:val="000000"/>
                <w:szCs w:val="21"/>
              </w:rPr>
              <w:t>，</w:t>
            </w:r>
            <w:r>
              <w:rPr>
                <w:rFonts w:eastAsia="楷体_GB2312"/>
                <w:color w:val="000000"/>
                <w:szCs w:val="21"/>
              </w:rPr>
              <w:t>既没有充分行使各部门现有职能严厉打击</w:t>
            </w:r>
            <w:r>
              <w:rPr>
                <w:rFonts w:hint="eastAsia" w:eastAsia="楷体_GB2312"/>
                <w:color w:val="000000"/>
                <w:szCs w:val="21"/>
              </w:rPr>
              <w:t>，</w:t>
            </w:r>
            <w:r>
              <w:rPr>
                <w:rFonts w:eastAsia="楷体_GB2312"/>
                <w:color w:val="000000"/>
                <w:szCs w:val="21"/>
              </w:rPr>
              <w:t>也没有研究如何加强规范引导。有关地市和部门虽然多次开展联合执法</w:t>
            </w:r>
            <w:r>
              <w:rPr>
                <w:rFonts w:hint="eastAsia" w:eastAsia="楷体_GB2312"/>
                <w:color w:val="000000"/>
                <w:szCs w:val="21"/>
              </w:rPr>
              <w:t>，</w:t>
            </w:r>
            <w:r>
              <w:rPr>
                <w:rFonts w:eastAsia="楷体_GB2312"/>
                <w:color w:val="000000"/>
                <w:szCs w:val="21"/>
              </w:rPr>
              <w:t>但执法效果欠佳</w:t>
            </w:r>
            <w:r>
              <w:rPr>
                <w:rFonts w:hint="eastAsia" w:eastAsia="楷体_GB2312"/>
                <w:color w:val="000000"/>
                <w:szCs w:val="21"/>
              </w:rPr>
              <w:t>，</w:t>
            </w:r>
            <w:r>
              <w:rPr>
                <w:rFonts w:eastAsia="楷体_GB2312"/>
                <w:color w:val="000000"/>
                <w:szCs w:val="21"/>
              </w:rPr>
              <w:t>监管力度不够</w:t>
            </w:r>
            <w:r>
              <w:rPr>
                <w:rFonts w:hint="eastAsia" w:eastAsia="楷体_GB2312"/>
                <w:color w:val="000000"/>
                <w:szCs w:val="21"/>
              </w:rPr>
              <w:t>，</w:t>
            </w:r>
            <w:r>
              <w:rPr>
                <w:rFonts w:eastAsia="楷体_GB2312"/>
                <w:color w:val="000000"/>
                <w:szCs w:val="21"/>
              </w:rPr>
              <w:t>甚至出现作业船只和监管部门</w:t>
            </w:r>
            <w:r>
              <w:rPr>
                <w:rFonts w:hint="eastAsia" w:eastAsia="楷体_GB2312"/>
                <w:color w:val="000000"/>
                <w:szCs w:val="21"/>
              </w:rPr>
              <w:t>“</w:t>
            </w:r>
            <w:r>
              <w:rPr>
                <w:rFonts w:eastAsia="楷体_GB2312"/>
                <w:color w:val="000000"/>
                <w:szCs w:val="21"/>
              </w:rPr>
              <w:t>打游击</w:t>
            </w:r>
            <w:r>
              <w:rPr>
                <w:rFonts w:hint="eastAsia" w:eastAsia="楷体_GB2312"/>
                <w:color w:val="000000"/>
                <w:szCs w:val="21"/>
              </w:rPr>
              <w:t>”</w:t>
            </w:r>
            <w:r>
              <w:rPr>
                <w:rFonts w:eastAsia="楷体_GB2312"/>
                <w:color w:val="000000"/>
                <w:szCs w:val="21"/>
              </w:rPr>
              <w:t>现象</w:t>
            </w:r>
            <w:r>
              <w:rPr>
                <w:rFonts w:hint="eastAsia" w:eastAsia="楷体_GB2312"/>
                <w:color w:val="000000"/>
                <w:szCs w:val="21"/>
              </w:rPr>
              <w:t>，</w:t>
            </w:r>
            <w:r>
              <w:rPr>
                <w:rFonts w:eastAsia="楷体_GB2312"/>
                <w:color w:val="000000"/>
                <w:szCs w:val="21"/>
              </w:rPr>
              <w:t>非法洗砂洗泥未能得到有效遏制。</w:t>
            </w:r>
          </w:p>
        </w:tc>
        <w:tc>
          <w:tcPr>
            <w:tcW w:w="1020" w:type="dxa"/>
            <w:vMerge w:val="restart"/>
            <w:vAlign w:val="center"/>
          </w:tcPr>
          <w:p>
            <w:pPr>
              <w:pStyle w:val="2"/>
              <w:ind w:firstLine="0" w:firstLineChars="0"/>
              <w:rPr>
                <w:szCs w:val="21"/>
              </w:rPr>
            </w:pPr>
            <w:r>
              <w:rPr>
                <w:rFonts w:hint="eastAsia"/>
                <w:szCs w:val="21"/>
              </w:rPr>
              <w:t>迅速遏制非法洗砂洗泥活动多发势头，逐步建立健全打击非法洗砂洗泥长效监管机制，有效维护全市河道水生态环境健康、可持续发展。</w:t>
            </w:r>
          </w:p>
        </w:tc>
        <w:tc>
          <w:tcPr>
            <w:tcW w:w="840" w:type="dxa"/>
            <w:vMerge w:val="restart"/>
            <w:vAlign w:val="center"/>
          </w:tcPr>
          <w:p>
            <w:pPr>
              <w:rPr>
                <w:rFonts w:eastAsia="楷体_GB2312"/>
                <w:color w:val="000000"/>
                <w:szCs w:val="21"/>
              </w:rPr>
            </w:pPr>
            <w:r>
              <w:rPr>
                <w:rFonts w:eastAsia="楷体_GB2312"/>
                <w:color w:val="000000"/>
                <w:szCs w:val="21"/>
              </w:rPr>
              <w:t>2023年年底前</w:t>
            </w:r>
          </w:p>
          <w:p>
            <w:pPr>
              <w:pStyle w:val="2"/>
              <w:ind w:firstLine="0" w:firstLineChars="0"/>
              <w:rPr>
                <w:szCs w:val="21"/>
              </w:rPr>
            </w:pPr>
          </w:p>
        </w:tc>
        <w:tc>
          <w:tcPr>
            <w:tcW w:w="1155" w:type="dxa"/>
            <w:vMerge w:val="restart"/>
            <w:vAlign w:val="center"/>
          </w:tcPr>
          <w:p>
            <w:pPr>
              <w:pStyle w:val="2"/>
              <w:ind w:firstLine="0" w:firstLineChars="0"/>
              <w:rPr>
                <w:szCs w:val="21"/>
              </w:rPr>
            </w:pPr>
            <w:r>
              <w:rPr>
                <w:rFonts w:hint="eastAsia"/>
                <w:szCs w:val="21"/>
              </w:rPr>
              <w:t>区农业农村局、市公安局浈江分局、区住建局、区司法局、区自然资源局、区市场监督管理局、市生态环境局浈江分局、各镇（办）</w:t>
            </w:r>
          </w:p>
        </w:tc>
        <w:tc>
          <w:tcPr>
            <w:tcW w:w="1095" w:type="dxa"/>
            <w:vMerge w:val="restart"/>
            <w:vAlign w:val="center"/>
          </w:tcPr>
          <w:p>
            <w:pPr>
              <w:pStyle w:val="2"/>
              <w:ind w:firstLine="0" w:firstLineChars="0"/>
            </w:pPr>
            <w:r>
              <w:rPr>
                <w:rFonts w:hint="eastAsia"/>
              </w:rPr>
              <w:t>何爱华</w:t>
            </w:r>
          </w:p>
          <w:p>
            <w:pPr>
              <w:pStyle w:val="2"/>
              <w:ind w:firstLine="0" w:firstLineChars="0"/>
            </w:pPr>
            <w:r>
              <w:rPr>
                <w:rFonts w:hint="eastAsia"/>
              </w:rPr>
              <w:t>李朝亮</w:t>
            </w:r>
          </w:p>
          <w:p>
            <w:pPr>
              <w:pStyle w:val="2"/>
              <w:ind w:firstLine="0" w:firstLineChars="0"/>
            </w:pPr>
            <w:r>
              <w:rPr>
                <w:rFonts w:hint="eastAsia"/>
              </w:rPr>
              <w:t>徐湘宜</w:t>
            </w:r>
          </w:p>
          <w:p>
            <w:pPr>
              <w:pStyle w:val="2"/>
              <w:ind w:firstLine="0" w:firstLineChars="0"/>
              <w:rPr>
                <w:color w:val="auto"/>
                <w:szCs w:val="21"/>
              </w:rPr>
            </w:pPr>
            <w:r>
              <w:rPr>
                <w:rFonts w:hint="eastAsia"/>
              </w:rPr>
              <w:t>陈晟平</w:t>
            </w:r>
          </w:p>
        </w:tc>
        <w:tc>
          <w:tcPr>
            <w:tcW w:w="6855" w:type="dxa"/>
            <w:vAlign w:val="center"/>
          </w:tcPr>
          <w:p>
            <w:pPr>
              <w:pStyle w:val="2"/>
              <w:ind w:firstLine="0" w:firstLineChars="0"/>
              <w:rPr>
                <w:szCs w:val="21"/>
              </w:rPr>
            </w:pPr>
            <w:r>
              <w:rPr>
                <w:rFonts w:hint="eastAsia"/>
                <w:szCs w:val="21"/>
              </w:rPr>
              <w:t>（一）加强组织领导，建立健全监管工作机制。区河长办参照市的做法，建立强有力的工作机制，全力以赴抓好问题整改落实。</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ascii="楷体_GB2312" w:hAnsi="楷体_GB2312" w:cs="楷体_GB2312"/>
                <w:color w:val="000000" w:themeColor="text1"/>
                <w:szCs w:val="21"/>
                <w14:textFill>
                  <w14:solidFill>
                    <w14:schemeClr w14:val="tx1"/>
                  </w14:solidFill>
                </w14:textFill>
              </w:rPr>
              <w:t>按照市河长办工作部署要求，我区结合实际情况，于</w:t>
            </w:r>
            <w:r>
              <w:rPr>
                <w:rFonts w:hint="eastAsia" w:ascii="楷体_GB2312" w:hAnsi="楷体_GB2312" w:cs="楷体_GB2312"/>
                <w:color w:val="000000" w:themeColor="text1"/>
                <w:szCs w:val="21"/>
                <w:lang w:val="en-US" w:eastAsia="zh-CN"/>
                <w14:textFill>
                  <w14:solidFill>
                    <w14:schemeClr w14:val="tx1"/>
                  </w14:solidFill>
                </w14:textFill>
              </w:rPr>
              <w:t>2022年</w:t>
            </w:r>
            <w:r>
              <w:rPr>
                <w:rFonts w:hint="eastAsia" w:ascii="楷体_GB2312" w:hAnsi="楷体_GB2312" w:cs="楷体_GB2312"/>
                <w:color w:val="000000" w:themeColor="text1"/>
                <w:szCs w:val="21"/>
                <w14:textFill>
                  <w14:solidFill>
                    <w14:schemeClr w14:val="tx1"/>
                  </w14:solidFill>
                </w14:textFill>
              </w:rPr>
              <w:t>5月20日印发了《韶关市浈江区河道水域非法洗砂洗泥问题整改工作方案》，成立了浈江区河道水域非法洗砂洗泥问题整改工作领导小组及领导小组办公室，建立了强有力的工作机制，细化职责分工，全力以赴开展排查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81" w:type="dxa"/>
            <w:vMerge w:val="continue"/>
            <w:vAlign w:val="center"/>
          </w:tcPr>
          <w:p>
            <w:pPr>
              <w:ind w:firstLine="420" w:firstLineChars="200"/>
              <w:rPr>
                <w:rFonts w:eastAsia="楷体_GB2312"/>
                <w:color w:val="000000"/>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color w:val="FF0000"/>
                <w:szCs w:val="21"/>
              </w:rPr>
            </w:pPr>
            <w:r>
              <w:rPr>
                <w:rFonts w:hint="eastAsia"/>
                <w:color w:val="000000" w:themeColor="text1"/>
                <w:szCs w:val="21"/>
                <w14:textFill>
                  <w14:solidFill>
                    <w14:schemeClr w14:val="tx1"/>
                  </w14:solidFill>
                </w14:textFill>
              </w:rPr>
              <w:t>（二）举一反三，按部门监管职责依法进一步摸查全区相关情况。对河道水域内泡洗山砂、建筑垃圾、淤泥的情况进行摸查，对水上洗砂洗泥情况进行分析，查找“开采、运输、泡洗、使用”等环节存在的问题，强化规范管理。</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根据《韶关市河道水域非法洗砂洗泥问题整改工作方案》要求，我区已于2022年5月组织开展了河道水域非法泡洗海砂山砂摸排工作。经过全域排查，我区未发现河道内有非法洗砂、洗泥等行为。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（三）发布通告，全面禁止在河道水域内洗砂洗泥行为，全面禁止在河道水域内泡洗山砂、建筑垃圾、淤泥等行为。 </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区河长办在浈江区政府门户网和浈江发布等平台发布《关于禁止在全区河道水域洗砂洗泥等污染环境活动的通告》，全面禁止在河道水域内洗砂洗泥行为，全面禁止在河道水域内泡洗山砂、建筑垃圾、淤泥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1" w:type="dxa"/>
            <w:vMerge w:val="continue"/>
            <w:vAlign w:val="center"/>
          </w:tcPr>
          <w:p>
            <w:pPr>
              <w:ind w:firstLine="420" w:firstLineChars="200"/>
              <w:rPr>
                <w:rFonts w:eastAsia="楷体_GB2312"/>
                <w:color w:val="000000"/>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（四）开展联合执法，重拳震慑违法行为。落实属地管理主体责任，组织各相关部门开展专项联合执法行动，严打水上非法洗砂洗泥行为，重点加强对涉嫌违法船只的检查，发现违法违规行为，及时予以处理。</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区各部门高度重视，城管、公安、自然、生态、农业等部门各司其职，按照方案开展了巡查执法行动，同时各镇办根据我区方案要求成立了非法洗泥洗砂问题整改工作领导小组，并按照属地原则开展了联合执法行动，</w:t>
            </w:r>
            <w:r>
              <w:rPr>
                <w:rFonts w:hint="eastAsia"/>
                <w:color w:val="000000" w:themeColor="text1"/>
                <w:szCs w:val="21"/>
                <w:lang w:val="en-US" w:eastAsia="zh-CN"/>
                <w14:textFill>
                  <w14:solidFill>
                    <w14:schemeClr w14:val="tx1"/>
                  </w14:solidFill>
                </w14:textFill>
              </w:rPr>
              <w:t>2022年以来</w:t>
            </w:r>
            <w:r>
              <w:rPr>
                <w:rFonts w:hint="eastAsia"/>
                <w:color w:val="000000" w:themeColor="text1"/>
                <w:szCs w:val="21"/>
                <w14:textFill>
                  <w14:solidFill>
                    <w14:schemeClr w14:val="tx1"/>
                  </w14:solidFill>
                </w14:textFill>
              </w:rPr>
              <w:t>全区共出动执法人员1605次，出动车次426台，有力震慑了违法违规行为，有效维护了河道水域水生态环境安全。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1" w:type="dxa"/>
            <w:vMerge w:val="continue"/>
            <w:vAlign w:val="center"/>
          </w:tcPr>
          <w:p>
            <w:pPr>
              <w:ind w:firstLine="420" w:firstLineChars="200"/>
              <w:rPr>
                <w:rFonts w:eastAsia="楷体_GB2312"/>
                <w:color w:val="000000"/>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五）部门各司其职，强化日常监管。各镇（办）各相关部门要严格落实《广东省人民政府办公厅关于印发广东省促进砂石行业健康有序发展实施方案的通知》《关于加强海砂开采运输销售使用管理工作的通知》要求，各司其职、密切配合，加强“开采、运输、泡洗、使用”等环节全过程动态管理，做好执法监督和线索移交等工作，各部门要强化信息共享，合力推进全链条监管。</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区各司其职，持续排查，按照《非法洗砂洗泥日常监管责任清单》实行日常监管，建立了横向到边、纵向到底的工作责任体系，形成了齐抓共管、多轮驱动的工作合力，进一步压实各地、各有关部门主体责任、监管责任，一旦发现违法违规行为及时查处，有效维护我区河道水域生态健康，促进社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2381" w:type="dxa"/>
            <w:vAlign w:val="center"/>
          </w:tcPr>
          <w:p>
            <w:pPr>
              <w:pStyle w:val="2"/>
              <w:ind w:firstLine="420"/>
              <w:rPr>
                <w:szCs w:val="21"/>
              </w:rPr>
            </w:pPr>
            <w:r>
              <w:rPr>
                <w:rFonts w:hint="eastAsia"/>
                <w:szCs w:val="21"/>
              </w:rPr>
              <w:t>十一、环境基础设施仍有缺口。近年来，广东省大力补齐基础设施短板，但城市生活污水收集率总体水平仍有待提高，污水管网仍存在较大缺口，污水处理效能还不高。2020年全省城市生活污水收集率为67.2%, 其中韶关市、肇庆市等7个地市收集率低于30%,最低的云浮市收集率仅为19.9%。</w:t>
            </w:r>
          </w:p>
        </w:tc>
        <w:tc>
          <w:tcPr>
            <w:tcW w:w="1020" w:type="dxa"/>
            <w:vAlign w:val="center"/>
          </w:tcPr>
          <w:p>
            <w:pPr>
              <w:pStyle w:val="2"/>
              <w:ind w:firstLine="0" w:firstLineChars="0"/>
              <w:rPr>
                <w:szCs w:val="21"/>
              </w:rPr>
            </w:pPr>
            <w:r>
              <w:rPr>
                <w:rFonts w:hint="eastAsia" w:ascii="Times New Roman" w:hAnsi="Times New Roman"/>
              </w:rPr>
              <w:t>城区污水收集率达到45%以上。</w:t>
            </w:r>
          </w:p>
        </w:tc>
        <w:tc>
          <w:tcPr>
            <w:tcW w:w="840" w:type="dxa"/>
            <w:vAlign w:val="center"/>
          </w:tcPr>
          <w:p>
            <w:pPr>
              <w:pStyle w:val="2"/>
              <w:ind w:firstLine="0" w:firstLineChars="0"/>
              <w:rPr>
                <w:szCs w:val="21"/>
              </w:rPr>
            </w:pPr>
            <w:r>
              <w:rPr>
                <w:rFonts w:ascii="Times New Roman" w:hAnsi="Times New Roman"/>
              </w:rPr>
              <w:t>2025年年底前</w:t>
            </w:r>
          </w:p>
        </w:tc>
        <w:tc>
          <w:tcPr>
            <w:tcW w:w="1155" w:type="dxa"/>
            <w:vAlign w:val="center"/>
          </w:tcPr>
          <w:p>
            <w:pPr>
              <w:pStyle w:val="2"/>
              <w:ind w:firstLine="0" w:firstLineChars="0"/>
              <w:rPr>
                <w:szCs w:val="21"/>
              </w:rPr>
            </w:pPr>
            <w:r>
              <w:rPr>
                <w:rFonts w:hint="eastAsia"/>
              </w:rPr>
              <w:t>区住建局、区城管和执法局、各镇（办）</w:t>
            </w:r>
          </w:p>
        </w:tc>
        <w:tc>
          <w:tcPr>
            <w:tcW w:w="1095" w:type="dxa"/>
            <w:vAlign w:val="center"/>
          </w:tcPr>
          <w:p>
            <w:pPr>
              <w:pStyle w:val="2"/>
              <w:ind w:firstLine="0" w:firstLineChars="0"/>
            </w:pPr>
            <w:r>
              <w:rPr>
                <w:rFonts w:hint="eastAsia"/>
              </w:rPr>
              <w:t>何爱华</w:t>
            </w:r>
          </w:p>
          <w:p>
            <w:pPr>
              <w:pStyle w:val="2"/>
              <w:ind w:firstLine="0" w:firstLineChars="0"/>
              <w:jc w:val="center"/>
              <w:rPr>
                <w:color w:val="auto"/>
                <w:szCs w:val="21"/>
              </w:rPr>
            </w:pPr>
            <w:r>
              <w:rPr>
                <w:rFonts w:hint="eastAsia"/>
              </w:rPr>
              <w:t>徐湘宜</w:t>
            </w:r>
          </w:p>
        </w:tc>
        <w:tc>
          <w:tcPr>
            <w:tcW w:w="6855" w:type="dxa"/>
            <w:vAlign w:val="center"/>
          </w:tcPr>
          <w:p>
            <w:pPr>
              <w:pStyle w:val="2"/>
              <w:ind w:firstLine="0" w:firstLineChars="0"/>
              <w:rPr>
                <w:szCs w:val="21"/>
              </w:rPr>
            </w:pPr>
            <w:r>
              <w:rPr>
                <w:rFonts w:hint="eastAsia"/>
                <w:szCs w:val="21"/>
              </w:rPr>
              <w:t>大力配合市级部门补强污水管网短板。配合市级部门完善污水管网布局，扎实推进老城区雨污分流、清污分流改造。在已有工作基础上，进一步增强污水处理能力。</w:t>
            </w:r>
          </w:p>
          <w:p>
            <w:pPr>
              <w:pStyle w:val="2"/>
              <w:ind w:firstLine="0" w:firstLineChars="0"/>
              <w:rPr>
                <w:szCs w:val="21"/>
              </w:rPr>
            </w:pP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市辖三区范围内的污水管网建设工作由市水投公司统筹负责，我区主要负责雨水管网管护工作。2022年以来，涉及我区的城镇生活污水处理设施项目共4项，分别为：武江支流十里亭段生态环境系统保护修复工程</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、韶关市区污水管网建设与提升项目（首期）</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、韶关市第一污水处理厂出水水质提标改造项目</w:t>
            </w:r>
            <w:r>
              <w:rPr>
                <w:rFonts w:hint="eastAsia"/>
                <w:color w:val="000000" w:themeColor="text1"/>
                <w:szCs w:val="21"/>
                <w:lang w:eastAsia="zh-CN"/>
                <w14:textFill>
                  <w14:solidFill>
                    <w14:schemeClr w14:val="tx1"/>
                  </w14:solidFill>
                </w14:textFill>
              </w:rPr>
              <w:t>（已完工）</w:t>
            </w:r>
            <w:r>
              <w:rPr>
                <w:rFonts w:hint="eastAsia"/>
                <w:color w:val="000000" w:themeColor="text1"/>
                <w:szCs w:val="21"/>
                <w14:textFill>
                  <w14:solidFill>
                    <w14:schemeClr w14:val="tx1"/>
                  </w14:solidFill>
                </w14:textFill>
              </w:rPr>
              <w:t>、市供水管道改造和污水处理工程——供水管道改造部分（二期）</w:t>
            </w:r>
            <w:r>
              <w:rPr>
                <w:rFonts w:hint="eastAsia"/>
                <w:color w:val="000000" w:themeColor="text1"/>
                <w:szCs w:val="21"/>
                <w:lang w:eastAsia="zh-CN"/>
                <w14:textFill>
                  <w14:solidFill>
                    <w14:schemeClr w14:val="tx1"/>
                  </w14:solidFill>
                </w14:textFill>
              </w:rPr>
              <w:t>（目前仍在建设中）</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381" w:type="dxa"/>
            <w:vMerge w:val="restart"/>
            <w:vAlign w:val="center"/>
          </w:tcPr>
          <w:p>
            <w:pPr>
              <w:pStyle w:val="2"/>
              <w:ind w:firstLine="420"/>
              <w:rPr>
                <w:szCs w:val="21"/>
              </w:rPr>
            </w:pPr>
            <w:r>
              <w:rPr>
                <w:rFonts w:hint="eastAsia"/>
                <w:szCs w:val="21"/>
              </w:rPr>
              <w:t>十二、韶关市城区污水收集率只有24.6%,每天约13万吨污水直排。全市98个在用的城镇污水处理厂中，约一半进水COD浓度低于60毫克/升，其中12个镇级污水处理厂进水COD浓度低于30毫克/升，清水进清水出。</w:t>
            </w:r>
          </w:p>
        </w:tc>
        <w:tc>
          <w:tcPr>
            <w:tcW w:w="1020" w:type="dxa"/>
            <w:vMerge w:val="restart"/>
            <w:vAlign w:val="center"/>
          </w:tcPr>
          <w:p>
            <w:pPr>
              <w:pStyle w:val="2"/>
              <w:ind w:firstLine="0" w:firstLineChars="0"/>
              <w:rPr>
                <w:szCs w:val="21"/>
              </w:rPr>
            </w:pPr>
            <w:r>
              <w:rPr>
                <w:rFonts w:hint="eastAsia" w:ascii="Times New Roman" w:hAnsi="Times New Roman"/>
              </w:rPr>
              <w:t>韶关市城区污水收集率达到 45%以上;城市污水处理厂进水 COD 平均浓度达到 130mg/L 以上,乡镇污水处理厂进水 COD 平均浓度达到 80mg/L 以上。</w:t>
            </w:r>
          </w:p>
        </w:tc>
        <w:tc>
          <w:tcPr>
            <w:tcW w:w="840" w:type="dxa"/>
            <w:vMerge w:val="restart"/>
            <w:vAlign w:val="center"/>
          </w:tcPr>
          <w:p>
            <w:pPr>
              <w:pStyle w:val="2"/>
              <w:ind w:firstLine="0" w:firstLineChars="0"/>
              <w:rPr>
                <w:szCs w:val="21"/>
              </w:rPr>
            </w:pPr>
            <w:r>
              <w:rPr>
                <w:rFonts w:hint="eastAsia"/>
                <w:szCs w:val="21"/>
              </w:rPr>
              <w:t>2025年年底前</w:t>
            </w:r>
          </w:p>
        </w:tc>
        <w:tc>
          <w:tcPr>
            <w:tcW w:w="1155" w:type="dxa"/>
            <w:vMerge w:val="restart"/>
            <w:vAlign w:val="center"/>
          </w:tcPr>
          <w:p>
            <w:pPr>
              <w:pStyle w:val="2"/>
              <w:ind w:firstLine="0" w:firstLineChars="0"/>
              <w:rPr>
                <w:szCs w:val="21"/>
              </w:rPr>
            </w:pPr>
            <w:r>
              <w:rPr>
                <w:rFonts w:hint="eastAsia"/>
              </w:rPr>
              <w:t>区住建局、区城管和执法局、市生态环境局浈江分局、各镇（办）</w:t>
            </w:r>
          </w:p>
        </w:tc>
        <w:tc>
          <w:tcPr>
            <w:tcW w:w="1095" w:type="dxa"/>
            <w:vMerge w:val="restart"/>
            <w:vAlign w:val="center"/>
          </w:tcPr>
          <w:p>
            <w:pPr>
              <w:pStyle w:val="2"/>
              <w:ind w:firstLine="0" w:firstLineChars="0"/>
            </w:pPr>
            <w:r>
              <w:rPr>
                <w:rFonts w:hint="eastAsia"/>
              </w:rPr>
              <w:t>何爱华</w:t>
            </w:r>
          </w:p>
          <w:p>
            <w:pPr>
              <w:pStyle w:val="2"/>
              <w:ind w:firstLine="0" w:firstLineChars="0"/>
              <w:jc w:val="center"/>
              <w:rPr>
                <w:color w:val="auto"/>
                <w:szCs w:val="21"/>
              </w:rPr>
            </w:pPr>
            <w:r>
              <w:rPr>
                <w:rFonts w:hint="eastAsia"/>
              </w:rPr>
              <w:t>徐湘宜</w:t>
            </w:r>
          </w:p>
        </w:tc>
        <w:tc>
          <w:tcPr>
            <w:tcW w:w="6855" w:type="dxa"/>
            <w:vAlign w:val="center"/>
          </w:tcPr>
          <w:p>
            <w:pPr>
              <w:pStyle w:val="2"/>
              <w:ind w:firstLine="0" w:firstLineChars="0"/>
              <w:rPr>
                <w:szCs w:val="21"/>
              </w:rPr>
            </w:pPr>
            <w:r>
              <w:rPr>
                <w:rFonts w:hint="eastAsia"/>
                <w:szCs w:val="21"/>
              </w:rPr>
              <w:t xml:space="preserve"> （一）大力配合市级部门补强污水管网短板。配合市级部门完善城市污水管网布局，扎实推进老城区雨污分流、清污分流改造。</w:t>
            </w:r>
          </w:p>
        </w:tc>
        <w:tc>
          <w:tcPr>
            <w:tcW w:w="6583" w:type="dxa"/>
            <w:vAlign w:val="center"/>
          </w:tcPr>
          <w:p>
            <w:pPr>
              <w:pStyle w:val="2"/>
              <w:ind w:firstLine="0" w:firstLineChars="0"/>
              <w:rPr>
                <w:rFonts w:hint="eastAsia" w:eastAsia="楷体_GB2312"/>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根据</w:t>
            </w:r>
            <w:r>
              <w:rPr>
                <w:rFonts w:hint="eastAsia" w:ascii="楷体_GB2312" w:hAnsi="楷体_GB2312" w:cs="楷体_GB2312"/>
                <w:color w:val="auto"/>
                <w:szCs w:val="21"/>
                <w:lang w:val="en-US" w:eastAsia="zh-CN"/>
              </w:rPr>
              <w:t>《市住建管理局关于下达“十四五”城镇生活污水处理目标任务的通知》，</w:t>
            </w:r>
            <w:r>
              <w:rPr>
                <w:rFonts w:hint="eastAsia"/>
                <w:color w:val="000000" w:themeColor="text1"/>
                <w:szCs w:val="21"/>
                <w14:textFill>
                  <w14:solidFill>
                    <w14:schemeClr w14:val="tx1"/>
                  </w14:solidFill>
                </w14:textFill>
              </w:rPr>
              <w:t>我区推进污水收集率的项目有韶关市供水管道改造和污水处理工程（二期），该项目改造工业西路、韶南大道、风度路、园前路、启明路等道路的供水管道。目前供水管道改造浈江区启明路</w:t>
            </w:r>
            <w:r>
              <w:rPr>
                <w:rFonts w:hint="eastAsia"/>
                <w:color w:val="000000" w:themeColor="text1"/>
                <w:szCs w:val="21"/>
                <w:lang w:eastAsia="zh-CN"/>
                <w14:textFill>
                  <w14:solidFill>
                    <w14:schemeClr w14:val="tx1"/>
                  </w14:solidFill>
                </w14:textFill>
              </w:rPr>
              <w:t>段</w:t>
            </w:r>
            <w:r>
              <w:rPr>
                <w:color w:val="000000" w:themeColor="text1"/>
                <w:szCs w:val="21"/>
                <w:lang w:val="en"/>
                <w14:textFill>
                  <w14:solidFill>
                    <w14:schemeClr w14:val="tx1"/>
                  </w14:solidFill>
                </w14:textFill>
              </w:rPr>
              <w:t>已完工</w:t>
            </w:r>
            <w:r>
              <w:rPr>
                <w:rFonts w:hint="eastAsia"/>
                <w:color w:val="000000" w:themeColor="text1"/>
                <w:szCs w:val="21"/>
                <w14:textFill>
                  <w14:solidFill>
                    <w14:schemeClr w14:val="tx1"/>
                  </w14:solidFill>
                </w14:textFill>
              </w:rPr>
              <w:t>、浈江大道</w:t>
            </w:r>
            <w:r>
              <w:rPr>
                <w:rFonts w:hint="eastAsia"/>
                <w:color w:val="000000" w:themeColor="text1"/>
                <w:szCs w:val="21"/>
                <w:lang w:eastAsia="zh-CN"/>
                <w14:textFill>
                  <w14:solidFill>
                    <w14:schemeClr w14:val="tx1"/>
                  </w14:solidFill>
                </w14:textFill>
              </w:rPr>
              <w:t>路段正在建设。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（二）巩固提升污水处理能力。在已有工作基础上，进一步提升韶关市第一污水处理厂、韶关市第五污水处理厂、花坪镇污水处理厂污水收集处理能力。</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区提升污水处理能力的项目有韶关市第一污水处理厂出水水质提标改造项目，该项目计划在韶关市浈江区十里亭镇金凤坪村新建构筑物总用地面积约800平方米、提标改造总规模为1.5万m3/d.更新设备维持原处理规模不变，增加深度处理工工，同时更换原有污水处理工艺部分老旧设备。目前已完工，正在办理工程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381" w:type="dxa"/>
            <w:vMerge w:val="continue"/>
            <w:vAlign w:val="center"/>
          </w:tcPr>
          <w:p>
            <w:pPr>
              <w:pStyle w:val="2"/>
              <w:ind w:firstLine="0" w:firstLineChars="0"/>
              <w:rPr>
                <w:szCs w:val="21"/>
              </w:rPr>
            </w:pPr>
          </w:p>
        </w:tc>
        <w:tc>
          <w:tcPr>
            <w:tcW w:w="1020" w:type="dxa"/>
            <w:vMerge w:val="continue"/>
            <w:vAlign w:val="center"/>
          </w:tcPr>
          <w:p>
            <w:pPr>
              <w:pStyle w:val="2"/>
              <w:ind w:firstLine="0" w:firstLineChars="0"/>
              <w:rPr>
                <w:szCs w:val="21"/>
              </w:rPr>
            </w:pPr>
          </w:p>
        </w:tc>
        <w:tc>
          <w:tcPr>
            <w:tcW w:w="840" w:type="dxa"/>
            <w:vMerge w:val="continue"/>
            <w:vAlign w:val="center"/>
          </w:tcPr>
          <w:p>
            <w:pPr>
              <w:pStyle w:val="2"/>
              <w:ind w:firstLine="0" w:firstLineChars="0"/>
              <w:rPr>
                <w:szCs w:val="21"/>
              </w:rPr>
            </w:pPr>
          </w:p>
        </w:tc>
        <w:tc>
          <w:tcPr>
            <w:tcW w:w="1155" w:type="dxa"/>
            <w:vMerge w:val="continue"/>
            <w:vAlign w:val="center"/>
          </w:tcPr>
          <w:p>
            <w:pPr>
              <w:pStyle w:val="2"/>
              <w:ind w:firstLine="0" w:firstLineChars="0"/>
              <w:rPr>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三）推进入河排污口整治。深入开展浈江区建成区范围内主要江河及小河涌污水直排口排查、溯源和整改，因地制宜进行控源截污。2022年完成良村排水渠、大陂河污水直排口截污整治；开展全面排查，形成整治台账，完成污水直排口截污整治。</w:t>
            </w:r>
          </w:p>
        </w:tc>
        <w:tc>
          <w:tcPr>
            <w:tcW w:w="6583" w:type="dxa"/>
            <w:vAlign w:val="center"/>
          </w:tcPr>
          <w:p>
            <w:pPr>
              <w:pStyle w:val="2"/>
              <w:ind w:firstLine="0"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一、排查大陂河排污口。按一口一档要求，多次深入大陂河现场摸查入河排污口直排情况，大陂河21个入河排污口现已全部完成登记、建档。</w:t>
            </w:r>
          </w:p>
          <w:p>
            <w:pPr>
              <w:pStyle w:val="2"/>
              <w:ind w:firstLine="0" w:firstLineChars="0"/>
              <w:rPr>
                <w:rFonts w:hint="eastAsia" w:eastAsia="楷体_GB2312"/>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二、按照全市生活污水治理“百日攻坚一年见效三年质变”的工作部署，截止目前，已对大陂河其中12个排口实施修复或接通污水主管，剩余9个排口由市水投集团公司负责整改</w:t>
            </w:r>
            <w:r>
              <w:rPr>
                <w:rFonts w:hint="eastAsia"/>
                <w:color w:val="000000" w:themeColor="text1"/>
                <w:lang w:eastAsia="zh-CN"/>
                <w14:textFill>
                  <w14:solidFill>
                    <w14:schemeClr w14:val="tx1"/>
                  </w14:solidFill>
                </w14:textFill>
              </w:rPr>
              <w:t>。</w:t>
            </w:r>
          </w:p>
          <w:p>
            <w:pPr>
              <w:pStyle w:val="2"/>
              <w:ind w:firstLine="0" w:firstLineChars="0"/>
              <w:rPr>
                <w:color w:val="000000" w:themeColor="text1"/>
                <w14:textFill>
                  <w14:solidFill>
                    <w14:schemeClr w14:val="tx1"/>
                  </w14:solidFill>
                </w14:textFill>
              </w:rPr>
            </w:pPr>
            <w:r>
              <w:rPr>
                <w:color w:val="000000" w:themeColor="text1"/>
                <w:lang w:val="en"/>
                <w14:textFill>
                  <w14:solidFill>
                    <w14:schemeClr w14:val="tx1"/>
                  </w14:solidFill>
                </w14:textFill>
              </w:rPr>
              <w:t xml:space="preserve">  </w:t>
            </w:r>
            <w:r>
              <w:rPr>
                <w:rFonts w:hint="eastAsia"/>
                <w:color w:val="000000" w:themeColor="text1"/>
                <w14:textFill>
                  <w14:solidFill>
                    <w14:schemeClr w14:val="tx1"/>
                  </w14:solidFill>
                </w14:textFill>
              </w:rPr>
              <w:t>冷水坑河道整治工程规划治理总河长为1.27km</w:t>
            </w:r>
            <w:r>
              <w:rPr>
                <w:rFonts w:hint="eastAsia"/>
                <w:color w:val="000000" w:themeColor="text1"/>
                <w:lang w:eastAsia="zh-CN"/>
                <w14:textFill>
                  <w14:solidFill>
                    <w14:schemeClr w14:val="tx1"/>
                  </w14:solidFill>
                </w14:textFill>
              </w:rPr>
              <w:t>，目前该项目</w:t>
            </w:r>
            <w:r>
              <w:rPr>
                <w:rFonts w:hint="eastAsia"/>
                <w:color w:val="000000" w:themeColor="text1"/>
                <w14:textFill>
                  <w14:solidFill>
                    <w14:schemeClr w14:val="tx1"/>
                  </w14:solidFill>
                </w14:textFill>
              </w:rPr>
              <w:t>已完成实施方案编制工作</w:t>
            </w:r>
            <w:r>
              <w:rPr>
                <w:rFonts w:hint="eastAsia"/>
                <w:color w:val="000000" w:themeColor="text1"/>
                <w:lang w:eastAsia="zh-CN"/>
                <w14:textFill>
                  <w14:solidFill>
                    <w14:schemeClr w14:val="tx1"/>
                  </w14:solidFill>
                </w14:textFill>
              </w:rPr>
              <w:t>，工程正在准备建设中</w:t>
            </w:r>
            <w:r>
              <w:rPr>
                <w:rFonts w:hint="eastAsia"/>
                <w:color w:val="000000" w:themeColor="text1"/>
                <w14:textFill>
                  <w14:solidFill>
                    <w14:schemeClr w14:val="tx1"/>
                  </w14:solidFill>
                </w14:textFill>
              </w:rPr>
              <w:t>。良村排水渠共18个排口，目前已整治完成10个排口，剩余排口按照职责分工由市水投整治中。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1" w:type="dxa"/>
            <w:vMerge w:val="restart"/>
            <w:vAlign w:val="center"/>
          </w:tcPr>
          <w:p>
            <w:pPr>
              <w:pStyle w:val="2"/>
              <w:ind w:firstLine="420"/>
            </w:pPr>
            <w:r>
              <w:rPr>
                <w:rFonts w:hint="eastAsia"/>
              </w:rPr>
              <w:t>十三</w:t>
            </w:r>
            <w:r>
              <w:t>、全省国家级和省级自然保护区核心区、缓冲区内小水电站共385座，广东省2017年就开始摸排保护区内小水电站底数，但直到2021年7月，才制定实施方案。南岭国家级自然保护区核心区、缓冲区内小水电站多达80座，当地截至督察进驻时尚未制定清理整改方案；龙牙峡水产种质资源省级自然保护区核心区、 缓冲区内共有5座小水电站，2018年以来当地政府和有关部门默许甚至支持小水电站扩容改造。</w:t>
            </w:r>
          </w:p>
        </w:tc>
        <w:tc>
          <w:tcPr>
            <w:tcW w:w="1020" w:type="dxa"/>
            <w:vMerge w:val="restart"/>
            <w:vAlign w:val="center"/>
          </w:tcPr>
          <w:p>
            <w:pPr>
              <w:pStyle w:val="2"/>
              <w:ind w:firstLine="0" w:firstLineChars="0"/>
            </w:pPr>
            <w:r>
              <w:rPr>
                <w:rFonts w:ascii="Times New Roman" w:hAnsi="Times New Roman"/>
              </w:rPr>
              <w:t>完成全省国家级和省级自然保护区核心区、缓冲区内小水电站退出任务。</w:t>
            </w:r>
          </w:p>
        </w:tc>
        <w:tc>
          <w:tcPr>
            <w:tcW w:w="840" w:type="dxa"/>
            <w:vMerge w:val="restart"/>
            <w:vAlign w:val="center"/>
          </w:tcPr>
          <w:p>
            <w:pPr>
              <w:pStyle w:val="2"/>
              <w:ind w:firstLine="0" w:firstLineChars="0"/>
            </w:pPr>
            <w:r>
              <w:rPr>
                <w:rFonts w:hint="eastAsia"/>
              </w:rPr>
              <w:t>2024年年底前</w:t>
            </w:r>
          </w:p>
        </w:tc>
        <w:tc>
          <w:tcPr>
            <w:tcW w:w="1155" w:type="dxa"/>
            <w:vMerge w:val="restart"/>
            <w:vAlign w:val="center"/>
          </w:tcPr>
          <w:p>
            <w:pPr>
              <w:pStyle w:val="2"/>
              <w:ind w:firstLine="0" w:firstLineChars="0"/>
            </w:pPr>
            <w:r>
              <w:rPr>
                <w:rFonts w:hint="eastAsia"/>
              </w:rPr>
              <w:t>区农业农村局、区自然资源局、各镇（办）</w:t>
            </w:r>
          </w:p>
        </w:tc>
        <w:tc>
          <w:tcPr>
            <w:tcW w:w="1095" w:type="dxa"/>
            <w:vMerge w:val="restart"/>
            <w:vAlign w:val="center"/>
          </w:tcPr>
          <w:p>
            <w:pPr>
              <w:jc w:val="center"/>
              <w:rPr>
                <w:rFonts w:eastAsia="楷体_GB2312"/>
                <w:szCs w:val="21"/>
              </w:rPr>
            </w:pPr>
            <w:r>
              <w:rPr>
                <w:rFonts w:hint="eastAsia" w:eastAsia="楷体_GB2312"/>
                <w:szCs w:val="21"/>
              </w:rPr>
              <w:t>何爱华</w:t>
            </w:r>
          </w:p>
          <w:p>
            <w:pPr>
              <w:jc w:val="center"/>
              <w:rPr>
                <w:rFonts w:eastAsia="楷体_GB2312"/>
                <w:szCs w:val="21"/>
              </w:rPr>
            </w:pPr>
            <w:r>
              <w:rPr>
                <w:rFonts w:hint="eastAsia" w:eastAsia="楷体_GB2312"/>
                <w:szCs w:val="21"/>
              </w:rPr>
              <w:t>徐湘宜</w:t>
            </w:r>
          </w:p>
        </w:tc>
        <w:tc>
          <w:tcPr>
            <w:tcW w:w="6855" w:type="dxa"/>
            <w:vAlign w:val="center"/>
          </w:tcPr>
          <w:p>
            <w:pPr>
              <w:pStyle w:val="2"/>
              <w:ind w:firstLine="0" w:firstLineChars="0"/>
              <w:rPr>
                <w:szCs w:val="21"/>
              </w:rPr>
            </w:pPr>
            <w:r>
              <w:rPr>
                <w:rFonts w:hint="eastAsia"/>
                <w:szCs w:val="21"/>
              </w:rPr>
              <w:t>（一）对照上级成立区级小水电清理整改工作领导小组，加大统筹协调和协作力度,全面推进清理整改工作。</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浈江区</w:t>
            </w:r>
            <w:r>
              <w:rPr>
                <w:rFonts w:hint="eastAsia"/>
                <w:color w:val="000000" w:themeColor="text1"/>
                <w:szCs w:val="21"/>
                <w:lang w:eastAsia="zh-CN"/>
                <w14:textFill>
                  <w14:solidFill>
                    <w14:schemeClr w14:val="tx1"/>
                  </w14:solidFill>
                </w14:textFill>
              </w:rPr>
              <w:t>已</w:t>
            </w:r>
            <w:r>
              <w:rPr>
                <w:rFonts w:hint="eastAsia"/>
                <w:color w:val="000000" w:themeColor="text1"/>
                <w:szCs w:val="21"/>
                <w14:textFill>
                  <w14:solidFill>
                    <w14:schemeClr w14:val="tx1"/>
                  </w14:solidFill>
                </w14:textFill>
              </w:rPr>
              <w:t>成立浈江区小水电清理整改工作领导小组，加强对小水电清理整改工作的统筹，推进各项工作顺利开展。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1" w:type="dxa"/>
            <w:vMerge w:val="continue"/>
            <w:vAlign w:val="center"/>
          </w:tcPr>
          <w:p>
            <w:pPr>
              <w:pStyle w:val="2"/>
              <w:ind w:firstLine="0" w:firstLineChars="0"/>
              <w:rPr>
                <w:color w:val="000000" w:themeColor="text1"/>
                <w14:textFill>
                  <w14:solidFill>
                    <w14:schemeClr w14:val="tx1"/>
                  </w14:solidFill>
                </w14:textFill>
              </w:rPr>
            </w:pPr>
          </w:p>
        </w:tc>
        <w:tc>
          <w:tcPr>
            <w:tcW w:w="1020" w:type="dxa"/>
            <w:vMerge w:val="continue"/>
            <w:vAlign w:val="center"/>
          </w:tcPr>
          <w:p>
            <w:pPr>
              <w:pStyle w:val="2"/>
              <w:ind w:firstLine="0" w:firstLineChars="0"/>
              <w:rPr>
                <w:color w:val="000000" w:themeColor="text1"/>
                <w14:textFill>
                  <w14:solidFill>
                    <w14:schemeClr w14:val="tx1"/>
                  </w14:solidFill>
                </w14:textFill>
              </w:rPr>
            </w:pPr>
          </w:p>
        </w:tc>
        <w:tc>
          <w:tcPr>
            <w:tcW w:w="840" w:type="dxa"/>
            <w:vMerge w:val="continue"/>
            <w:vAlign w:val="center"/>
          </w:tcPr>
          <w:p>
            <w:pPr>
              <w:pStyle w:val="2"/>
              <w:ind w:firstLine="0" w:firstLineChars="0"/>
              <w:rPr>
                <w:color w:val="000000" w:themeColor="text1"/>
                <w14:textFill>
                  <w14:solidFill>
                    <w14:schemeClr w14:val="tx1"/>
                  </w14:solidFill>
                </w14:textFill>
              </w:rPr>
            </w:pPr>
          </w:p>
        </w:tc>
        <w:tc>
          <w:tcPr>
            <w:tcW w:w="1155" w:type="dxa"/>
            <w:vMerge w:val="continue"/>
            <w:vAlign w:val="center"/>
          </w:tcPr>
          <w:p>
            <w:pPr>
              <w:pStyle w:val="2"/>
              <w:ind w:firstLine="0" w:firstLineChars="0"/>
              <w:rPr>
                <w:color w:val="000000" w:themeColor="text1"/>
                <w14:textFill>
                  <w14:solidFill>
                    <w14:schemeClr w14:val="tx1"/>
                  </w14:solidFill>
                </w14:textFill>
              </w:rPr>
            </w:pPr>
          </w:p>
        </w:tc>
        <w:tc>
          <w:tcPr>
            <w:tcW w:w="1095" w:type="dxa"/>
            <w:vMerge w:val="continue"/>
            <w:vAlign w:val="center"/>
          </w:tcPr>
          <w:p>
            <w:pPr>
              <w:pStyle w:val="2"/>
              <w:ind w:firstLine="0" w:firstLineChars="0"/>
              <w:jc w:val="center"/>
              <w:rPr>
                <w:color w:val="000000" w:themeColor="text1"/>
                <w:szCs w:val="21"/>
                <w14:textFill>
                  <w14:solidFill>
                    <w14:schemeClr w14:val="tx1"/>
                  </w14:solidFill>
                </w14:textFill>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（二）1.编制区级小水电清理整改工作实施方案，明确部门职责及相关整改任务时间节点。</w:t>
            </w:r>
            <w:r>
              <w:rPr>
                <w:rFonts w:hint="eastAsia"/>
                <w:color w:val="000000" w:themeColor="text1"/>
                <w:szCs w:val="21"/>
                <w14:textFill>
                  <w14:solidFill>
                    <w14:schemeClr w14:val="tx1"/>
                  </w14:solidFill>
                </w14:textFill>
              </w:rPr>
              <w:br w:type="textWrapping"/>
            </w:r>
            <w:r>
              <w:rPr>
                <w:rFonts w:hint="eastAsia"/>
                <w:color w:val="000000" w:themeColor="text1"/>
                <w:szCs w:val="21"/>
                <w14:textFill>
                  <w14:solidFill>
                    <w14:schemeClr w14:val="tx1"/>
                  </w14:solidFill>
                </w14:textFill>
              </w:rPr>
              <w:t>2.积极申报涉农资金支持小水电清理整改工作。</w:t>
            </w:r>
            <w:r>
              <w:rPr>
                <w:rFonts w:hint="eastAsia"/>
                <w:color w:val="000000" w:themeColor="text1"/>
                <w:szCs w:val="21"/>
                <w14:textFill>
                  <w14:solidFill>
                    <w14:schemeClr w14:val="tx1"/>
                  </w14:solidFill>
                </w14:textFill>
              </w:rPr>
              <w:br w:type="textWrapping"/>
            </w:r>
            <w:r>
              <w:rPr>
                <w:rFonts w:hint="eastAsia"/>
                <w:color w:val="000000" w:themeColor="text1"/>
                <w:szCs w:val="21"/>
                <w14:textFill>
                  <w14:solidFill>
                    <w14:schemeClr w14:val="tx1"/>
                  </w14:solidFill>
                </w14:textFill>
              </w:rPr>
              <w:t>3.委托第三方技术支持单位实施编制小水电清理整改“一站一策”整改方案和退出方案。</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浈江区</w:t>
            </w:r>
            <w:r>
              <w:rPr>
                <w:rFonts w:hint="eastAsia"/>
                <w:color w:val="000000" w:themeColor="text1"/>
                <w:szCs w:val="21"/>
                <w:lang w:eastAsia="zh-CN"/>
                <w14:textFill>
                  <w14:solidFill>
                    <w14:schemeClr w14:val="tx1"/>
                  </w14:solidFill>
                </w14:textFill>
              </w:rPr>
              <w:t>已</w:t>
            </w:r>
            <w:r>
              <w:rPr>
                <w:rFonts w:hint="eastAsia"/>
                <w:color w:val="000000" w:themeColor="text1"/>
                <w:szCs w:val="21"/>
                <w14:textFill>
                  <w14:solidFill>
                    <w14:schemeClr w14:val="tx1"/>
                  </w14:solidFill>
                </w14:textFill>
              </w:rPr>
              <w:t>印发《浈江区小水电清理整改工作实施方案》，</w:t>
            </w:r>
            <w:r>
              <w:rPr>
                <w:rFonts w:hint="eastAsia"/>
                <w:color w:val="000000" w:themeColor="text1"/>
                <w:szCs w:val="21"/>
                <w:lang w:eastAsia="zh-CN"/>
                <w14:textFill>
                  <w14:solidFill>
                    <w14:schemeClr w14:val="tx1"/>
                  </w14:solidFill>
                </w14:textFill>
              </w:rPr>
              <w:t>已</w:t>
            </w:r>
            <w:r>
              <w:rPr>
                <w:rFonts w:hint="eastAsia"/>
                <w:color w:val="000000" w:themeColor="text1"/>
                <w:szCs w:val="21"/>
                <w14:textFill>
                  <w14:solidFill>
                    <w14:schemeClr w14:val="tx1"/>
                  </w14:solidFill>
                </w14:textFill>
              </w:rPr>
              <w:t>申请25万元省级涉农资金经费用于小水电清理整改工作，并委托第三方技术支持单位实施编制小水电清理整改“一站一策”整改方案和退出方案。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1" w:type="dxa"/>
            <w:vMerge w:val="continue"/>
            <w:vAlign w:val="center"/>
          </w:tcPr>
          <w:p>
            <w:pPr>
              <w:pStyle w:val="2"/>
              <w:ind w:firstLine="0" w:firstLineChars="0"/>
              <w:rPr>
                <w:color w:val="000000" w:themeColor="text1"/>
                <w:szCs w:val="21"/>
                <w14:textFill>
                  <w14:solidFill>
                    <w14:schemeClr w14:val="tx1"/>
                  </w14:solidFill>
                </w14:textFill>
              </w:rPr>
            </w:pPr>
          </w:p>
        </w:tc>
        <w:tc>
          <w:tcPr>
            <w:tcW w:w="1020" w:type="dxa"/>
            <w:vMerge w:val="continue"/>
            <w:vAlign w:val="center"/>
          </w:tcPr>
          <w:p>
            <w:pPr>
              <w:pStyle w:val="2"/>
              <w:ind w:firstLine="0" w:firstLineChars="0"/>
              <w:rPr>
                <w:color w:val="000000" w:themeColor="text1"/>
                <w:szCs w:val="21"/>
                <w14:textFill>
                  <w14:solidFill>
                    <w14:schemeClr w14:val="tx1"/>
                  </w14:solidFill>
                </w14:textFill>
              </w:rPr>
            </w:pPr>
          </w:p>
        </w:tc>
        <w:tc>
          <w:tcPr>
            <w:tcW w:w="840" w:type="dxa"/>
            <w:vMerge w:val="continue"/>
            <w:vAlign w:val="center"/>
          </w:tcPr>
          <w:p>
            <w:pPr>
              <w:pStyle w:val="2"/>
              <w:ind w:firstLine="0" w:firstLineChars="0"/>
              <w:rPr>
                <w:color w:val="000000" w:themeColor="text1"/>
                <w:szCs w:val="21"/>
                <w14:textFill>
                  <w14:solidFill>
                    <w14:schemeClr w14:val="tx1"/>
                  </w14:solidFill>
                </w14:textFill>
              </w:rPr>
            </w:pPr>
          </w:p>
        </w:tc>
        <w:tc>
          <w:tcPr>
            <w:tcW w:w="1155" w:type="dxa"/>
            <w:vMerge w:val="continue"/>
            <w:vAlign w:val="center"/>
          </w:tcPr>
          <w:p>
            <w:pPr>
              <w:pStyle w:val="2"/>
              <w:ind w:firstLine="0" w:firstLineChars="0"/>
              <w:rPr>
                <w:color w:val="000000" w:themeColor="text1"/>
                <w:szCs w:val="21"/>
                <w14:textFill>
                  <w14:solidFill>
                    <w14:schemeClr w14:val="tx1"/>
                  </w14:solidFill>
                </w14:textFill>
              </w:rPr>
            </w:pPr>
          </w:p>
        </w:tc>
        <w:tc>
          <w:tcPr>
            <w:tcW w:w="1095" w:type="dxa"/>
            <w:vMerge w:val="continue"/>
            <w:vAlign w:val="center"/>
          </w:tcPr>
          <w:p>
            <w:pPr>
              <w:pStyle w:val="2"/>
              <w:ind w:firstLine="0" w:firstLineChars="0"/>
              <w:jc w:val="center"/>
              <w:rPr>
                <w:rFonts w:ascii="Times New Roman" w:hAnsi="Times New Roman"/>
                <w:color w:val="000000" w:themeColor="text1"/>
                <w14:textFill>
                  <w14:solidFill>
                    <w14:schemeClr w14:val="tx1"/>
                  </w14:solidFill>
                </w14:textFill>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浈江区共有小水电站15宗，经核查评估，13宗纳入整改类，2宗纳入退出类。其中13宗整改类计划于2022年底前完成整改，1宗退出类电站石龙电站计划于2022年底前完成退出，1宗退出类电站溢洲电站计划于2024年底前完成退出。根据《水利部 发展改革委 自然资源部 生态环境部 农业农村部 能源局 林草局关于进一步做好小水电分类整改工作的意见》，部分电站整改要求将按照最新政策要求进行实时调整。</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按照省、市有关小水电分类整改的指导意见，我区两宗退出类电站溢洲电站、石龙电站均完成《电站综合功能不可替代专项论证报告》编制工作并将报告提交我区，区小水电整治办按要求完成征求意见并上报至市小水电联席会议审核。依据</w:t>
            </w:r>
            <w:r>
              <w:rPr>
                <w:rFonts w:hint="eastAsia"/>
                <w:color w:val="000000" w:themeColor="text1"/>
                <w:szCs w:val="21"/>
                <w:highlight w:val="none"/>
                <w:lang w:eastAsia="zh-CN"/>
                <w14:textFill>
                  <w14:solidFill>
                    <w14:schemeClr w14:val="tx1"/>
                  </w14:solidFill>
                </w14:textFill>
              </w:rPr>
              <w:t>《广东省水利厅</w:t>
            </w:r>
            <w:r>
              <w:rPr>
                <w:rFonts w:hint="eastAsia"/>
                <w:color w:val="000000" w:themeColor="text1"/>
                <w:szCs w:val="21"/>
                <w:highlight w:val="none"/>
                <w:lang w:val="en-US" w:eastAsia="zh-CN"/>
                <w14:textFill>
                  <w14:solidFill>
                    <w14:schemeClr w14:val="tx1"/>
                  </w14:solidFill>
                </w14:textFill>
              </w:rPr>
              <w:t xml:space="preserve"> 广东省发展改革委 广东省自然资源厅 广东省生态环境厅 广东省农业农村厅 广东省能源局 广东省林业局关于进一步做好我省小水电分类整改工作的通知</w:t>
            </w:r>
            <w:r>
              <w:rPr>
                <w:rFonts w:hint="eastAsia"/>
                <w:color w:val="000000" w:themeColor="text1"/>
                <w:szCs w:val="21"/>
                <w:highlight w:val="none"/>
                <w:lang w:eastAsia="zh-CN"/>
                <w14:textFill>
                  <w14:solidFill>
                    <w14:schemeClr w14:val="tx1"/>
                  </w14:solidFill>
                </w14:textFill>
              </w:rPr>
              <w:t>》的要求</w:t>
            </w:r>
            <w:r>
              <w:rPr>
                <w:rFonts w:hint="eastAsia"/>
                <w:color w:val="000000" w:themeColor="text1"/>
                <w:szCs w:val="21"/>
                <w:highlight w:val="none"/>
                <w14:textFill>
                  <w14:solidFill>
                    <w14:schemeClr w14:val="tx1"/>
                  </w14:solidFill>
                </w14:textFill>
              </w:rPr>
              <w:t>，浈江区拟退出的两宗电站均有除发电外的其他综合性功能，最终退出时间调整为2025年。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（四）将小水电清理整改工作纳入部门及镇级年度考核中，由领导小组强化监督检查，确保清理整改工作按时达标完成。对于出现不作为、慢作为、乱作为的情况，及时提请区纪委监委督促或查处。</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结合202</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年度河湖长制考核工作，结合防汛检查工作开展督导，督促各镇进一步抓实抓好清理整改工作。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w:t>
            </w:r>
            <w:r>
              <w:rPr>
                <w:rFonts w:hint="eastAsia"/>
                <w:color w:val="000000" w:themeColor="text1"/>
                <w:szCs w:val="21"/>
                <w14:textFill>
                  <w14:solidFill>
                    <w14:schemeClr w14:val="tx1"/>
                  </w14:solidFill>
                </w14:textFill>
              </w:rPr>
              <w:t>五）2022年3月底前完成小水电清理整改“一站一策”实施方案编制工作，按照方案提出的具体措施，于2022年底前完成13宗电站整改。2025年前完成2宗电站退出。</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已完成“一站一策”方案编制工作并通过区政府批复同意实施。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81" w:type="dxa"/>
            <w:vMerge w:val="restart"/>
            <w:vAlign w:val="center"/>
          </w:tcPr>
          <w:p>
            <w:pPr>
              <w:pStyle w:val="2"/>
              <w:ind w:firstLine="420"/>
            </w:pPr>
            <w:r>
              <w:rPr>
                <w:rFonts w:hint="eastAsia"/>
              </w:rPr>
              <w:t>十四</w:t>
            </w:r>
            <w:r>
              <w:t>、部分地市渗滤液处置短板突出。全省积存垃圾渗滤液高达166万吨，一些填埋场渗滤液处置设施运行不正常，偷排漏排、超标排放问题突出，有的甚至在在线监控上弄虚作假。2018年以来，全省18家垃圾填埋场因设施运行不正常、废水超标排放问题被屡次查处。</w:t>
            </w:r>
          </w:p>
        </w:tc>
        <w:tc>
          <w:tcPr>
            <w:tcW w:w="1020" w:type="dxa"/>
            <w:vMerge w:val="restart"/>
            <w:vAlign w:val="center"/>
          </w:tcPr>
          <w:p>
            <w:pPr>
              <w:pStyle w:val="2"/>
              <w:ind w:firstLine="0" w:firstLineChars="0"/>
            </w:pPr>
            <w:r>
              <w:rPr>
                <w:rFonts w:hint="eastAsia" w:ascii="Times New Roman" w:hAnsi="Times New Roman"/>
              </w:rPr>
              <w:t>强化生活垃圾填埋场运营管理，开展自查自纠，加快积存垃圾渗滤液处理处置，降低积存量。</w:t>
            </w:r>
          </w:p>
        </w:tc>
        <w:tc>
          <w:tcPr>
            <w:tcW w:w="840" w:type="dxa"/>
            <w:vMerge w:val="restart"/>
            <w:vAlign w:val="center"/>
          </w:tcPr>
          <w:p>
            <w:pPr>
              <w:pStyle w:val="2"/>
              <w:ind w:firstLine="0" w:firstLineChars="0"/>
            </w:pPr>
            <w:r>
              <w:rPr>
                <w:rFonts w:ascii="Times New Roman" w:hAnsi="Times New Roman"/>
              </w:rPr>
              <w:t>立行立改，长期坚持</w:t>
            </w:r>
          </w:p>
        </w:tc>
        <w:tc>
          <w:tcPr>
            <w:tcW w:w="1155" w:type="dxa"/>
            <w:vMerge w:val="restart"/>
            <w:vAlign w:val="center"/>
          </w:tcPr>
          <w:p>
            <w:pPr>
              <w:pStyle w:val="2"/>
              <w:ind w:firstLine="0" w:firstLineChars="0"/>
            </w:pPr>
            <w:r>
              <w:rPr>
                <w:rFonts w:hint="eastAsia"/>
              </w:rPr>
              <w:t>区住建局、区城市和综合执法局、市生态环境局浈江分局、各镇（办）</w:t>
            </w:r>
          </w:p>
        </w:tc>
        <w:tc>
          <w:tcPr>
            <w:tcW w:w="1095" w:type="dxa"/>
            <w:vMerge w:val="restart"/>
            <w:vAlign w:val="center"/>
          </w:tcPr>
          <w:p>
            <w:pPr>
              <w:jc w:val="center"/>
              <w:rPr>
                <w:rFonts w:eastAsia="楷体_GB2312"/>
                <w:szCs w:val="21"/>
              </w:rPr>
            </w:pPr>
            <w:r>
              <w:rPr>
                <w:rFonts w:hint="eastAsia" w:eastAsia="楷体_GB2312"/>
                <w:szCs w:val="21"/>
              </w:rPr>
              <w:t>何爱华</w:t>
            </w:r>
          </w:p>
          <w:p>
            <w:pPr>
              <w:jc w:val="center"/>
              <w:rPr>
                <w:rFonts w:eastAsia="楷体_GB2312"/>
                <w:szCs w:val="21"/>
              </w:rPr>
            </w:pPr>
            <w:r>
              <w:rPr>
                <w:rFonts w:hint="eastAsia" w:eastAsia="楷体_GB2312"/>
                <w:szCs w:val="21"/>
              </w:rPr>
              <w:t>徐湘宜</w:t>
            </w: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区住建局、区城管和执法局配合市住管局着力提升渗滤液处置规范化水平。加强生活垃圾填埋场运行维护管理，确保处置设施正常运行、达标排放。推进填埋场渗滤液处理设施工艺优化提升、应急协同处置能力建设，填埋场渗滤液全量合规处置。</w:t>
            </w:r>
          </w:p>
        </w:tc>
        <w:tc>
          <w:tcPr>
            <w:tcW w:w="6583" w:type="dxa"/>
            <w:vAlign w:val="center"/>
          </w:tcPr>
          <w:p>
            <w:pPr>
              <w:pStyle w:val="2"/>
              <w:ind w:firstLine="0" w:firstLineChars="0"/>
              <w:rPr>
                <w:color w:val="000000" w:themeColor="text1"/>
                <w14:textFill>
                  <w14:solidFill>
                    <w14:schemeClr w14:val="tx1"/>
                  </w14:solidFill>
                </w14:textFill>
              </w:rPr>
            </w:pPr>
            <w:r>
              <w:rPr>
                <w:rFonts w:hint="eastAsia" w:ascii="楷体_GB2312" w:hAnsi="楷体_GB2312" w:cs="楷体_GB2312"/>
                <w:color w:val="000000" w:themeColor="text1"/>
                <w:szCs w:val="21"/>
                <w:lang w:eastAsia="zh-CN"/>
                <w14:textFill>
                  <w14:solidFill>
                    <w14:schemeClr w14:val="tx1"/>
                  </w14:solidFill>
                </w14:textFill>
              </w:rPr>
              <w:t>花拉寨二期</w:t>
            </w:r>
            <w:r>
              <w:rPr>
                <w:rFonts w:hint="eastAsia" w:ascii="楷体_GB2312" w:hAnsi="楷体_GB2312" w:cs="楷体_GB2312"/>
                <w:color w:val="000000" w:themeColor="text1"/>
                <w:szCs w:val="21"/>
                <w14:textFill>
                  <w14:solidFill>
                    <w14:schemeClr w14:val="tx1"/>
                  </w14:solidFill>
                </w14:textFill>
              </w:rPr>
              <w:t>工程项目已做好临时覆盖工作，填埋场渗滤液处理设备已完成升级改造，关于存量渗滤液，目前运营单位正在</w:t>
            </w:r>
            <w:r>
              <w:rPr>
                <w:rFonts w:hint="eastAsia" w:ascii="楷体_GB2312" w:hAnsi="楷体_GB2312" w:cs="楷体_GB2312"/>
                <w:color w:val="000000" w:themeColor="text1"/>
                <w:kern w:val="0"/>
                <w:szCs w:val="21"/>
                <w14:textFill>
                  <w14:solidFill>
                    <w14:schemeClr w14:val="tx1"/>
                  </w14:solidFill>
                </w14:textFill>
              </w:rPr>
              <w:t>逐步提高日处理量，</w:t>
            </w:r>
            <w:r>
              <w:rPr>
                <w:rFonts w:hint="eastAsia" w:ascii="楷体_GB2312" w:hAnsi="楷体_GB2312" w:cs="楷体_GB2312"/>
                <w:color w:val="000000" w:themeColor="text1"/>
                <w:szCs w:val="21"/>
                <w14:textFill>
                  <w14:solidFill>
                    <w14:schemeClr w14:val="tx1"/>
                  </w14:solidFill>
                </w14:textFill>
              </w:rPr>
              <w:t>有序开展存量渗滤液处理工作。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二）区住建局、区城管和执法局、市生态环境局浈江分局加强对填埋场渗滤液处置监管执法。强化日常监管，对发现的问题督促加快整改，严厉打击设施运行不正常、偷排漏排、超标排放及在线监控弄虚作假等行为。</w:t>
            </w:r>
          </w:p>
        </w:tc>
        <w:tc>
          <w:tcPr>
            <w:tcW w:w="6583" w:type="dxa"/>
            <w:vAlign w:val="center"/>
          </w:tcPr>
          <w:p>
            <w:pPr>
              <w:pStyle w:val="2"/>
              <w:ind w:firstLine="0" w:firstLineChars="0"/>
              <w:rPr>
                <w:color w:val="auto"/>
                <w:szCs w:val="21"/>
              </w:rPr>
            </w:pPr>
            <w:r>
              <w:rPr>
                <w:rFonts w:hint="eastAsia" w:ascii="Times New Roman" w:hAnsi="Times New Roman"/>
                <w:color w:val="auto"/>
                <w:szCs w:val="21"/>
                <w:lang w:eastAsia="zh-CN"/>
              </w:rPr>
              <w:t>我区定期对花拉寨生活垃圾填埋场开展执法检查，</w:t>
            </w:r>
            <w:r>
              <w:rPr>
                <w:rFonts w:hint="eastAsia"/>
                <w:szCs w:val="21"/>
              </w:rPr>
              <w:t>对发现的问题督促加快整改，严厉打击设施运行不正常、偷排漏排、超标排放及在线监控弄虚作假等行为</w:t>
            </w:r>
            <w:r>
              <w:rPr>
                <w:rFonts w:hint="eastAsia"/>
                <w:szCs w:val="21"/>
                <w:lang w:eastAsia="zh-CN"/>
              </w:rPr>
              <w:t>。</w:t>
            </w:r>
            <w:r>
              <w:rPr>
                <w:rFonts w:ascii="Times New Roman" w:hAnsi="Times New Roman"/>
                <w:color w:val="000000" w:themeColor="text1"/>
                <w:szCs w:val="21"/>
                <w14:textFill>
                  <w14:solidFill>
                    <w14:schemeClr w14:val="tx1"/>
                  </w14:solidFill>
                </w14:textFill>
              </w:rPr>
              <w:t>广东省韶关生态环境监测中心站2022年1月12日对花拉寨生活垃圾填埋场废水排放进行专题监测，</w:t>
            </w:r>
            <w:r>
              <w:rPr>
                <w:rFonts w:hint="eastAsia" w:ascii="Times New Roman" w:hAnsi="Times New Roman"/>
                <w:color w:val="000000" w:themeColor="text1"/>
                <w:szCs w:val="21"/>
                <w14:textFill>
                  <w14:solidFill>
                    <w14:schemeClr w14:val="tx1"/>
                  </w14:solidFill>
                </w14:textFill>
              </w:rPr>
              <w:t>监测报告</w:t>
            </w:r>
            <w:r>
              <w:rPr>
                <w:rFonts w:ascii="Times New Roman" w:hAnsi="Times New Roman"/>
                <w:color w:val="000000" w:themeColor="text1"/>
                <w:szCs w:val="21"/>
                <w14:textFill>
                  <w14:solidFill>
                    <w14:schemeClr w14:val="tx1"/>
                  </w14:solidFill>
                </w14:textFill>
              </w:rPr>
              <w:t>（（韶）环境监测（水）字（2022）第011号）</w:t>
            </w:r>
            <w:r>
              <w:rPr>
                <w:rFonts w:hint="eastAsia" w:ascii="Times New Roman" w:hAnsi="Times New Roman"/>
                <w:color w:val="000000" w:themeColor="text1"/>
                <w:szCs w:val="21"/>
                <w14:textFill>
                  <w14:solidFill>
                    <w14:schemeClr w14:val="tx1"/>
                  </w14:solidFill>
                </w14:textFill>
              </w:rPr>
              <w:t>表明</w:t>
            </w:r>
            <w:r>
              <w:rPr>
                <w:rFonts w:ascii="Times New Roman" w:hAnsi="Times New Roman"/>
                <w:color w:val="000000" w:themeColor="text1"/>
                <w:szCs w:val="21"/>
                <w14:textFill>
                  <w14:solidFill>
                    <w14:schemeClr w14:val="tx1"/>
                  </w14:solidFill>
                </w14:textFill>
              </w:rPr>
              <w:t>各项数值均达标。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（三）配合市住管局完善花拉寨生活垃圾填埋场一期、二期覆盖，减少降雨导致的渗滤液增加，及时更换老旧设备，定期开展检修，确保渗滤液处理站稳定运行，到2023年基本消除积存渗滤液，达到日产日消。</w:t>
            </w:r>
          </w:p>
        </w:tc>
        <w:tc>
          <w:tcPr>
            <w:tcW w:w="6583" w:type="dxa"/>
            <w:vAlign w:val="center"/>
          </w:tcPr>
          <w:p>
            <w:pPr>
              <w:pStyle w:val="2"/>
              <w:ind w:firstLine="0" w:firstLineChars="0"/>
              <w:rPr>
                <w:color w:val="auto"/>
                <w:szCs w:val="21"/>
              </w:rPr>
            </w:pPr>
            <w:r>
              <w:rPr>
                <w:rFonts w:hint="eastAsia" w:ascii="楷体_GB2312" w:hAnsi="楷体_GB2312" w:cs="楷体_GB2312"/>
                <w:color w:val="000000" w:themeColor="text1"/>
                <w:szCs w:val="21"/>
                <w14:textFill>
                  <w14:solidFill>
                    <w14:schemeClr w14:val="tx1"/>
                  </w14:solidFill>
                </w14:textFill>
              </w:rPr>
              <w:t>一期已于2021年3月完成了封场工程，二期工程项目已做好临时覆盖工作，填埋场渗滤液处理设备已完成升级改造，关于存量渗滤液，目前运营单位正在</w:t>
            </w:r>
            <w:r>
              <w:rPr>
                <w:rFonts w:hint="eastAsia" w:ascii="楷体_GB2312" w:hAnsi="楷体_GB2312" w:cs="楷体_GB2312"/>
                <w:color w:val="000000" w:themeColor="text1"/>
                <w:kern w:val="0"/>
                <w:szCs w:val="21"/>
                <w14:textFill>
                  <w14:solidFill>
                    <w14:schemeClr w14:val="tx1"/>
                  </w14:solidFill>
                </w14:textFill>
              </w:rPr>
              <w:t>逐步提高日处理量，</w:t>
            </w:r>
            <w:r>
              <w:rPr>
                <w:rFonts w:hint="eastAsia" w:ascii="楷体_GB2312" w:hAnsi="楷体_GB2312" w:cs="楷体_GB2312"/>
                <w:color w:val="000000" w:themeColor="text1"/>
                <w:szCs w:val="21"/>
                <w14:textFill>
                  <w14:solidFill>
                    <w14:schemeClr w14:val="tx1"/>
                  </w14:solidFill>
                </w14:textFill>
              </w:rPr>
              <w:t>有序开展存量渗滤液处理工作。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81" w:type="dxa"/>
            <w:vMerge w:val="continue"/>
            <w:vAlign w:val="center"/>
          </w:tcPr>
          <w:p>
            <w:pPr>
              <w:pStyle w:val="2"/>
              <w:ind w:firstLine="0" w:firstLineChars="0"/>
              <w:rPr>
                <w:color w:val="auto"/>
                <w:szCs w:val="21"/>
              </w:rPr>
            </w:pPr>
          </w:p>
        </w:tc>
        <w:tc>
          <w:tcPr>
            <w:tcW w:w="1020" w:type="dxa"/>
            <w:vMerge w:val="continue"/>
            <w:vAlign w:val="center"/>
          </w:tcPr>
          <w:p>
            <w:pPr>
              <w:pStyle w:val="2"/>
              <w:ind w:firstLine="0" w:firstLineChars="0"/>
              <w:rPr>
                <w:color w:val="auto"/>
                <w:szCs w:val="21"/>
              </w:rPr>
            </w:pPr>
          </w:p>
        </w:tc>
        <w:tc>
          <w:tcPr>
            <w:tcW w:w="840" w:type="dxa"/>
            <w:vMerge w:val="continue"/>
            <w:vAlign w:val="center"/>
          </w:tcPr>
          <w:p>
            <w:pPr>
              <w:pStyle w:val="2"/>
              <w:ind w:firstLine="0" w:firstLineChars="0"/>
              <w:rPr>
                <w:color w:val="auto"/>
                <w:szCs w:val="21"/>
              </w:rPr>
            </w:pPr>
          </w:p>
        </w:tc>
        <w:tc>
          <w:tcPr>
            <w:tcW w:w="1155" w:type="dxa"/>
            <w:vMerge w:val="continue"/>
            <w:vAlign w:val="center"/>
          </w:tcPr>
          <w:p>
            <w:pPr>
              <w:pStyle w:val="2"/>
              <w:ind w:firstLine="0" w:firstLineChars="0"/>
              <w:rPr>
                <w:color w:val="auto"/>
                <w:szCs w:val="21"/>
              </w:rPr>
            </w:pPr>
          </w:p>
        </w:tc>
        <w:tc>
          <w:tcPr>
            <w:tcW w:w="1095" w:type="dxa"/>
            <w:vMerge w:val="continue"/>
            <w:vAlign w:val="center"/>
          </w:tcPr>
          <w:p>
            <w:pPr>
              <w:pStyle w:val="2"/>
              <w:ind w:firstLine="0" w:firstLineChars="0"/>
              <w:jc w:val="center"/>
            </w:pPr>
          </w:p>
        </w:tc>
        <w:tc>
          <w:tcPr>
            <w:tcW w:w="6855" w:type="dxa"/>
            <w:vAlign w:val="center"/>
          </w:tcPr>
          <w:p>
            <w:pPr>
              <w:pStyle w:val="2"/>
              <w:ind w:firstLine="0" w:firstLineChars="0"/>
              <w:rPr>
                <w:szCs w:val="21"/>
              </w:rPr>
            </w:pPr>
            <w:r>
              <w:rPr>
                <w:rFonts w:hint="eastAsia"/>
                <w:szCs w:val="21"/>
              </w:rPr>
              <w:t>（四）区住建局、区城管和执法局、市生态环境局浈江分局指导花拉寨生活垃圾填埋场开展自查自纠，加快花拉寨填埋场积存渗滤液处理处置，降低积存量。强化技术指导，加强生活垃圾填埋场运营管理，加大执法力度，查处偷排漏排、废水超标排放违法行为。</w:t>
            </w:r>
          </w:p>
        </w:tc>
        <w:tc>
          <w:tcPr>
            <w:tcW w:w="6583" w:type="dxa"/>
            <w:vAlign w:val="center"/>
          </w:tcPr>
          <w:p>
            <w:pPr>
              <w:pStyle w:val="2"/>
              <w:ind w:firstLine="0" w:firstLineChars="0"/>
              <w:rPr>
                <w:rFonts w:hint="eastAsia" w:eastAsia="楷体_GB2312"/>
                <w:color w:val="auto"/>
                <w:szCs w:val="21"/>
                <w:lang w:eastAsia="zh-CN"/>
              </w:rPr>
            </w:pPr>
            <w:r>
              <w:rPr>
                <w:rFonts w:hint="eastAsia"/>
                <w:szCs w:val="21"/>
                <w:lang w:eastAsia="zh-CN"/>
              </w:rPr>
              <w:t>督促</w:t>
            </w:r>
            <w:r>
              <w:rPr>
                <w:rFonts w:hint="eastAsia"/>
                <w:szCs w:val="21"/>
              </w:rPr>
              <w:t>花拉寨填埋场</w:t>
            </w:r>
            <w:r>
              <w:rPr>
                <w:rFonts w:hint="eastAsia"/>
                <w:szCs w:val="21"/>
                <w:lang w:eastAsia="zh-CN"/>
              </w:rPr>
              <w:t>加快</w:t>
            </w:r>
            <w:r>
              <w:rPr>
                <w:rFonts w:hint="eastAsia"/>
                <w:szCs w:val="21"/>
              </w:rPr>
              <w:t>积存渗滤液处理处置，降低积存量。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2381" w:type="dxa"/>
            <w:vAlign w:val="center"/>
          </w:tcPr>
          <w:p>
            <w:pPr>
              <w:pStyle w:val="2"/>
              <w:ind w:firstLine="420"/>
            </w:pPr>
            <w:r>
              <w:rPr>
                <w:rFonts w:hint="eastAsia"/>
              </w:rPr>
              <w:t>十五</w:t>
            </w:r>
            <w:r>
              <w:t>、一些填埋场地下水和周边水体受到污染，全省113个垃圾填埋场中有26个存在地下水超标问题。清远市8个垃圾填埋场中就有5个地下水超标，其中佛冈县垃圾填埋场2020年3月填埋区防渗膜破损，地下水受到严重污染，此次督察进驻时，氨氮浓度仍高达47.6毫克/升，超地下水环境质量</w:t>
            </w:r>
            <w:r>
              <w:rPr>
                <w:rFonts w:hint="eastAsia" w:ascii="宋体" w:hAnsi="宋体" w:eastAsia="宋体" w:cs="宋体"/>
              </w:rPr>
              <w:t>Ⅲ</w:t>
            </w:r>
            <w:r>
              <w:t>类标准94.2倍。</w:t>
            </w:r>
          </w:p>
        </w:tc>
        <w:tc>
          <w:tcPr>
            <w:tcW w:w="1020" w:type="dxa"/>
            <w:vAlign w:val="center"/>
          </w:tcPr>
          <w:p>
            <w:pPr>
              <w:pStyle w:val="2"/>
              <w:ind w:firstLine="0" w:firstLineChars="0"/>
            </w:pPr>
            <w:r>
              <w:rPr>
                <w:rFonts w:ascii="Times New Roman" w:hAnsi="Times New Roman"/>
              </w:rPr>
              <w:t>规范填埋场的运营管理，加强渗滤液污染防治，消除环境污染隐患。</w:t>
            </w:r>
          </w:p>
        </w:tc>
        <w:tc>
          <w:tcPr>
            <w:tcW w:w="840" w:type="dxa"/>
            <w:vAlign w:val="center"/>
          </w:tcPr>
          <w:p>
            <w:pPr>
              <w:pStyle w:val="2"/>
              <w:ind w:firstLine="0" w:firstLineChars="0"/>
            </w:pPr>
            <w:r>
              <w:rPr>
                <w:rFonts w:hint="eastAsia"/>
              </w:rPr>
              <w:t>2025年年底前</w:t>
            </w:r>
          </w:p>
        </w:tc>
        <w:tc>
          <w:tcPr>
            <w:tcW w:w="1155" w:type="dxa"/>
            <w:vAlign w:val="center"/>
          </w:tcPr>
          <w:p>
            <w:pPr>
              <w:pStyle w:val="2"/>
              <w:ind w:firstLine="0" w:firstLineChars="0"/>
              <w:rPr>
                <w:szCs w:val="21"/>
              </w:rPr>
            </w:pPr>
            <w:r>
              <w:rPr>
                <w:rFonts w:hint="eastAsia"/>
              </w:rPr>
              <w:t>区住建局、区城市和综合执法局、市生态环境局浈江分局、各镇（办）</w:t>
            </w:r>
          </w:p>
        </w:tc>
        <w:tc>
          <w:tcPr>
            <w:tcW w:w="1095" w:type="dxa"/>
            <w:vAlign w:val="center"/>
          </w:tcPr>
          <w:p>
            <w:pPr>
              <w:pStyle w:val="2"/>
              <w:ind w:firstLine="0" w:firstLineChars="0"/>
            </w:pPr>
            <w:r>
              <w:rPr>
                <w:rFonts w:hint="eastAsia"/>
              </w:rPr>
              <w:t>何爱华</w:t>
            </w:r>
          </w:p>
          <w:p>
            <w:pPr>
              <w:pStyle w:val="2"/>
              <w:ind w:firstLine="0" w:firstLineChars="0"/>
              <w:jc w:val="center"/>
              <w:rPr>
                <w:rFonts w:ascii="Times New Roman" w:hAnsi="Times New Roman"/>
              </w:rPr>
            </w:pPr>
            <w:r>
              <w:rPr>
                <w:rFonts w:hint="eastAsia"/>
              </w:rPr>
              <w:t>徐湘宜</w:t>
            </w:r>
          </w:p>
        </w:tc>
        <w:tc>
          <w:tcPr>
            <w:tcW w:w="6855" w:type="dxa"/>
            <w:vAlign w:val="center"/>
          </w:tcPr>
          <w:p>
            <w:pPr>
              <w:pStyle w:val="2"/>
              <w:ind w:firstLine="0" w:firstLineChars="0"/>
              <w:rPr>
                <w:szCs w:val="21"/>
              </w:rPr>
            </w:pPr>
            <w:r>
              <w:rPr>
                <w:rFonts w:hint="eastAsia"/>
                <w:szCs w:val="21"/>
              </w:rPr>
              <w:t>做好生活垃圾填埋场的科学管理、规范化作业、安全运行；指导花拉寨垃圾填埋场采取有效措施，对地下水超标原因开展排查，因地制宜科学整治。</w:t>
            </w:r>
          </w:p>
          <w:p>
            <w:pPr>
              <w:pStyle w:val="2"/>
              <w:ind w:firstLine="0" w:firstLineChars="0"/>
              <w:rPr>
                <w:szCs w:val="21"/>
              </w:rPr>
            </w:pPr>
          </w:p>
        </w:tc>
        <w:tc>
          <w:tcPr>
            <w:tcW w:w="6583" w:type="dxa"/>
            <w:vAlign w:val="center"/>
          </w:tcPr>
          <w:p>
            <w:pPr>
              <w:pStyle w:val="3"/>
              <w:keepNext w:val="0"/>
              <w:keepLines w:val="0"/>
              <w:numPr>
                <w:ilvl w:val="0"/>
                <w:numId w:val="0"/>
              </w:numPr>
              <w:suppressLineNumbers w:val="0"/>
              <w:snapToGrid w:val="0"/>
              <w:spacing w:before="0" w:beforeAutospacing="0" w:afterAutospacing="0"/>
              <w:ind w:right="0" w:rightChars="0"/>
              <w:rPr>
                <w:rFonts w:hint="default" w:ascii="楷体_GB2312" w:hAnsi="楷体_GB2312" w:eastAsia="楷体_GB2312" w:cs="楷体_GB2312"/>
                <w:b w:val="0"/>
                <w:bCs w:val="0"/>
                <w:color w:val="000000" w:themeColor="text1"/>
                <w:sz w:val="21"/>
                <w:szCs w:val="21"/>
                <w14:textFill>
                  <w14:solidFill>
                    <w14:schemeClr w14:val="tx1"/>
                  </w14:solidFill>
                </w14:textFill>
              </w:rPr>
            </w:pPr>
            <w:r>
              <w:rPr>
                <w:rFonts w:ascii="Times New Roman" w:hAnsi="Times New Roman" w:eastAsia="楷体_GB2312"/>
                <w:szCs w:val="21"/>
              </w:rPr>
              <w:t>一是</w:t>
            </w:r>
            <w:r>
              <w:rPr>
                <w:rFonts w:hint="eastAsia" w:ascii="Times New Roman" w:hAnsi="Times New Roman" w:eastAsia="楷体_GB2312"/>
                <w:szCs w:val="21"/>
              </w:rPr>
              <w:t>要求花拉寨</w:t>
            </w:r>
            <w:r>
              <w:rPr>
                <w:rFonts w:ascii="Times New Roman" w:hAnsi="Times New Roman" w:eastAsia="楷体_GB2312"/>
                <w:szCs w:val="21"/>
              </w:rPr>
              <w:t>制定</w:t>
            </w:r>
            <w:r>
              <w:rPr>
                <w:rFonts w:hint="eastAsia" w:ascii="Times New Roman" w:hAnsi="Times New Roman" w:eastAsia="楷体_GB2312"/>
                <w:szCs w:val="21"/>
              </w:rPr>
              <w:t>了</w:t>
            </w:r>
            <w:r>
              <w:rPr>
                <w:rFonts w:ascii="Times New Roman" w:hAnsi="Times New Roman" w:eastAsia="楷体_GB2312"/>
                <w:szCs w:val="21"/>
              </w:rPr>
              <w:t>垃圾填埋场管理程序，推土机工作操作规范，重大事故处理应急预案等</w:t>
            </w:r>
            <w:r>
              <w:rPr>
                <w:rFonts w:hint="eastAsia" w:ascii="Times New Roman" w:hAnsi="Times New Roman" w:eastAsia="楷体_GB2312"/>
                <w:szCs w:val="21"/>
                <w:lang w:eastAsia="zh-CN"/>
              </w:rPr>
              <w:t>一系</w:t>
            </w:r>
            <w:r>
              <w:rPr>
                <w:rFonts w:ascii="Times New Roman" w:hAnsi="Times New Roman" w:eastAsia="楷体_GB2312"/>
                <w:szCs w:val="21"/>
              </w:rPr>
              <w:t>列作业指导，为垃圾填埋场的安全运行提供有力保障。二是严格填埋场作业技术，实现填埋作业的规范，根据填埋场垃圾成分和现场压实的配置、压实次数，控制填埋单位格的厚度和</w:t>
            </w:r>
            <w:r>
              <w:rPr>
                <w:rFonts w:ascii="Times New Roman" w:hAnsi="Times New Roman" w:eastAsia="楷体_GB2312"/>
                <w:b w:val="0"/>
                <w:bCs w:val="0"/>
                <w:color w:val="000000" w:themeColor="text1"/>
                <w:szCs w:val="21"/>
                <w14:textFill>
                  <w14:solidFill>
                    <w14:schemeClr w14:val="tx1"/>
                  </w14:solidFill>
                </w14:textFill>
              </w:rPr>
              <w:t>压实密度。三是设置有效的导气渗透系统，设置截洪沟实施雨污分流。</w:t>
            </w:r>
            <w:r>
              <w:rPr>
                <w:rFonts w:hint="eastAsia" w:ascii="Times New Roman" w:hAnsi="Times New Roman" w:eastAsia="楷体_GB2312"/>
                <w:b w:val="0"/>
                <w:bCs w:val="0"/>
                <w:color w:val="000000" w:themeColor="text1"/>
                <w:szCs w:val="21"/>
                <w:lang w:eastAsia="zh-CN"/>
                <w14:textFill>
                  <w14:solidFill>
                    <w14:schemeClr w14:val="tx1"/>
                  </w14:solidFill>
                </w14:textFill>
              </w:rPr>
              <w:t>四是定期</w:t>
            </w:r>
            <w:r>
              <w:rPr>
                <w:rFonts w:hint="eastAsia" w:ascii="楷体_GB2312" w:hAnsi="楷体_GB2312" w:eastAsia="楷体_GB2312" w:cs="楷体_GB2312"/>
                <w:b w:val="0"/>
                <w:bCs w:val="0"/>
                <w:color w:val="000000" w:themeColor="text1"/>
                <w:sz w:val="21"/>
                <w:szCs w:val="21"/>
                <w14:textFill>
                  <w14:solidFill>
                    <w14:schemeClr w14:val="tx1"/>
                  </w14:solidFill>
                </w14:textFill>
              </w:rPr>
              <w:t>委托第三方检测单位定期对地下水、周边水体、大气等项目进行监测，加强动态管理。</w:t>
            </w:r>
          </w:p>
          <w:p>
            <w:pPr>
              <w:pStyle w:val="3"/>
              <w:rPr>
                <w:rFonts w:hint="eastAsia" w:ascii="Times New Roman" w:hAnsi="Times New Roman" w:eastAsia="楷体_GB2312"/>
                <w:szCs w:val="21"/>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81" w:type="dxa"/>
            <w:vAlign w:val="center"/>
          </w:tcPr>
          <w:p>
            <w:pPr>
              <w:pStyle w:val="2"/>
              <w:ind w:firstLine="420"/>
            </w:pPr>
            <w:r>
              <w:rPr>
                <w:rFonts w:hint="eastAsia"/>
              </w:rPr>
              <w:t>十六</w:t>
            </w:r>
            <w:r>
              <w:t>、固体废物处置能力亟待加强。2018年以来，广东省重点部署了39个危险废物处置项目建设，其中中山市绿色工业服务等6个危险废物处置项目截至督察进驻时尚未建成，进度滞后。已建成的33个也尚未发挥应有效用。全省危险废物处置能力结构性、区域性失衡仍未完全解决，生活垃圾焚烧飞灰、铝灰渣处置能力不足，贮存量分别高达6.7万吨、7.1万吨。</w:t>
            </w:r>
          </w:p>
        </w:tc>
        <w:tc>
          <w:tcPr>
            <w:tcW w:w="1020" w:type="dxa"/>
            <w:vAlign w:val="center"/>
          </w:tcPr>
          <w:p>
            <w:pPr>
              <w:pStyle w:val="2"/>
              <w:ind w:firstLine="0" w:firstLineChars="0"/>
            </w:pPr>
            <w:r>
              <w:rPr>
                <w:rFonts w:hint="eastAsia" w:ascii="Times New Roman" w:hAnsi="Times New Roman"/>
              </w:rPr>
              <w:t>做好危险废物处理处置工作。</w:t>
            </w:r>
          </w:p>
        </w:tc>
        <w:tc>
          <w:tcPr>
            <w:tcW w:w="840" w:type="dxa"/>
            <w:vAlign w:val="center"/>
          </w:tcPr>
          <w:p>
            <w:pPr>
              <w:pStyle w:val="2"/>
              <w:ind w:firstLine="0" w:firstLineChars="0"/>
            </w:pPr>
            <w:r>
              <w:rPr>
                <w:rFonts w:hint="eastAsia"/>
                <w:szCs w:val="21"/>
              </w:rPr>
              <w:t>立行立改，长期坚持</w:t>
            </w:r>
          </w:p>
        </w:tc>
        <w:tc>
          <w:tcPr>
            <w:tcW w:w="1155" w:type="dxa"/>
            <w:vAlign w:val="center"/>
          </w:tcPr>
          <w:p>
            <w:pPr>
              <w:pStyle w:val="2"/>
              <w:ind w:firstLine="0" w:firstLineChars="0"/>
              <w:rPr>
                <w:szCs w:val="21"/>
              </w:rPr>
            </w:pPr>
            <w:r>
              <w:rPr>
                <w:rFonts w:hint="eastAsia"/>
              </w:rPr>
              <w:t>市生态环境局浈江分局、各镇（办）</w:t>
            </w:r>
          </w:p>
        </w:tc>
        <w:tc>
          <w:tcPr>
            <w:tcW w:w="1095" w:type="dxa"/>
            <w:vAlign w:val="center"/>
          </w:tcPr>
          <w:p>
            <w:pPr>
              <w:pStyle w:val="2"/>
              <w:ind w:firstLine="0" w:firstLineChars="0"/>
              <w:jc w:val="center"/>
              <w:rPr>
                <w:color w:val="auto"/>
                <w:szCs w:val="21"/>
              </w:rPr>
            </w:pPr>
            <w:r>
              <w:rPr>
                <w:rFonts w:hint="eastAsia"/>
              </w:rPr>
              <w:t>徐湘宜</w:t>
            </w:r>
          </w:p>
        </w:tc>
        <w:tc>
          <w:tcPr>
            <w:tcW w:w="6855" w:type="dxa"/>
            <w:vAlign w:val="center"/>
          </w:tcPr>
          <w:p>
            <w:pPr>
              <w:pStyle w:val="2"/>
              <w:ind w:firstLine="0" w:firstLineChars="0"/>
              <w:rPr>
                <w:szCs w:val="21"/>
              </w:rPr>
            </w:pPr>
            <w:r>
              <w:rPr>
                <w:rFonts w:hint="eastAsia"/>
                <w:szCs w:val="21"/>
              </w:rPr>
              <w:t>配合市级部门做好辖区内危险废物处理处置工作。</w:t>
            </w:r>
          </w:p>
          <w:p>
            <w:pPr>
              <w:pStyle w:val="2"/>
              <w:ind w:firstLine="0" w:firstLineChars="0"/>
              <w:rPr>
                <w:szCs w:val="21"/>
              </w:rPr>
            </w:pPr>
          </w:p>
        </w:tc>
        <w:tc>
          <w:tcPr>
            <w:tcW w:w="6583" w:type="dxa"/>
            <w:vAlign w:val="center"/>
          </w:tcPr>
          <w:p>
            <w:pPr>
              <w:pStyle w:val="2"/>
              <w:ind w:firstLine="0" w:firstLineChars="0"/>
              <w:rPr>
                <w:color w:val="auto"/>
                <w:szCs w:val="21"/>
              </w:rPr>
            </w:pPr>
          </w:p>
          <w:p>
            <w:pPr>
              <w:pStyle w:val="2"/>
              <w:ind w:firstLine="0" w:firstLineChars="0"/>
              <w:rPr>
                <w:color w:val="auto"/>
                <w:szCs w:val="21"/>
              </w:rPr>
            </w:pPr>
            <w:r>
              <w:rPr>
                <w:rFonts w:hint="eastAsia"/>
                <w:color w:val="auto"/>
                <w:szCs w:val="21"/>
              </w:rPr>
              <w:t>在防疫期间，我区积极开展对各类医疗机构的全面排查整治工作，重点检查医疗机构污水处理设施运行情况、应急预案制度落实情况，以及医疗废物收集、运送、贮存、处置活动中的相关监督管理台账；在疫情期间，我区积极主动协调韶关市波丽医疗废物处理有限公司车辆运输、处置医疗废物，确保医疗废物处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381" w:type="dxa"/>
            <w:vMerge w:val="restart"/>
            <w:vAlign w:val="center"/>
          </w:tcPr>
          <w:p>
            <w:pPr>
              <w:pStyle w:val="2"/>
              <w:ind w:firstLine="420"/>
              <w:rPr>
                <w:szCs w:val="21"/>
              </w:rPr>
            </w:pPr>
            <w:r>
              <w:rPr>
                <w:rFonts w:hint="eastAsia"/>
                <w:szCs w:val="21"/>
              </w:rPr>
              <w:t>十七、非法转移倾倒仍时有发生，2018年以来，全省涉危险废物倾倒案件400余起，其中跨省倾倒26起，仅肇庆市就发生跨省转移倾倒11起，倾倒危险废物765吨。一些危险废物经营单位高价接收危险废物却不规范处置, 广东恒兆环保公司将东莞市委托处置的316吨危险废物，分散倾倒在湖南省宜章县，造成6处12亩山地污染。</w:t>
            </w:r>
          </w:p>
        </w:tc>
        <w:tc>
          <w:tcPr>
            <w:tcW w:w="1020" w:type="dxa"/>
            <w:vMerge w:val="restart"/>
            <w:vAlign w:val="center"/>
          </w:tcPr>
          <w:p>
            <w:pPr>
              <w:pStyle w:val="2"/>
              <w:ind w:firstLine="0" w:firstLineChars="0"/>
              <w:rPr>
                <w:szCs w:val="21"/>
              </w:rPr>
            </w:pPr>
            <w:r>
              <w:rPr>
                <w:rFonts w:hint="eastAsia" w:ascii="Times New Roman" w:hAnsi="Times New Roman"/>
              </w:rPr>
              <w:t>严厉打击危险废物非法转移倾倒等环境违法行为，遏制危险废物非法转移倾倒现象。</w:t>
            </w:r>
          </w:p>
        </w:tc>
        <w:tc>
          <w:tcPr>
            <w:tcW w:w="840" w:type="dxa"/>
            <w:vMerge w:val="restart"/>
            <w:vAlign w:val="center"/>
          </w:tcPr>
          <w:p>
            <w:pPr>
              <w:pStyle w:val="2"/>
              <w:ind w:firstLine="0" w:firstLineChars="0"/>
              <w:rPr>
                <w:szCs w:val="21"/>
              </w:rPr>
            </w:pPr>
            <w:r>
              <w:rPr>
                <w:rFonts w:hint="eastAsia"/>
                <w:szCs w:val="21"/>
              </w:rPr>
              <w:t>立行立改，长期坚持</w:t>
            </w:r>
          </w:p>
        </w:tc>
        <w:tc>
          <w:tcPr>
            <w:tcW w:w="1155" w:type="dxa"/>
            <w:vMerge w:val="restart"/>
            <w:vAlign w:val="center"/>
          </w:tcPr>
          <w:p>
            <w:pPr>
              <w:pStyle w:val="2"/>
              <w:ind w:firstLine="0" w:firstLineChars="0"/>
              <w:rPr>
                <w:szCs w:val="21"/>
              </w:rPr>
            </w:pPr>
            <w:r>
              <w:rPr>
                <w:rFonts w:hint="eastAsia"/>
              </w:rPr>
              <w:t>市生态环境局浈江分局、市公安局浈江分局、区城市和综合执法局、各镇（办）</w:t>
            </w:r>
          </w:p>
        </w:tc>
        <w:tc>
          <w:tcPr>
            <w:tcW w:w="1095" w:type="dxa"/>
            <w:vMerge w:val="restart"/>
            <w:vAlign w:val="center"/>
          </w:tcPr>
          <w:p>
            <w:pPr>
              <w:pStyle w:val="2"/>
              <w:ind w:firstLine="0" w:firstLineChars="0"/>
            </w:pPr>
            <w:r>
              <w:rPr>
                <w:rFonts w:hint="eastAsia"/>
              </w:rPr>
              <w:t>徐湘宜</w:t>
            </w:r>
          </w:p>
          <w:p>
            <w:pPr>
              <w:pStyle w:val="2"/>
              <w:ind w:firstLine="0" w:firstLineChars="0"/>
            </w:pPr>
            <w:r>
              <w:rPr>
                <w:rFonts w:hint="eastAsia"/>
              </w:rPr>
              <w:t>何爱华</w:t>
            </w:r>
          </w:p>
          <w:p>
            <w:pPr>
              <w:pStyle w:val="2"/>
              <w:ind w:firstLine="0" w:firstLineChars="0"/>
              <w:rPr>
                <w:color w:val="auto"/>
                <w:szCs w:val="21"/>
              </w:rPr>
            </w:pPr>
            <w:r>
              <w:rPr>
                <w:rFonts w:hint="eastAsia"/>
              </w:rPr>
              <w:t>李朝亮</w:t>
            </w:r>
          </w:p>
        </w:tc>
        <w:tc>
          <w:tcPr>
            <w:tcW w:w="6855" w:type="dxa"/>
            <w:vAlign w:val="center"/>
          </w:tcPr>
          <w:p>
            <w:pPr>
              <w:pStyle w:val="2"/>
              <w:ind w:firstLine="0" w:firstLineChars="0"/>
              <w:rPr>
                <w:szCs w:val="21"/>
              </w:rPr>
            </w:pPr>
            <w:r>
              <w:rPr>
                <w:rFonts w:hint="eastAsia"/>
                <w:szCs w:val="21"/>
              </w:rPr>
              <w:t xml:space="preserve">    （一）组织辖区内危险废物产生和经营单位开展或者参加专题培训，提升责任主体知法守法意识，推动危险废物规范管理和依法处置；加强日常危险废物规范化管理检查，督促企业落实规范化管理要求，防范发生危险废物违法行为。</w:t>
            </w:r>
          </w:p>
        </w:tc>
        <w:tc>
          <w:tcPr>
            <w:tcW w:w="6583" w:type="dxa"/>
            <w:vAlign w:val="center"/>
          </w:tcPr>
          <w:p>
            <w:pPr>
              <w:pStyle w:val="2"/>
              <w:ind w:firstLine="0" w:firstLineChars="0"/>
              <w:rPr>
                <w:color w:val="auto"/>
                <w:szCs w:val="21"/>
              </w:rPr>
            </w:pPr>
            <w:r>
              <w:rPr>
                <w:rFonts w:hint="eastAsia"/>
                <w:szCs w:val="21"/>
              </w:rPr>
              <w:t>组织辖区内危险废物</w:t>
            </w:r>
            <w:r>
              <w:rPr>
                <w:rFonts w:hint="eastAsia"/>
                <w:szCs w:val="21"/>
                <w:lang w:eastAsia="zh-CN"/>
              </w:rPr>
              <w:t>产生单位</w:t>
            </w:r>
            <w:r>
              <w:rPr>
                <w:rFonts w:hint="eastAsia"/>
                <w:szCs w:val="21"/>
              </w:rPr>
              <w:t>参加</w:t>
            </w:r>
            <w:r>
              <w:rPr>
                <w:rFonts w:hint="eastAsia"/>
                <w:szCs w:val="21"/>
                <w:lang w:eastAsia="zh-CN"/>
              </w:rPr>
              <w:t>市生态环境局组织的</w:t>
            </w:r>
            <w:r>
              <w:rPr>
                <w:rFonts w:hint="eastAsia"/>
                <w:szCs w:val="21"/>
              </w:rPr>
              <w:t>专题培训，提升责任主体知法守法意识，推动危险废物规范管理和依法处置；加强日常危险废物规范化管理检查，督促企业落实规范化管理要求，防范发生危险废物违法行为。</w:t>
            </w:r>
            <w:r>
              <w:rPr>
                <w:rFonts w:hint="eastAsia"/>
                <w:color w:val="auto"/>
                <w:szCs w:val="21"/>
                <w:lang w:val="en-US" w:eastAsia="zh-CN"/>
              </w:rPr>
              <w:t>2022年</w:t>
            </w:r>
            <w:r>
              <w:rPr>
                <w:rFonts w:hint="eastAsia"/>
                <w:color w:val="auto"/>
                <w:szCs w:val="21"/>
              </w:rPr>
              <w:t>本区</w:t>
            </w:r>
            <w:r>
              <w:rPr>
                <w:rFonts w:hint="eastAsia"/>
                <w:color w:val="000000" w:themeColor="text1"/>
                <w:szCs w:val="21"/>
                <w14:textFill>
                  <w14:solidFill>
                    <w14:schemeClr w14:val="tx1"/>
                  </w14:solidFill>
                </w14:textFill>
              </w:rPr>
              <w:t>未</w:t>
            </w:r>
            <w:r>
              <w:rPr>
                <w:rFonts w:hint="eastAsia"/>
                <w:color w:val="auto"/>
                <w:szCs w:val="21"/>
              </w:rPr>
              <w:t>发现危险废物非法转移倾倒等违法行为。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（二）市公安局浈江分局强化打击效能，以公安部部署开展的“昆仑”专项行动及省公安厅每年组织开展的打击突出刑事犯罪专项行动为有力抓手，加大打击工作力度，切实推动打击工作纵深开展。</w:t>
            </w:r>
          </w:p>
        </w:tc>
        <w:tc>
          <w:tcPr>
            <w:tcW w:w="6583" w:type="dxa"/>
            <w:vAlign w:val="center"/>
          </w:tcPr>
          <w:p>
            <w:pPr>
              <w:pStyle w:val="2"/>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省、市工作部署，公安机关以维护全区生态环境可持续发展为目标，切实加强组织领导，明确工作目标，落实工作责任，严厉打击倾倒危险废物污染环境违法犯罪行为；同时积极配合相关职能部门开展环境保护行政执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381" w:type="dxa"/>
            <w:vMerge w:val="continue"/>
            <w:vAlign w:val="center"/>
          </w:tcPr>
          <w:p>
            <w:pPr>
              <w:pStyle w:val="2"/>
              <w:ind w:firstLine="0" w:firstLineChars="0"/>
            </w:pPr>
          </w:p>
        </w:tc>
        <w:tc>
          <w:tcPr>
            <w:tcW w:w="1020" w:type="dxa"/>
            <w:vMerge w:val="continue"/>
            <w:vAlign w:val="center"/>
          </w:tcPr>
          <w:p>
            <w:pPr>
              <w:pStyle w:val="2"/>
              <w:ind w:firstLine="0" w:firstLineChars="0"/>
            </w:pPr>
          </w:p>
        </w:tc>
        <w:tc>
          <w:tcPr>
            <w:tcW w:w="840" w:type="dxa"/>
            <w:vMerge w:val="continue"/>
            <w:vAlign w:val="center"/>
          </w:tcPr>
          <w:p>
            <w:pPr>
              <w:pStyle w:val="2"/>
              <w:ind w:firstLine="0" w:firstLineChars="0"/>
            </w:pPr>
          </w:p>
        </w:tc>
        <w:tc>
          <w:tcPr>
            <w:tcW w:w="1155" w:type="dxa"/>
            <w:vMerge w:val="continue"/>
            <w:vAlign w:val="center"/>
          </w:tcPr>
          <w:p>
            <w:pPr>
              <w:pStyle w:val="2"/>
              <w:ind w:firstLine="0" w:firstLineChars="0"/>
            </w:pPr>
          </w:p>
        </w:tc>
        <w:tc>
          <w:tcPr>
            <w:tcW w:w="1095" w:type="dxa"/>
            <w:vMerge w:val="continue"/>
            <w:vAlign w:val="center"/>
          </w:tcPr>
          <w:p>
            <w:pPr>
              <w:pStyle w:val="2"/>
              <w:ind w:firstLine="0" w:firstLineChars="0"/>
              <w:jc w:val="center"/>
              <w:rPr>
                <w:color w:val="auto"/>
                <w:szCs w:val="21"/>
              </w:rPr>
            </w:pPr>
          </w:p>
        </w:tc>
        <w:tc>
          <w:tcPr>
            <w:tcW w:w="6855" w:type="dxa"/>
            <w:vAlign w:val="center"/>
          </w:tcPr>
          <w:p>
            <w:pPr>
              <w:pStyle w:val="2"/>
              <w:ind w:firstLine="0" w:firstLineChars="0"/>
              <w:rPr>
                <w:szCs w:val="21"/>
              </w:rPr>
            </w:pPr>
            <w:r>
              <w:rPr>
                <w:rFonts w:hint="eastAsia"/>
                <w:szCs w:val="21"/>
              </w:rPr>
              <w:t xml:space="preserve">    （三）市生态环境局浈江分局、市公安局浈江分局、区城市和综合执法局联合建立联防联控机制，加大对非法转移倾倒危险废物等环境违法行为的打击力度，构成刑事犯罪的线索及时移送公安机关依法侦办；加强与周边城市、县区的沟通协作，畅通信息互通共享渠道，建立完善案情通报等机制，强化联合打击协作机制，有效遏制向外省非法转移倾倒危险废物犯罪势头。</w:t>
            </w:r>
          </w:p>
        </w:tc>
        <w:tc>
          <w:tcPr>
            <w:tcW w:w="6583" w:type="dxa"/>
            <w:vAlign w:val="center"/>
          </w:tcPr>
          <w:p>
            <w:pPr>
              <w:pStyle w:val="2"/>
              <w:ind w:firstLine="0" w:firstLineChars="0"/>
              <w:rPr>
                <w:color w:val="auto"/>
                <w:szCs w:val="21"/>
              </w:rPr>
            </w:pPr>
            <w:r>
              <w:rPr>
                <w:rFonts w:hint="eastAsia"/>
                <w:color w:val="auto"/>
                <w:szCs w:val="21"/>
              </w:rPr>
              <w:t>结合日常检查，双随机检查及群众举报，加大对非法转移倾倒危险废物等环境违法</w:t>
            </w:r>
            <w:r>
              <w:rPr>
                <w:rFonts w:hint="eastAsia"/>
                <w:color w:val="auto"/>
                <w:szCs w:val="21"/>
                <w:lang w:eastAsia="zh-CN"/>
              </w:rPr>
              <w:t>的执法力度</w:t>
            </w:r>
            <w:r>
              <w:rPr>
                <w:rFonts w:hint="eastAsia"/>
                <w:color w:val="auto"/>
                <w:szCs w:val="21"/>
              </w:rPr>
              <w:t>，发现涉刑情况及时保留证据并移交公安机关处理，</w:t>
            </w:r>
            <w:r>
              <w:rPr>
                <w:rFonts w:hint="eastAsia"/>
                <w:color w:val="auto"/>
                <w:szCs w:val="21"/>
                <w:lang w:val="en-US" w:eastAsia="zh-CN"/>
              </w:rPr>
              <w:t>2022年</w:t>
            </w:r>
            <w:r>
              <w:rPr>
                <w:rFonts w:hint="eastAsia"/>
                <w:color w:val="auto"/>
                <w:szCs w:val="21"/>
              </w:rPr>
              <w:t>浈江区未发现非法转移倾倒危险废物的违法行为。</w:t>
            </w:r>
          </w:p>
        </w:tc>
      </w:tr>
    </w:tbl>
    <w:p>
      <w:pPr>
        <w:pStyle w:val="2"/>
        <w:ind w:firstLine="0" w:firstLineChars="0"/>
        <w:rPr>
          <w:szCs w:val="21"/>
        </w:rPr>
      </w:pPr>
    </w:p>
    <w:p/>
    <w:p/>
    <w:p/>
    <w:p/>
    <w:p/>
    <w:sectPr>
      <w:pgSz w:w="23757" w:h="16783" w:orient="landscape"/>
      <w:pgMar w:top="1587" w:right="2098" w:bottom="1474" w:left="1984"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117C6"/>
    <w:rsid w:val="000F140A"/>
    <w:rsid w:val="001B67B6"/>
    <w:rsid w:val="0037274E"/>
    <w:rsid w:val="004822DC"/>
    <w:rsid w:val="005B6D2D"/>
    <w:rsid w:val="006C4C86"/>
    <w:rsid w:val="008D405C"/>
    <w:rsid w:val="008E3BE2"/>
    <w:rsid w:val="008F0CB2"/>
    <w:rsid w:val="00903512"/>
    <w:rsid w:val="00934B4D"/>
    <w:rsid w:val="009B4A90"/>
    <w:rsid w:val="009E639C"/>
    <w:rsid w:val="00C4292D"/>
    <w:rsid w:val="00C65129"/>
    <w:rsid w:val="00C72C7A"/>
    <w:rsid w:val="00CC6E30"/>
    <w:rsid w:val="00D358DA"/>
    <w:rsid w:val="00DD36FD"/>
    <w:rsid w:val="00E31249"/>
    <w:rsid w:val="00E7036C"/>
    <w:rsid w:val="00F47192"/>
    <w:rsid w:val="00FC0F17"/>
    <w:rsid w:val="00FD4E7F"/>
    <w:rsid w:val="016D3628"/>
    <w:rsid w:val="05D75E36"/>
    <w:rsid w:val="1C72562E"/>
    <w:rsid w:val="1E6B1850"/>
    <w:rsid w:val="1EF8630E"/>
    <w:rsid w:val="1FBD9ED3"/>
    <w:rsid w:val="21B20D17"/>
    <w:rsid w:val="23BD50E3"/>
    <w:rsid w:val="25167580"/>
    <w:rsid w:val="27F76A4C"/>
    <w:rsid w:val="2E3DFCF1"/>
    <w:rsid w:val="2F75FD6A"/>
    <w:rsid w:val="3C9D2EE8"/>
    <w:rsid w:val="3CF94B93"/>
    <w:rsid w:val="3DE796E1"/>
    <w:rsid w:val="4FFBCCD3"/>
    <w:rsid w:val="53E79BBA"/>
    <w:rsid w:val="5B2FE97C"/>
    <w:rsid w:val="5DFF0D0D"/>
    <w:rsid w:val="636A8D0B"/>
    <w:rsid w:val="6AF9459A"/>
    <w:rsid w:val="6D9BF047"/>
    <w:rsid w:val="6E623DA4"/>
    <w:rsid w:val="6EFF87DD"/>
    <w:rsid w:val="6FFFB712"/>
    <w:rsid w:val="7277EF4D"/>
    <w:rsid w:val="74395EFB"/>
    <w:rsid w:val="75844696"/>
    <w:rsid w:val="75EE3E04"/>
    <w:rsid w:val="75F67092"/>
    <w:rsid w:val="775FC2DF"/>
    <w:rsid w:val="7776AF46"/>
    <w:rsid w:val="77770740"/>
    <w:rsid w:val="77ADF4E0"/>
    <w:rsid w:val="7AFC52DC"/>
    <w:rsid w:val="7B3C02B9"/>
    <w:rsid w:val="7BBE6558"/>
    <w:rsid w:val="7BD117C6"/>
    <w:rsid w:val="7D2762BD"/>
    <w:rsid w:val="7D6C4BE3"/>
    <w:rsid w:val="7DBE0B81"/>
    <w:rsid w:val="7DCF7751"/>
    <w:rsid w:val="7E3B6859"/>
    <w:rsid w:val="7ED693B8"/>
    <w:rsid w:val="7F0D0AC5"/>
    <w:rsid w:val="7F7F1EA4"/>
    <w:rsid w:val="7FAA02E4"/>
    <w:rsid w:val="7FBEBFE6"/>
    <w:rsid w:val="7FDD9232"/>
    <w:rsid w:val="7FFB3954"/>
    <w:rsid w:val="8F7C7F04"/>
    <w:rsid w:val="97DA78DC"/>
    <w:rsid w:val="9BEE86B1"/>
    <w:rsid w:val="9EFC13F0"/>
    <w:rsid w:val="9FFA385F"/>
    <w:rsid w:val="A7DA0200"/>
    <w:rsid w:val="A7FE3533"/>
    <w:rsid w:val="B2DBC023"/>
    <w:rsid w:val="B7FDA5D3"/>
    <w:rsid w:val="BDF67187"/>
    <w:rsid w:val="BEDB0C4D"/>
    <w:rsid w:val="BEFAF889"/>
    <w:rsid w:val="C35F8B05"/>
    <w:rsid w:val="C9DF5E98"/>
    <w:rsid w:val="D1FF687D"/>
    <w:rsid w:val="DBFE55F6"/>
    <w:rsid w:val="DCDE4174"/>
    <w:rsid w:val="DDBFED83"/>
    <w:rsid w:val="DFBFD49B"/>
    <w:rsid w:val="DFD97291"/>
    <w:rsid w:val="DFEF4A1B"/>
    <w:rsid w:val="E6DF4356"/>
    <w:rsid w:val="E7643106"/>
    <w:rsid w:val="E7674FA5"/>
    <w:rsid w:val="EF1F4F4A"/>
    <w:rsid w:val="EFEF5ECE"/>
    <w:rsid w:val="F77789BD"/>
    <w:rsid w:val="F7FE78CB"/>
    <w:rsid w:val="F9A3EC7F"/>
    <w:rsid w:val="FB3F13C2"/>
    <w:rsid w:val="FB63DF0A"/>
    <w:rsid w:val="FBAEB2A9"/>
    <w:rsid w:val="FBEDE3A9"/>
    <w:rsid w:val="FBF81D78"/>
    <w:rsid w:val="FDCF4A5B"/>
    <w:rsid w:val="FDDD4563"/>
    <w:rsid w:val="FFA6F2CE"/>
    <w:rsid w:val="FFBEF92A"/>
    <w:rsid w:val="FFDF0501"/>
    <w:rsid w:val="FFF65037"/>
    <w:rsid w:val="FFFF8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next w:val="3"/>
    <w:qFormat/>
    <w:uiPriority w:val="0"/>
    <w:pPr>
      <w:widowControl w:val="0"/>
      <w:ind w:firstLine="664" w:firstLineChars="200"/>
      <w:jc w:val="both"/>
    </w:pPr>
    <w:rPr>
      <w:rFonts w:ascii="Calibri" w:hAnsi="Calibri" w:eastAsia="楷体_GB2312" w:cs="Times New Roman"/>
      <w:color w:val="000000"/>
      <w:kern w:val="2"/>
      <w:sz w:val="21"/>
      <w:szCs w:val="24"/>
      <w:lang w:val="en-US" w:eastAsia="zh-CN"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toc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w:qFormat/>
    <w:uiPriority w:val="0"/>
    <w:pPr>
      <w:widowControl w:val="0"/>
      <w:autoSpaceDE w:val="0"/>
      <w:autoSpaceDN w:val="0"/>
      <w:adjustRightInd w:val="0"/>
      <w:spacing w:line="315" w:lineRule="atLeast"/>
    </w:pPr>
    <w:rPr>
      <w:rFonts w:ascii="宋体" w:hAnsi="Times New Roman" w:eastAsia="宋体" w:cs="Times New Roman"/>
      <w:sz w:val="21"/>
      <w:lang w:val="en-US" w:eastAsia="zh-CN" w:bidi="ar-SA"/>
    </w:rPr>
  </w:style>
  <w:style w:type="character" w:customStyle="1" w:styleId="15">
    <w:name w:val="页眉 字符"/>
    <w:basedOn w:val="11"/>
    <w:link w:val="7"/>
    <w:qFormat/>
    <w:uiPriority w:val="0"/>
    <w:rPr>
      <w:rFonts w:ascii="Calibri" w:hAnsi="Calibri"/>
      <w:kern w:val="2"/>
      <w:sz w:val="18"/>
      <w:szCs w:val="18"/>
    </w:rPr>
  </w:style>
  <w:style w:type="character" w:customStyle="1" w:styleId="16">
    <w:name w:val="页脚 字符"/>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韶关市生态环境局</Company>
  <Pages>21</Pages>
  <Words>2721</Words>
  <Characters>15511</Characters>
  <Lines>129</Lines>
  <Paragraphs>36</Paragraphs>
  <TotalTime>3</TotalTime>
  <ScaleCrop>false</ScaleCrop>
  <LinksUpToDate>false</LinksUpToDate>
  <CharactersWithSpaces>18196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2022-04-03T17:47:00Z</dcterms:created>
  <dc:creator>林雪青</dc:creator>
  <cp:lastModifiedBy>user</cp:lastModifiedBy>
  <cp:lastPrinted>2022-10-22T14:50:00Z</cp:lastPrinted>
  <dcterms:modified xsi:type="dcterms:W3CDTF">2023-04-11T15:59:12Z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DD0FFA230187455F9A9FFDFEB065ECD0</vt:lpwstr>
  </property>
  <property fmtid="{D5CDD505-2E9C-101B-9397-08002B2CF9AE}" pid="4" name="btnFileSaveAsFlag">
    <vt:lpwstr>0</vt:lpwstr>
  </property>
  <property fmtid="{D5CDD505-2E9C-101B-9397-08002B2CF9AE}" pid="5" name="btnFileSaveFlag">
    <vt:lpwstr>1</vt:lpwstr>
  </property>
  <property fmtid="{D5CDD505-2E9C-101B-9397-08002B2CF9AE}" pid="6" name="code20">
    <vt:lpwstr>ogy9tv8bh458jaml1dj4g1</vt:lpwstr>
  </property>
  <property fmtid="{D5CDD505-2E9C-101B-9397-08002B2CF9AE}" pid="7" name="codetype">
    <vt:lpwstr>encrypt</vt:lpwstr>
  </property>
  <property fmtid="{D5CDD505-2E9C-101B-9397-08002B2CF9AE}" pid="8" name="cp_browser">
    <vt:lpwstr>chrome</vt:lpwstr>
  </property>
  <property fmtid="{D5CDD505-2E9C-101B-9397-08002B2CF9AE}" pid="9" name="cp_itemId">
    <vt:lpwstr>9440795</vt:lpwstr>
  </property>
  <property fmtid="{D5CDD505-2E9C-101B-9397-08002B2CF9AE}" pid="10" name="cp_itemType">
    <vt:lpwstr>missive</vt:lpwstr>
  </property>
  <property fmtid="{D5CDD505-2E9C-101B-9397-08002B2CF9AE}" pid="11" name="cp_title">
    <vt:lpwstr>韶关市生态环境保护督察整改工作情况专报（第2期）</vt:lpwstr>
  </property>
  <property fmtid="{D5CDD505-2E9C-101B-9397-08002B2CF9AE}" pid="12" name="isOA">
    <vt:bool>true</vt:bool>
  </property>
  <property fmtid="{D5CDD505-2E9C-101B-9397-08002B2CF9AE}" pid="13" name="openType">
    <vt:lpwstr>1</vt:lpwstr>
  </property>
  <property fmtid="{D5CDD505-2E9C-101B-9397-08002B2CF9AE}" pid="14" name="showButton">
    <vt:lpwstr>WPSExtOfficeTab;btnShowRevision;btnUploadOA</vt:lpwstr>
  </property>
  <property fmtid="{D5CDD505-2E9C-101B-9397-08002B2CF9AE}" pid="15" name="uploadPath">
    <vt:lpwstr>https://xtbgsafe.gdzwfw.gov.cn/sgoa/instance-web/minstone/wfDocBody/saveFileBody?flowInid=9440795&amp;stepInco=58488162&amp;dealIndx=0&amp;flowId=379&amp;stepCode=65&amp;readOnly=&amp;curUserCode=13827908308&amp;sysCode=MD_SG_OA&amp;r=0.8168967250993393&amp;tenantCode=GDSXXZX&amp;fileType=0&amp;fil</vt:lpwstr>
  </property>
  <property fmtid="{D5CDD505-2E9C-101B-9397-08002B2CF9AE}" pid="16" name="urlParams">
    <vt:lpwstr>flowInid=9440795&amp;stepInco=58488162&amp;dealIndx=0&amp;flowId=379&amp;stepCode=65&amp;readOnly=&amp;curUserCode=13827908308&amp;sysCode=MD_SG_OA&amp;r=0.8168967250993393&amp;tenantCode=GDSXXZX&amp;fileType=0&amp;fileCode=o_1ful617fj1otqvoo7go4q18kjg&amp;id=o_1ful617fj1otqvoo7go4q18kjg&amp;attachUuid=491</vt:lpwstr>
  </property>
  <property fmtid="{D5CDD505-2E9C-101B-9397-08002B2CF9AE}" pid="17" name="userName">
    <vt:lpwstr>朱卫斌</vt:lpwstr>
  </property>
  <property fmtid="{D5CDD505-2E9C-101B-9397-08002B2CF9AE}" pid="18" name="lockDocUrl">
    <vt:lpwstr>https://xtbgsafe.gdzwfw.gov.cn/sgoa/instance-web/minstone/wfDocBody/getLockInfo?flowInid=9440795&amp;stepInco=58488162&amp;dealIndx=0&amp;flowId=379&amp;stepCode=65&amp;readOnly=&amp;curUserCode=13827908308&amp;sysCode=MD_SG_OA&amp;r=0.8168967250993393&amp;tenantCode=GDSXXZX&amp;fileType=0&amp;file</vt:lpwstr>
  </property>
  <property fmtid="{D5CDD505-2E9C-101B-9397-08002B2CF9AE}" pid="19" name="copyUrl">
    <vt:lpwstr>https://xtbgsafe.gdzwfw.gov.cn/sgoa/instance-web/minstone/wfDocBody/copyDoc?flowInid=9440795&amp;stepInco=58488162&amp;dealIndx=0&amp;flowId=379&amp;stepCode=65&amp;readOnly=&amp;curUserCode=13827908308&amp;sysCode=MD_SG_OA&amp;r=0.8168967250993393&amp;tenantCode=GDSXXZX&amp;fileType=0&amp;fileCode</vt:lpwstr>
  </property>
  <property fmtid="{D5CDD505-2E9C-101B-9397-08002B2CF9AE}" pid="20" name="pdfCopyUrl">
    <vt:lpwstr>https://xtbgsafe.gdzwfw.gov.cn/sgoa/instance-web/minstone/wfDocBody/pdfCopyDoc?flowInid=9440795&amp;stepInco=58488162&amp;dealIndx=0&amp;flowId=379&amp;stepCode=65&amp;readOnly=&amp;curUserCode=13827908308&amp;sysCode=MD_SG_OA&amp;r=0.8168967250993393&amp;tenantCode=GDSXXZX&amp;fileType=0&amp;fileC</vt:lpwstr>
  </property>
  <property fmtid="{D5CDD505-2E9C-101B-9397-08002B2CF9AE}" pid="21" name="unLockDocurl">
    <vt:lpwstr>https://xtbgsafe.gdzwfw.gov.cn/sgoa/instance-web/minstone/wfDocBody/unLockDoc?flowInid=9440795&amp;stepInco=58488162&amp;dealIndx=0&amp;flowId=379&amp;stepCode=65&amp;readOnly=&amp;curUserCode=13827908308&amp;sysCode=MD_SG_OA&amp;r=0.8168967250993393&amp;tenantCode=GDSXXZX&amp;fileType=0&amp;fileCo</vt:lpwstr>
  </property>
  <property fmtid="{D5CDD505-2E9C-101B-9397-08002B2CF9AE}" pid="22" name="ribbonExt">
    <vt:lpwstr>{"WPSExtOfficeTab":{"OnGetEnabled":true,"OnGetVisible":true},"btnUploadOA":{"OnGetEnabled":true,"OnGetVisible":true,"OnGetLabel":"保存","GetImage":"icon/uploadoa.ico"},"btnSaveAsLocal":{"OnGetEnabled":false,"OnGetVisible":false,"OnGetLabel":"另存文件","GetImage</vt:lpwstr>
  </property>
  <property fmtid="{D5CDD505-2E9C-101B-9397-08002B2CF9AE}" pid="23" name="showSavePromptFlag">
    <vt:lpwstr>true</vt:lpwstr>
  </property>
</Properties>
</file>