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ind w:left="0" w:leftChars="0"/>
        <w:jc w:val="both"/>
        <w:rPr>
          <w:rFonts w:hint="eastAsia"/>
          <w:spacing w:val="20"/>
        </w:rPr>
      </w:pPr>
      <w:bookmarkStart w:id="1" w:name="_GoBack"/>
      <w:bookmarkEnd w:id="1"/>
      <w:bookmarkStart w:id="0" w:name="redhead"/>
    </w:p>
    <w:bookmarkEnd w:id="0"/>
    <w:p>
      <w:pPr>
        <w:pStyle w:val="12"/>
        <w:ind w:left="0" w:leftChars="0"/>
        <w:jc w:val="center"/>
        <w:rPr>
          <w:rFonts w:hint="eastAsia"/>
          <w:spacing w:val="20"/>
        </w:rPr>
      </w:pPr>
      <w:r>
        <w:pict>
          <v:shape id="_x0000_s1026" o:spid="_x0000_s1026" o:spt="136" type="#_x0000_t136" style="position:absolute;left:0pt;margin-left:12.8pt;margin-top:18.15pt;height:39.75pt;width:404.25pt;mso-wrap-distance-bottom:0pt;mso-wrap-distance-left:9pt;mso-wrap-distance-right:9pt;mso-wrap-distance-top:0pt;z-index:251661312;mso-width-relative:page;mso-height-relative:page;" fillcolor="#FF0000" filled="t" stroked="f" coordsize="21600,21600">
            <v:path/>
            <v:fill on="t" color2="#FF9933" focussize="0,0"/>
            <v:stroke on="f"/>
            <v:imagedata o:title=""/>
            <o:lock v:ext="edit"/>
            <v:textpath on="t" fitshape="t" fitpath="t" trim="t" xscale="f" string="区政府常务会议纪要" style="font-family:黑体;font-size:40pt;font-weight:bold;v-rotate-letters:f;v-same-letter-heights:f;v-text-align:center;v-text-spacing:78650f;"/>
            <v:shadow on="t" obscured="f" color="#C0C0C0" opacity="52429f"/>
            <w10:wrap type="square"/>
          </v:shape>
        </w:pict>
      </w:r>
    </w:p>
    <w:p>
      <w:pPr>
        <w:pStyle w:val="12"/>
        <w:ind w:left="0" w:leftChars="0"/>
        <w:jc w:val="center"/>
        <w:rPr>
          <w:rFonts w:hint="eastAsia"/>
          <w:spacing w:val="20"/>
        </w:rPr>
      </w:pPr>
    </w:p>
    <w:p>
      <w:pPr>
        <w:pStyle w:val="24"/>
        <w:spacing w:line="560" w:lineRule="exact"/>
        <w:ind w:left="-223" w:leftChars="-200" w:hanging="417" w:hangingChars="116"/>
        <w:jc w:val="center"/>
        <w:rPr>
          <w:rFonts w:hint="eastAsia" w:ascii="仿宋_GB2312" w:eastAsia="仿宋_GB2312" w:cs="仿宋_GB2312"/>
          <w:color w:val="000000"/>
          <w:sz w:val="36"/>
          <w:szCs w:val="36"/>
        </w:rPr>
      </w:pPr>
      <w:r>
        <w:rPr>
          <w:rFonts w:hint="eastAsia" w:ascii="仿宋_GB2312" w:eastAsia="仿宋_GB2312" w:cs="仿宋_GB2312"/>
          <w:color w:val="000000"/>
          <w:sz w:val="36"/>
          <w:szCs w:val="36"/>
          <w:lang w:val="en-US" w:eastAsia="zh-CN"/>
        </w:rPr>
        <w:t xml:space="preserve">      </w:t>
      </w:r>
      <w:r>
        <w:rPr>
          <w:rFonts w:hint="eastAsia" w:ascii="仿宋_GB2312" w:eastAsia="仿宋_GB2312" w:cs="仿宋_GB2312"/>
          <w:color w:val="000000"/>
          <w:sz w:val="36"/>
          <w:szCs w:val="36"/>
        </w:rPr>
        <w:t>（</w:t>
      </w:r>
      <w:r>
        <w:rPr>
          <w:rFonts w:hint="eastAsia" w:ascii="仿宋_GB2312" w:eastAsia="仿宋_GB2312" w:cs="仿宋_GB2312"/>
          <w:color w:val="000000"/>
          <w:sz w:val="36"/>
          <w:szCs w:val="36"/>
          <w:lang w:eastAsia="zh-CN"/>
        </w:rPr>
        <w:t>十</w:t>
      </w:r>
      <w:r>
        <w:rPr>
          <w:rFonts w:hint="eastAsia" w:ascii="仿宋_GB2312" w:hAnsi="宋体" w:eastAsia="仿宋_GB2312" w:cs="仿宋_GB2312"/>
          <w:color w:val="000000"/>
          <w:sz w:val="36"/>
          <w:szCs w:val="36"/>
        </w:rPr>
        <w:t>届</w:t>
      </w:r>
      <w:r>
        <w:rPr>
          <w:rFonts w:hint="eastAsia" w:ascii="仿宋_GB2312" w:hAnsi="宋体" w:eastAsia="仿宋_GB2312" w:cs="仿宋_GB2312"/>
          <w:color w:val="000000"/>
          <w:sz w:val="36"/>
          <w:szCs w:val="36"/>
          <w:lang w:val="en-US" w:eastAsia="zh-CN"/>
        </w:rPr>
        <w:t>26</w:t>
      </w:r>
      <w:r>
        <w:rPr>
          <w:rFonts w:hint="eastAsia" w:ascii="仿宋_GB2312" w:hAnsi="宋体" w:eastAsia="仿宋_GB2312" w:cs="仿宋_GB2312"/>
          <w:color w:val="000000"/>
          <w:sz w:val="36"/>
          <w:szCs w:val="36"/>
        </w:rPr>
        <w:t>次</w:t>
      </w:r>
      <w:r>
        <w:rPr>
          <w:rFonts w:hint="eastAsia" w:ascii="仿宋_GB2312" w:eastAsia="仿宋_GB2312" w:cs="仿宋_GB2312"/>
          <w:color w:val="000000"/>
          <w:sz w:val="36"/>
          <w:szCs w:val="36"/>
        </w:rPr>
        <w:t>）</w:t>
      </w:r>
    </w:p>
    <w:p>
      <w:pPr>
        <w:pStyle w:val="24"/>
        <w:spacing w:line="560" w:lineRule="exact"/>
        <w:ind w:left="-223" w:leftChars="-200" w:hanging="417" w:hangingChars="116"/>
        <w:jc w:val="center"/>
        <w:rPr>
          <w:rFonts w:hint="eastAsia" w:ascii="仿宋_GB2312" w:eastAsia="仿宋_GB2312" w:cs="仿宋_GB2312"/>
          <w:color w:val="000000"/>
          <w:sz w:val="36"/>
          <w:szCs w:val="36"/>
        </w:rPr>
      </w:pPr>
    </w:p>
    <w:p>
      <w:pPr>
        <w:pStyle w:val="24"/>
        <w:spacing w:line="560" w:lineRule="exact"/>
        <w:ind w:left="-223" w:leftChars="-200" w:hanging="417" w:hangingChars="116"/>
        <w:jc w:val="center"/>
        <w:rPr>
          <w:rFonts w:hint="eastAsia" w:ascii="仿宋_GB2312" w:eastAsia="仿宋_GB2312" w:cs="仿宋_GB2312"/>
          <w:color w:val="000000"/>
          <w:sz w:val="36"/>
          <w:szCs w:val="36"/>
        </w:rPr>
      </w:pPr>
    </w:p>
    <w:p>
      <w:pPr>
        <w:pStyle w:val="24"/>
        <w:spacing w:line="560" w:lineRule="exact"/>
        <w:rPr>
          <w:rFonts w:ascii="仿宋_GB2312" w:hAnsi="宋体" w:eastAsia="仿宋_GB2312"/>
          <w:color w:val="000000"/>
          <w:sz w:val="32"/>
          <w:szCs w:val="32"/>
        </w:rPr>
      </w:pPr>
      <w:r>
        <w:rPr>
          <w:rFonts w:hint="eastAsia" w:ascii="楷体_GB2312" w:eastAsia="楷体_GB2312" w:cs="楷体_GB2312"/>
          <w:color w:val="000000"/>
          <w:sz w:val="32"/>
          <w:szCs w:val="32"/>
        </w:rPr>
        <w:t>韶关市浈江区人民政府办公室</w:t>
      </w:r>
      <w:r>
        <w:rPr>
          <w:rFonts w:ascii="楷体_GB2312" w:eastAsia="楷体_GB2312" w:cs="楷体_GB2312"/>
          <w:color w:val="000000"/>
          <w:sz w:val="32"/>
          <w:szCs w:val="32"/>
        </w:rPr>
        <w:t xml:space="preserve">     </w:t>
      </w:r>
      <w:r>
        <w:rPr>
          <w:rFonts w:hint="eastAsia" w:ascii="楷体_GB2312" w:eastAsia="楷体_GB2312" w:cs="楷体_GB2312"/>
          <w:color w:val="000000"/>
          <w:sz w:val="32"/>
          <w:szCs w:val="32"/>
        </w:rPr>
        <w:t xml:space="preserve">  </w:t>
      </w:r>
      <w:r>
        <w:rPr>
          <w:rFonts w:hint="eastAsia" w:ascii="楷体_GB2312" w:eastAsia="楷体_GB2312" w:cs="楷体_GB2312"/>
          <w:color w:val="000000"/>
          <w:sz w:val="32"/>
          <w:szCs w:val="32"/>
          <w:lang w:val="en-US" w:eastAsia="zh-CN"/>
        </w:rPr>
        <w:t xml:space="preserve">     </w:t>
      </w:r>
      <w:r>
        <w:rPr>
          <w:rFonts w:ascii="楷体_GB2312" w:eastAsia="楷体_GB2312" w:cs="楷体_GB2312"/>
          <w:color w:val="000000"/>
          <w:sz w:val="32"/>
          <w:szCs w:val="32"/>
        </w:rPr>
        <w:t>20</w:t>
      </w:r>
      <w:r>
        <w:rPr>
          <w:rFonts w:hint="eastAsia" w:ascii="楷体_GB2312" w:eastAsia="楷体_GB2312" w:cs="楷体_GB2312"/>
          <w:color w:val="000000"/>
          <w:sz w:val="32"/>
          <w:szCs w:val="32"/>
        </w:rPr>
        <w:t>2</w:t>
      </w:r>
      <w:r>
        <w:rPr>
          <w:rFonts w:hint="eastAsia" w:ascii="楷体_GB2312" w:eastAsia="楷体_GB2312" w:cs="楷体_GB2312"/>
          <w:color w:val="000000"/>
          <w:sz w:val="32"/>
          <w:szCs w:val="32"/>
          <w:lang w:val="en-US" w:eastAsia="zh-CN"/>
        </w:rPr>
        <w:t>2</w:t>
      </w:r>
      <w:r>
        <w:rPr>
          <w:rFonts w:hint="eastAsia" w:ascii="楷体_GB2312" w:eastAsia="楷体_GB2312" w:cs="楷体_GB2312"/>
          <w:color w:val="000000"/>
          <w:sz w:val="32"/>
          <w:szCs w:val="32"/>
        </w:rPr>
        <w:t>年</w:t>
      </w:r>
      <w:r>
        <w:rPr>
          <w:rFonts w:hint="eastAsia" w:ascii="楷体_GB2312" w:eastAsia="楷体_GB2312" w:cs="楷体_GB2312"/>
          <w:color w:val="000000"/>
          <w:sz w:val="32"/>
          <w:szCs w:val="32"/>
          <w:lang w:val="en-US" w:eastAsia="zh-CN"/>
        </w:rPr>
        <w:t>12</w:t>
      </w:r>
      <w:r>
        <w:rPr>
          <w:rFonts w:hint="eastAsia" w:ascii="楷体_GB2312" w:eastAsia="楷体_GB2312" w:cs="楷体_GB2312"/>
          <w:color w:val="000000"/>
          <w:sz w:val="32"/>
          <w:szCs w:val="32"/>
        </w:rPr>
        <w:t>月</w:t>
      </w:r>
      <w:r>
        <w:rPr>
          <w:rFonts w:hint="eastAsia" w:ascii="楷体_GB2312" w:eastAsia="楷体_GB2312" w:cs="楷体_GB2312"/>
          <w:color w:val="000000"/>
          <w:sz w:val="32"/>
          <w:szCs w:val="32"/>
          <w:lang w:val="en-US" w:eastAsia="zh-CN"/>
        </w:rPr>
        <w:t>8</w:t>
      </w:r>
      <w:r>
        <w:rPr>
          <w:rFonts w:hint="eastAsia" w:ascii="楷体_GB2312" w:eastAsia="楷体_GB2312" w:cs="楷体_GB2312"/>
          <w:color w:val="000000"/>
          <w:sz w:val="32"/>
          <w:szCs w:val="32"/>
        </w:rPr>
        <w:t>日</w:t>
      </w:r>
    </w:p>
    <w:p>
      <w:pPr>
        <w:pStyle w:val="24"/>
        <w:keepNext w:val="0"/>
        <w:keepLines w:val="0"/>
        <w:pageBreakBefore w:val="0"/>
        <w:widowControl w:val="0"/>
        <w:kinsoku/>
        <w:wordWrap/>
        <w:overflowPunct/>
        <w:topLinePunct w:val="0"/>
        <w:autoSpaceDE/>
        <w:autoSpaceDN/>
        <w:bidi w:val="0"/>
        <w:adjustRightInd/>
        <w:snapToGrid/>
        <w:spacing w:line="560" w:lineRule="exact"/>
        <w:ind w:left="-160" w:leftChars="-50" w:right="-160" w:rightChars="-50" w:firstLine="640"/>
        <w:textAlignment w:val="auto"/>
        <w:rPr>
          <w:rFonts w:hint="eastAsia"/>
        </w:rPr>
      </w:pPr>
      <w:r>
        <w:rPr>
          <w:rFonts w:hint="eastAsia" w:ascii="楷体_GB2312" w:hAnsi="宋体" w:eastAsia="楷体_GB2312"/>
          <w:sz w:val="32"/>
          <w:szCs w:val="32"/>
        </w:rPr>
        <mc:AlternateContent>
          <mc:Choice Requires="wps">
            <w:drawing>
              <wp:anchor distT="0" distB="0" distL="114300" distR="114300" simplePos="0" relativeHeight="251660288" behindDoc="0" locked="0" layoutInCell="1" allowOverlap="1">
                <wp:simplePos x="0" y="0"/>
                <wp:positionH relativeFrom="column">
                  <wp:posOffset>-337820</wp:posOffset>
                </wp:positionH>
                <wp:positionV relativeFrom="paragraph">
                  <wp:posOffset>137160</wp:posOffset>
                </wp:positionV>
                <wp:extent cx="6162675" cy="20320"/>
                <wp:effectExtent l="0" t="9525" r="9525" b="27305"/>
                <wp:wrapSquare wrapText="bothSides"/>
                <wp:docPr id="2" name="直接箭头连接符 2"/>
                <wp:cNvGraphicFramePr/>
                <a:graphic xmlns:a="http://schemas.openxmlformats.org/drawingml/2006/main">
                  <a:graphicData uri="http://schemas.microsoft.com/office/word/2010/wordprocessingShape">
                    <wps:wsp>
                      <wps:cNvCnPr/>
                      <wps:spPr>
                        <a:xfrm flipV="1">
                          <a:off x="0" y="0"/>
                          <a:ext cx="6162675" cy="20320"/>
                        </a:xfrm>
                        <a:prstGeom prst="straightConnector1">
                          <a:avLst/>
                        </a:prstGeom>
                        <a:ln w="19050" cap="flat" cmpd="sng">
                          <a:solidFill>
                            <a:srgbClr val="FF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y;margin-left:-26.6pt;margin-top:10.8pt;height:1.6pt;width:485.25pt;mso-wrap-distance-bottom:0pt;mso-wrap-distance-left:9pt;mso-wrap-distance-right:9pt;mso-wrap-distance-top:0pt;z-index:251660288;mso-width-relative:page;mso-height-relative:page;" filled="f" stroked="t" coordsize="21600,21600" o:gfxdata="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LfMLB2QAAAAkBAAAPAAAAAAAAAAEAIAAA&#10;ACIAAABkcnMvZG93bnJldi54bWxQSwECFAAUAAAACACHTuJAWaZWaQsCAAD7AwAADgAAAAAAAAAB&#10;ACAAAAAoAQAAZHJzL2Uyb0RvYy54bWxQSwUGAAAAAAYABgBZAQAApQUAAAAA&#10;">
                <v:fill on="f" focussize="0,0"/>
                <v:stroke weight="1.5pt" color="#FF0000" joinstyle="round"/>
                <v:imagedata o:title=""/>
                <o:lock v:ext="edit" aspectratio="f"/>
                <w10:wrap type="square"/>
              </v:shape>
            </w:pict>
          </mc:Fallback>
        </mc:AlternateConten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rPr>
      </w:pPr>
      <w:r>
        <w:rPr>
          <w:rFonts w:hint="eastAsia"/>
        </w:rPr>
        <w:t>202</w:t>
      </w:r>
      <w:r>
        <w:rPr>
          <w:rFonts w:hint="eastAsia"/>
          <w:lang w:val="en-US" w:eastAsia="zh-CN"/>
        </w:rPr>
        <w:t>2</w:t>
      </w:r>
      <w:r>
        <w:rPr>
          <w:rFonts w:hint="eastAsia"/>
        </w:rPr>
        <w:t>年</w:t>
      </w:r>
      <w:r>
        <w:rPr>
          <w:rFonts w:hint="eastAsia"/>
          <w:lang w:val="en-US" w:eastAsia="zh-CN"/>
        </w:rPr>
        <w:t>12</w:t>
      </w:r>
      <w:r>
        <w:rPr>
          <w:rFonts w:hint="eastAsia"/>
        </w:rPr>
        <w:t>月</w:t>
      </w:r>
      <w:r>
        <w:rPr>
          <w:rFonts w:hint="eastAsia"/>
          <w:lang w:val="en-US" w:eastAsia="zh-CN"/>
        </w:rPr>
        <w:t>8</w:t>
      </w:r>
      <w:r>
        <w:rPr>
          <w:rFonts w:hint="eastAsia"/>
        </w:rPr>
        <w:t>日</w:t>
      </w:r>
      <w:r>
        <w:rPr>
          <w:rFonts w:hint="eastAsia"/>
          <w:lang w:eastAsia="zh-CN"/>
        </w:rPr>
        <w:t>晚上</w:t>
      </w:r>
      <w:r>
        <w:rPr>
          <w:rFonts w:hint="eastAsia"/>
        </w:rPr>
        <w:t>，区委副书记、区长鲁锦锋在区机关综合楼301会议室主持召开浈江区</w:t>
      </w:r>
      <w:r>
        <w:rPr>
          <w:rFonts w:hint="eastAsia"/>
          <w:lang w:eastAsia="zh-CN"/>
        </w:rPr>
        <w:t>十</w:t>
      </w:r>
      <w:r>
        <w:rPr>
          <w:rFonts w:hint="eastAsia"/>
        </w:rPr>
        <w:t>届人民政府</w:t>
      </w:r>
      <w:r>
        <w:rPr>
          <w:rFonts w:hint="eastAsia"/>
          <w:lang w:eastAsia="zh-CN"/>
        </w:rPr>
        <w:t>第</w:t>
      </w:r>
      <w:r>
        <w:rPr>
          <w:rFonts w:hint="eastAsia"/>
          <w:lang w:val="en-US" w:eastAsia="zh-CN"/>
        </w:rPr>
        <w:t>26</w:t>
      </w:r>
      <w:r>
        <w:rPr>
          <w:rFonts w:hint="eastAsia"/>
        </w:rPr>
        <w:t>次常务会议，</w:t>
      </w:r>
      <w:r>
        <w:rPr>
          <w:rFonts w:hint="eastAsia"/>
          <w:lang w:eastAsia="zh-CN"/>
        </w:rPr>
        <w:t>听取2022年浈江区食品药品安全工作情况汇报；审议《浈江区关于推动食品安全“两个责任”落地落实工作实施方案（稿）》《浈江区公开招聘社区工作人员实施方案（稿）》《韶关市浈江区森林防火规划（2021-2025年）（稿）》《韶关市浈江区全民健身实施计划（2021—2025年）（稿）》《韶关市浈江区人民政府关于2022年度民生实事落实情况专项工作报告（稿）》《浈江区2022年政府财政收支预算第二次调整方案（稿）》《收回及统筹安排财政存量资金工作方案（稿）》；研究解决疫情防控物资保障经费等有关事宜</w:t>
      </w:r>
      <w:r>
        <w:rPr>
          <w:rFonts w:hint="eastAsia"/>
          <w:lang w:val="en-US" w:eastAsia="zh-CN"/>
        </w:rPr>
        <w:t>。</w:t>
      </w:r>
      <w:r>
        <w:rPr>
          <w:rFonts w:hint="eastAsia"/>
        </w:rPr>
        <w:t>纪要如下：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jc w:val="both"/>
        <w:textAlignment w:val="auto"/>
        <w:rPr>
          <w:rFonts w:hint="eastAsia" w:ascii="方正黑体_GBK" w:hAnsi="方正黑体_GBK" w:eastAsia="方正黑体_GBK" w:cs="方正黑体_GBK"/>
          <w:lang w:val="en-US" w:eastAsia="zh-CN"/>
        </w:rPr>
      </w:pPr>
      <w:r>
        <w:rPr>
          <w:rFonts w:hint="eastAsia" w:ascii="方正黑体_GBK" w:hAnsi="方正黑体_GBK" w:eastAsia="方正黑体_GBK" w:cs="方正黑体_GBK"/>
          <w:lang w:eastAsia="zh-CN"/>
        </w:rPr>
        <w:t>一、听取2022年浈江区食品药品安全工作情况汇报</w:t>
      </w:r>
    </w:p>
    <w:p>
      <w:pPr>
        <w:keepNext w:val="0"/>
        <w:keepLines w:val="0"/>
        <w:widowControl/>
        <w:suppressLineNumbers w:val="0"/>
        <w:ind w:firstLine="640" w:firstLineChars="200"/>
        <w:jc w:val="both"/>
        <w:rPr>
          <w:rFonts w:hint="eastAsia"/>
          <w:lang w:val="en-US" w:eastAsia="zh-CN"/>
        </w:rPr>
      </w:pPr>
      <w:r>
        <w:rPr>
          <w:rFonts w:hint="eastAsia"/>
          <w:lang w:val="en-US" w:eastAsia="zh-CN"/>
        </w:rPr>
        <w:t>会议听取了区市场监管局关于</w:t>
      </w:r>
      <w:r>
        <w:rPr>
          <w:rFonts w:hint="eastAsia"/>
          <w:lang w:eastAsia="zh-CN"/>
        </w:rPr>
        <w:t>2022年浈江区食品药品安全工作情况汇报</w:t>
      </w:r>
      <w:r>
        <w:rPr>
          <w:rFonts w:hint="eastAsia"/>
          <w:lang w:val="en-US" w:eastAsia="zh-CN"/>
        </w:rPr>
        <w:t>。</w:t>
      </w:r>
      <w:r>
        <w:rPr>
          <w:rFonts w:hint="eastAsia"/>
          <w:b/>
          <w:bCs/>
          <w:lang w:val="en-US" w:eastAsia="zh-CN"/>
        </w:rPr>
        <w:t>会议强调，</w:t>
      </w:r>
      <w:r>
        <w:rPr>
          <w:rFonts w:hint="eastAsia"/>
          <w:lang w:val="en-US" w:eastAsia="zh-CN"/>
        </w:rPr>
        <w:t>“舌尖上的安全”是人民群众美好生活的重要内容，食品药品安全事关民生福祉和人民群众生命健康，要按照“四个最严”和党政同责要求，切实抓好食品药品安全工作。</w:t>
      </w:r>
    </w:p>
    <w:p>
      <w:pPr>
        <w:keepNext w:val="0"/>
        <w:keepLines w:val="0"/>
        <w:widowControl/>
        <w:suppressLineNumbers w:val="0"/>
        <w:ind w:firstLine="643" w:firstLineChars="200"/>
        <w:jc w:val="both"/>
        <w:rPr>
          <w:rFonts w:hint="eastAsia"/>
          <w:lang w:val="en-US" w:eastAsia="zh-CN"/>
        </w:rPr>
      </w:pPr>
      <w:r>
        <w:rPr>
          <w:rFonts w:hint="eastAsia"/>
          <w:b/>
          <w:bCs/>
          <w:lang w:val="en-US" w:eastAsia="zh-CN"/>
        </w:rPr>
        <w:t>会议要求：一是</w:t>
      </w:r>
      <w:r>
        <w:rPr>
          <w:rFonts w:hint="eastAsia"/>
          <w:lang w:val="en-US" w:eastAsia="zh-CN"/>
        </w:rPr>
        <w:t>高度重视。要加大监督检查力度，紧盯食药产业薄弱环节，坚持问题导向、目标导向，切实加大食品药品安全日常监管和案件查办力度，及时排除食品药品安全隐患，维护社会和谐稳定。</w:t>
      </w:r>
      <w:r>
        <w:rPr>
          <w:rFonts w:hint="eastAsia"/>
          <w:b/>
          <w:bCs/>
          <w:lang w:val="en-US" w:eastAsia="zh-CN"/>
        </w:rPr>
        <w:t>二是</w:t>
      </w:r>
      <w:r>
        <w:rPr>
          <w:rFonts w:hint="eastAsia"/>
          <w:lang w:val="en-US" w:eastAsia="zh-CN"/>
        </w:rPr>
        <w:t>提高能力。要注重提升技术支撑、智慧监管能力，增强“互联网+监管”应用水平，切实提升审批许可、检验检测、检查核查、风险监测预警等能力建设；要大力培养专业人才，提升监管队伍素质，强化执法检查能力，建设职业化专业化检查员工作队伍。</w:t>
      </w:r>
      <w:r>
        <w:rPr>
          <w:rFonts w:hint="eastAsia"/>
          <w:b/>
          <w:bCs/>
          <w:lang w:val="en-US" w:eastAsia="zh-CN"/>
        </w:rPr>
        <w:t>三是</w:t>
      </w:r>
      <w:r>
        <w:rPr>
          <w:rFonts w:hint="eastAsia"/>
          <w:lang w:val="en-US" w:eastAsia="zh-CN"/>
        </w:rPr>
        <w:t>完善机制。要加强舆情监测，强化物资储备，健全统一领导、反应迅速、协调有序、运转高效的应急处置机制；要强化行政审批、市场监管、综合执法衔接，审批与监管衔接，日常监管与案件查办衔接，推进食品药品监管能力标准化建设。</w:t>
      </w:r>
      <w:r>
        <w:rPr>
          <w:rFonts w:hint="eastAsia"/>
          <w:b/>
          <w:bCs/>
          <w:lang w:val="en-US" w:eastAsia="zh-CN"/>
        </w:rPr>
        <w:t>四是</w:t>
      </w:r>
      <w:r>
        <w:rPr>
          <w:rFonts w:hint="eastAsia"/>
          <w:lang w:val="en-US" w:eastAsia="zh-CN"/>
        </w:rPr>
        <w:t>压实责任。要落实属地管理责任，着力解决食品药品安领域突出问题，创新工作方式方法，依法落实主体责任，要在“责任的落实，压力的传导，依法行政，坚决打击违法犯罪行为”上下功夫。</w:t>
      </w:r>
      <w:r>
        <w:rPr>
          <w:rFonts w:hint="eastAsia"/>
          <w:b/>
          <w:bCs/>
          <w:lang w:val="en-US" w:eastAsia="zh-CN"/>
        </w:rPr>
        <w:t>五是</w:t>
      </w:r>
      <w:r>
        <w:rPr>
          <w:rFonts w:hint="eastAsia"/>
          <w:lang w:val="en-US" w:eastAsia="zh-CN"/>
        </w:rPr>
        <w:t>准备迎检。要对照考核细则，查找差距不足，倒排工期，加快推进，确保完成年度目标任务；要积极主动与上级部门沟通汇报，</w:t>
      </w:r>
      <w:r>
        <w:rPr>
          <w:rFonts w:hint="eastAsia" w:ascii="仿宋_GB2312" w:hAnsi="仿宋_GB2312" w:eastAsia="仿宋_GB2312" w:cs="仿宋_GB2312"/>
          <w:b w:val="0"/>
          <w:bCs w:val="0"/>
          <w:i w:val="0"/>
          <w:caps w:val="0"/>
          <w:color w:val="000000"/>
          <w:spacing w:val="0"/>
          <w:sz w:val="32"/>
          <w:szCs w:val="32"/>
          <w:shd w:val="clear" w:color="auto" w:fill="auto"/>
          <w:lang w:val="en-US" w:eastAsia="zh-CN"/>
        </w:rPr>
        <w:t>准确掌握考核最新动态，并持续跟踪对接结果。</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方正黑体_GBK" w:hAnsi="方正黑体_GBK" w:eastAsia="方正黑体_GBK" w:cs="方正黑体_GBK"/>
          <w:spacing w:val="-6"/>
          <w:sz w:val="32"/>
          <w:lang w:val="en-US" w:eastAsia="zh-CN"/>
        </w:rPr>
      </w:pPr>
      <w:r>
        <w:rPr>
          <w:rFonts w:hint="eastAsia" w:ascii="方正黑体_GBK" w:hAnsi="方正黑体_GBK" w:eastAsia="方正黑体_GBK" w:cs="方正黑体_GBK"/>
          <w:spacing w:val="-6"/>
          <w:sz w:val="32"/>
          <w:lang w:val="en-US" w:eastAsia="zh-CN"/>
        </w:rPr>
        <w:t>二、审议《浈江区关于推动食品安全“两个责任”落地落实工作实施方案（稿）》</w:t>
      </w:r>
    </w:p>
    <w:p>
      <w:pPr>
        <w:keepNext w:val="0"/>
        <w:keepLines w:val="0"/>
        <w:widowControl/>
        <w:suppressLineNumbers w:val="0"/>
        <w:ind w:firstLine="640" w:firstLineChars="200"/>
        <w:jc w:val="both"/>
        <w:rPr>
          <w:rFonts w:hint="eastAsia" w:ascii="仿宋_GB2312" w:hAnsi="仿宋_GB2312" w:eastAsia="仿宋_GB2312" w:cs="仿宋_GB2312"/>
          <w:color w:val="auto"/>
          <w:spacing w:val="0"/>
          <w:kern w:val="21"/>
          <w:sz w:val="32"/>
          <w:szCs w:val="32"/>
          <w:lang w:val="en-US" w:eastAsia="zh-CN"/>
        </w:rPr>
      </w:pPr>
      <w:r>
        <w:rPr>
          <w:rFonts w:hint="eastAsia" w:eastAsia="仿宋_GB2312"/>
        </w:rPr>
        <w:t>会议审议并原则通过了</w:t>
      </w:r>
      <w:r>
        <w:rPr>
          <w:rFonts w:hint="eastAsia"/>
          <w:lang w:eastAsia="zh-CN"/>
        </w:rPr>
        <w:t>《浈江区关于推动食品安全“两个责任”落地落实工作实施方案（稿）》（以下简称《“两个责任”实施方案》）</w:t>
      </w:r>
      <w:r>
        <w:rPr>
          <w:rFonts w:eastAsia="仿宋_GB2312"/>
        </w:rPr>
        <w:t>。</w:t>
      </w:r>
      <w:r>
        <w:rPr>
          <w:rFonts w:eastAsia="仿宋_GB2312"/>
          <w:b/>
          <w:bCs/>
        </w:rPr>
        <w:t>会议议定，</w:t>
      </w:r>
      <w:r>
        <w:rPr>
          <w:rFonts w:eastAsia="仿宋_GB2312"/>
        </w:rPr>
        <w:t>由区</w:t>
      </w:r>
      <w:r>
        <w:rPr>
          <w:rFonts w:hint="eastAsia"/>
          <w:lang w:eastAsia="zh-CN"/>
        </w:rPr>
        <w:t>市场监管</w:t>
      </w:r>
      <w:r>
        <w:rPr>
          <w:rFonts w:eastAsia="仿宋_GB2312"/>
        </w:rPr>
        <w:t>局根据会议意见修改完善后，</w:t>
      </w:r>
      <w:r>
        <w:rPr>
          <w:rFonts w:hint="eastAsia" w:ascii="仿宋_GB2312" w:hAnsi="仿宋_GB2312" w:eastAsia="仿宋_GB2312" w:cs="仿宋_GB2312"/>
          <w:b w:val="0"/>
          <w:bCs w:val="0"/>
          <w:sz w:val="32"/>
          <w:szCs w:val="32"/>
          <w:lang w:val="en-US" w:eastAsia="zh-CN"/>
        </w:rPr>
        <w:t>按程序印发实施。</w:t>
      </w:r>
      <w:r>
        <w:rPr>
          <w:rFonts w:hint="eastAsia" w:cs="仿宋_GB2312"/>
          <w:b/>
          <w:bCs/>
          <w:sz w:val="32"/>
          <w:szCs w:val="32"/>
          <w:lang w:val="en-US" w:eastAsia="zh-CN"/>
        </w:rPr>
        <w:t>会议要求：一是</w:t>
      </w:r>
      <w:r>
        <w:rPr>
          <w:rFonts w:hint="eastAsia" w:ascii="仿宋_GB2312" w:hAnsi="仿宋_GB2312" w:eastAsia="仿宋_GB2312" w:cs="仿宋_GB2312"/>
          <w:color w:val="auto"/>
          <w:spacing w:val="0"/>
          <w:kern w:val="21"/>
          <w:sz w:val="32"/>
          <w:szCs w:val="32"/>
          <w:lang w:val="en-US" w:eastAsia="zh-CN"/>
        </w:rPr>
        <w:t>各级包保干部要统一思想认识，认真贯彻落实</w:t>
      </w:r>
      <w:r>
        <w:rPr>
          <w:rFonts w:hint="eastAsia"/>
          <w:lang w:eastAsia="zh-CN"/>
        </w:rPr>
        <w:t>《“两个责任”实施方案》</w:t>
      </w:r>
      <w:r>
        <w:rPr>
          <w:rFonts w:hint="eastAsia" w:ascii="仿宋_GB2312" w:hAnsi="仿宋_GB2312" w:eastAsia="仿宋_GB2312" w:cs="仿宋_GB2312"/>
          <w:color w:val="auto"/>
          <w:spacing w:val="0"/>
          <w:kern w:val="21"/>
          <w:sz w:val="32"/>
          <w:szCs w:val="32"/>
          <w:lang w:val="en-US" w:eastAsia="zh-CN"/>
        </w:rPr>
        <w:t>，强化业务学习，加强联系沟通，积极开展督导督查，推动形成末端发力、终端见效的食品安全责任落实机制</w:t>
      </w:r>
      <w:r>
        <w:rPr>
          <w:rFonts w:hint="eastAsia" w:cs="仿宋_GB2312"/>
          <w:color w:val="auto"/>
          <w:spacing w:val="0"/>
          <w:kern w:val="21"/>
          <w:sz w:val="32"/>
          <w:szCs w:val="32"/>
          <w:lang w:val="en-US" w:eastAsia="zh-CN"/>
        </w:rPr>
        <w:t>。</w:t>
      </w:r>
      <w:r>
        <w:rPr>
          <w:rFonts w:hint="eastAsia" w:cs="仿宋_GB2312"/>
          <w:b/>
          <w:bCs/>
          <w:color w:val="auto"/>
          <w:spacing w:val="0"/>
          <w:kern w:val="21"/>
          <w:sz w:val="32"/>
          <w:szCs w:val="32"/>
          <w:lang w:val="en-US" w:eastAsia="zh-CN"/>
        </w:rPr>
        <w:t>二是</w:t>
      </w:r>
      <w:r>
        <w:rPr>
          <w:rFonts w:hint="eastAsia" w:ascii="仿宋_GB2312" w:hAnsi="仿宋_GB2312" w:eastAsia="仿宋_GB2312" w:cs="仿宋_GB2312"/>
          <w:color w:val="auto"/>
          <w:spacing w:val="0"/>
          <w:kern w:val="21"/>
          <w:sz w:val="32"/>
          <w:szCs w:val="32"/>
          <w:lang w:val="en-US" w:eastAsia="zh-CN"/>
        </w:rPr>
        <w:t>要将落实“两个责任”纳入本年度食品安全工作评议考核，进一步压紧压实属地管理责任和企业主体责任，形成上下齐动、层层推进的工作氛围，确保各项工作任务有序进展。</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方正黑体_GBK" w:hAnsi="方正黑体_GBK" w:eastAsia="方正黑体_GBK" w:cs="方正黑体_GBK"/>
          <w:spacing w:val="-6"/>
          <w:sz w:val="32"/>
          <w:lang w:val="en-US" w:eastAsia="zh-CN"/>
        </w:rPr>
      </w:pPr>
      <w:r>
        <w:rPr>
          <w:rFonts w:hint="eastAsia" w:ascii="方正黑体_GBK" w:hAnsi="方正黑体_GBK" w:eastAsia="方正黑体_GBK" w:cs="方正黑体_GBK"/>
          <w:spacing w:val="-6"/>
          <w:sz w:val="32"/>
          <w:lang w:val="en-US" w:eastAsia="zh-CN"/>
        </w:rPr>
        <w:t>三、审议《浈江区公开招聘社区工作人员实施方案（稿）》</w:t>
      </w:r>
    </w:p>
    <w:p>
      <w:pPr>
        <w:keepNext w:val="0"/>
        <w:keepLines w:val="0"/>
        <w:widowControl/>
        <w:suppressLineNumbers w:val="0"/>
        <w:jc w:val="both"/>
        <w:rPr>
          <w:rFonts w:hint="eastAsia" w:eastAsia="仿宋_GB2312"/>
          <w:lang w:val="en-US" w:eastAsia="zh-CN"/>
        </w:rPr>
      </w:pPr>
      <w:r>
        <w:rPr>
          <w:rFonts w:hint="eastAsia" w:eastAsia="仿宋_GB2312"/>
        </w:rPr>
        <w:t>会议审议并原则通过了</w:t>
      </w:r>
      <w:r>
        <w:rPr>
          <w:rFonts w:hint="eastAsia" w:eastAsia="仿宋_GB2312"/>
          <w:lang w:val="en-US" w:eastAsia="zh-CN"/>
        </w:rPr>
        <w:t>《浈江区公开招聘社区工作人员实施方案（稿）》</w:t>
      </w:r>
      <w:r>
        <w:rPr>
          <w:rFonts w:eastAsia="仿宋_GB2312"/>
        </w:rPr>
        <w:t>。</w:t>
      </w:r>
      <w:r>
        <w:rPr>
          <w:rFonts w:eastAsia="仿宋_GB2312"/>
          <w:b/>
          <w:bCs/>
        </w:rPr>
        <w:t>会议议定，</w:t>
      </w:r>
      <w:r>
        <w:rPr>
          <w:rFonts w:eastAsia="仿宋_GB2312"/>
        </w:rPr>
        <w:t>由</w:t>
      </w:r>
      <w:r>
        <w:rPr>
          <w:rFonts w:hint="eastAsia"/>
          <w:lang w:eastAsia="zh-CN"/>
        </w:rPr>
        <w:t>区民政</w:t>
      </w:r>
      <w:r>
        <w:rPr>
          <w:rFonts w:eastAsia="仿宋_GB2312"/>
        </w:rPr>
        <w:t>局根据会议意见修改完善后，</w:t>
      </w:r>
      <w:r>
        <w:rPr>
          <w:rFonts w:hint="eastAsia" w:ascii="仿宋_GB2312" w:hAnsi="仿宋_GB2312" w:eastAsia="仿宋_GB2312" w:cs="仿宋_GB2312"/>
          <w:b w:val="0"/>
          <w:bCs w:val="0"/>
          <w:sz w:val="32"/>
          <w:szCs w:val="32"/>
          <w:lang w:val="en-US" w:eastAsia="zh-CN"/>
        </w:rPr>
        <w:t>按程序印发实施。</w:t>
      </w:r>
      <w:r>
        <w:rPr>
          <w:rFonts w:hint="eastAsia" w:eastAsia="仿宋_GB2312"/>
          <w:b/>
          <w:bCs/>
          <w:lang w:val="en-US" w:eastAsia="zh-CN"/>
        </w:rPr>
        <w:t>会议要求：一是</w:t>
      </w:r>
      <w:r>
        <w:rPr>
          <w:rFonts w:hint="eastAsia" w:eastAsia="仿宋_GB2312"/>
          <w:lang w:val="en-US" w:eastAsia="zh-CN"/>
        </w:rPr>
        <w:t>严把入口。要按照“公开、公平、竞争、择优”原则，坚持以需求</w:t>
      </w:r>
      <w:r>
        <w:rPr>
          <w:rFonts w:hint="eastAsia"/>
          <w:lang w:val="en-US" w:eastAsia="zh-CN"/>
        </w:rPr>
        <w:t>为导向，注重面向具有社会工作专业知识和经验的人员及大学毕业生招聘社区工作者，合理</w:t>
      </w:r>
      <w:r>
        <w:rPr>
          <w:rFonts w:hint="eastAsia" w:eastAsia="仿宋_GB2312"/>
          <w:lang w:val="en-US" w:eastAsia="zh-CN"/>
        </w:rPr>
        <w:t>设置招聘条件，自觉接受各方监督，公平公开有序</w:t>
      </w:r>
      <w:r>
        <w:rPr>
          <w:rFonts w:hint="eastAsia"/>
          <w:lang w:val="en-US" w:eastAsia="zh-CN"/>
        </w:rPr>
        <w:t>开展招聘活</w:t>
      </w:r>
      <w:r>
        <w:rPr>
          <w:rFonts w:hint="eastAsia" w:eastAsia="仿宋_GB2312"/>
          <w:lang w:val="en-US" w:eastAsia="zh-CN"/>
        </w:rPr>
        <w:t>动，加快建成梯次明显、结构合理</w:t>
      </w:r>
      <w:r>
        <w:rPr>
          <w:rFonts w:hint="default" w:eastAsia="仿宋_GB2312"/>
          <w:lang w:val="en-US" w:eastAsia="zh-CN"/>
        </w:rPr>
        <w:t>、素质优良的社会工作专业人才体系</w:t>
      </w:r>
      <w:r>
        <w:rPr>
          <w:rFonts w:hint="eastAsia"/>
          <w:lang w:val="en-US" w:eastAsia="zh-CN"/>
        </w:rPr>
        <w:t>。</w:t>
      </w:r>
      <w:r>
        <w:rPr>
          <w:rFonts w:hint="eastAsia"/>
          <w:b/>
          <w:bCs/>
          <w:lang w:val="en-US" w:eastAsia="zh-CN"/>
        </w:rPr>
        <w:t>二是</w:t>
      </w:r>
      <w:r>
        <w:rPr>
          <w:rFonts w:hint="eastAsia"/>
          <w:lang w:val="en-US" w:eastAsia="zh-CN"/>
        </w:rPr>
        <w:t>抓好培训。要</w:t>
      </w:r>
      <w:r>
        <w:rPr>
          <w:rFonts w:hint="eastAsia" w:eastAsia="仿宋_GB2312"/>
          <w:lang w:val="en-US" w:eastAsia="zh-CN"/>
        </w:rPr>
        <w:t>突出抓好政策理论、社区建设、基层治理、为民服务等有关知识培训，邀请优秀党组织书记对新任社区工作者进行现身说法，教理论、授方法、传经验。</w:t>
      </w:r>
      <w:r>
        <w:rPr>
          <w:rFonts w:hint="eastAsia"/>
          <w:b/>
          <w:bCs/>
          <w:lang w:val="en-US" w:eastAsia="zh-CN"/>
        </w:rPr>
        <w:t>三是</w:t>
      </w:r>
      <w:r>
        <w:rPr>
          <w:rFonts w:hint="eastAsia"/>
          <w:lang w:val="en-US" w:eastAsia="zh-CN"/>
        </w:rPr>
        <w:t>完善机制。</w:t>
      </w:r>
      <w:r>
        <w:rPr>
          <w:rFonts w:hint="eastAsia" w:eastAsia="仿宋_GB2312"/>
          <w:lang w:val="en-US" w:eastAsia="zh-CN"/>
        </w:rPr>
        <w:t>要进一步明确社区工作者坐班值班、错时延时、分包网络、预约上门、入户走访、服务承诺、结对帮扶、代办服务等工作机制，密切与社区居民的联系，对群众需求及时响应，最大程度满足服务群众需求。</w:t>
      </w:r>
      <w:r>
        <w:rPr>
          <w:rFonts w:hint="eastAsia"/>
          <w:b/>
          <w:bCs/>
          <w:lang w:val="en-US" w:eastAsia="zh-CN"/>
        </w:rPr>
        <w:t>四是</w:t>
      </w:r>
      <w:r>
        <w:rPr>
          <w:rFonts w:hint="eastAsia"/>
          <w:lang w:val="en-US" w:eastAsia="zh-CN"/>
        </w:rPr>
        <w:t>强化</w:t>
      </w:r>
      <w:r>
        <w:rPr>
          <w:rFonts w:hint="eastAsia" w:eastAsia="仿宋_GB2312"/>
          <w:lang w:val="en-US" w:eastAsia="zh-CN"/>
        </w:rPr>
        <w:t>考核。要建立日常考核与年度考核相结合的考核机制，坚持客观公正、注重绩效的原则，突出工作实绩和群众满意度，将考核结果作为社区工作者绩效奖励、岗位调整、评优惩戒、续聘解聘的重要依据</w:t>
      </w:r>
      <w:r>
        <w:rPr>
          <w:rFonts w:hint="eastAsia"/>
          <w:lang w:val="en-US" w:eastAsia="zh-CN"/>
        </w:rPr>
        <w:t>，最大限度激发</w:t>
      </w:r>
      <w:r>
        <w:rPr>
          <w:rFonts w:hint="eastAsia" w:eastAsia="仿宋_GB2312"/>
          <w:lang w:val="en-US" w:eastAsia="zh-CN"/>
        </w:rPr>
        <w:t>社区工作者的工作积极性。</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方正黑体_GBK" w:hAnsi="方正黑体_GBK" w:eastAsia="方正黑体_GBK" w:cs="方正黑体_GBK"/>
          <w:spacing w:val="-6"/>
          <w:sz w:val="32"/>
          <w:lang w:val="en-US" w:eastAsia="zh-CN"/>
        </w:rPr>
      </w:pPr>
      <w:r>
        <w:rPr>
          <w:rFonts w:hint="eastAsia" w:ascii="方正黑体_GBK" w:hAnsi="方正黑体_GBK" w:eastAsia="方正黑体_GBK" w:cs="方正黑体_GBK"/>
          <w:spacing w:val="-6"/>
          <w:sz w:val="32"/>
          <w:lang w:val="en-US" w:eastAsia="zh-CN"/>
        </w:rPr>
        <w:t>四、审议《韶关市浈江区森林防火规划（2021-2025年）（稿）》</w:t>
      </w:r>
    </w:p>
    <w:p>
      <w:pPr>
        <w:keepNext w:val="0"/>
        <w:keepLines w:val="0"/>
        <w:widowControl/>
        <w:suppressLineNumbers w:val="0"/>
        <w:ind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会议审议并原则通过了《浈江区自然资源所、市场监督管理所公务用车及办公用房调整使用实施方案（稿）》。</w:t>
      </w:r>
      <w:r>
        <w:rPr>
          <w:rFonts w:hint="eastAsia" w:ascii="仿宋_GB2312" w:hAnsi="仿宋_GB2312" w:eastAsia="仿宋_GB2312" w:cs="仿宋_GB2312"/>
          <w:b/>
          <w:bCs/>
          <w:sz w:val="32"/>
          <w:szCs w:val="32"/>
          <w:lang w:val="en-US" w:eastAsia="zh-CN"/>
        </w:rPr>
        <w:t>会议议定，</w:t>
      </w:r>
      <w:r>
        <w:rPr>
          <w:rFonts w:hint="eastAsia" w:ascii="仿宋_GB2312" w:hAnsi="仿宋_GB2312" w:eastAsia="仿宋_GB2312" w:cs="仿宋_GB2312"/>
          <w:b w:val="0"/>
          <w:bCs w:val="0"/>
          <w:sz w:val="32"/>
          <w:szCs w:val="32"/>
          <w:lang w:val="en-US" w:eastAsia="zh-CN"/>
        </w:rPr>
        <w:t>由区</w:t>
      </w:r>
      <w:r>
        <w:rPr>
          <w:rFonts w:hint="eastAsia" w:cs="仿宋_GB2312"/>
          <w:b w:val="0"/>
          <w:bCs w:val="0"/>
          <w:sz w:val="32"/>
          <w:szCs w:val="32"/>
          <w:lang w:val="en-US" w:eastAsia="zh-CN"/>
        </w:rPr>
        <w:t>自然资源</w:t>
      </w:r>
      <w:r>
        <w:rPr>
          <w:rFonts w:hint="eastAsia" w:ascii="仿宋_GB2312" w:hAnsi="仿宋_GB2312" w:eastAsia="仿宋_GB2312" w:cs="仿宋_GB2312"/>
          <w:b w:val="0"/>
          <w:bCs w:val="0"/>
          <w:sz w:val="32"/>
          <w:szCs w:val="32"/>
          <w:lang w:val="en-US" w:eastAsia="zh-CN"/>
        </w:rPr>
        <w:t>局根据会议意见修改完善后，按程序印发实施。</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16" w:firstLineChars="200"/>
        <w:jc w:val="both"/>
        <w:textAlignment w:val="auto"/>
        <w:rPr>
          <w:rFonts w:hint="eastAsia" w:ascii="方正黑体_GBK" w:hAnsi="方正黑体_GBK" w:eastAsia="方正黑体_GBK" w:cs="方正黑体_GBK"/>
          <w:spacing w:val="-6"/>
          <w:sz w:val="32"/>
          <w:lang w:val="en-US" w:eastAsia="zh-CN"/>
        </w:rPr>
      </w:pPr>
      <w:r>
        <w:rPr>
          <w:rFonts w:hint="eastAsia" w:ascii="方正黑体_GBK" w:hAnsi="方正黑体_GBK" w:eastAsia="方正黑体_GBK" w:cs="方正黑体_GBK"/>
          <w:spacing w:val="-6"/>
          <w:sz w:val="32"/>
          <w:lang w:val="en-US" w:eastAsia="zh-CN"/>
        </w:rPr>
        <w:t>五、审议《韶关市浈江区全民健身实施计划（2021—2025年）（稿）》</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会议审议并原则通过了《韶关市浈江区全民健身实施计划（2021—2025年）（稿）》。</w:t>
      </w:r>
      <w:r>
        <w:rPr>
          <w:rFonts w:hint="eastAsia" w:ascii="仿宋_GB2312" w:hAnsi="仿宋_GB2312" w:eastAsia="仿宋_GB2312" w:cs="仿宋_GB2312"/>
          <w:b/>
          <w:bCs/>
          <w:sz w:val="32"/>
          <w:szCs w:val="32"/>
          <w:lang w:val="en-US" w:eastAsia="zh-CN"/>
        </w:rPr>
        <w:t>会议议定，</w:t>
      </w:r>
      <w:r>
        <w:rPr>
          <w:rFonts w:hint="eastAsia" w:ascii="仿宋_GB2312" w:hAnsi="仿宋_GB2312" w:eastAsia="仿宋_GB2312" w:cs="仿宋_GB2312"/>
          <w:b w:val="0"/>
          <w:bCs w:val="0"/>
          <w:sz w:val="32"/>
          <w:szCs w:val="32"/>
          <w:lang w:val="en-US" w:eastAsia="zh-CN"/>
        </w:rPr>
        <w:t>由区</w:t>
      </w:r>
      <w:r>
        <w:rPr>
          <w:rFonts w:hint="eastAsia" w:cs="仿宋_GB2312"/>
          <w:b w:val="0"/>
          <w:bCs w:val="0"/>
          <w:sz w:val="32"/>
          <w:szCs w:val="32"/>
          <w:lang w:val="en-US" w:eastAsia="zh-CN"/>
        </w:rPr>
        <w:t>文旅体</w:t>
      </w:r>
      <w:r>
        <w:rPr>
          <w:rFonts w:hint="eastAsia" w:ascii="仿宋_GB2312" w:hAnsi="仿宋_GB2312" w:eastAsia="仿宋_GB2312" w:cs="仿宋_GB2312"/>
          <w:b w:val="0"/>
          <w:bCs w:val="0"/>
          <w:sz w:val="32"/>
          <w:szCs w:val="32"/>
          <w:lang w:val="en-US" w:eastAsia="zh-CN"/>
        </w:rPr>
        <w:t>局根据会议意见修改完善后，按程序印发实施。</w:t>
      </w:r>
    </w:p>
    <w:p>
      <w:pPr>
        <w:pStyle w:val="11"/>
        <w:numPr>
          <w:ilvl w:val="0"/>
          <w:numId w:val="1"/>
        </w:numPr>
        <w:ind w:firstLine="616" w:firstLineChars="200"/>
        <w:jc w:val="both"/>
        <w:rPr>
          <w:rFonts w:hint="eastAsia" w:ascii="方正黑体_GBK" w:hAnsi="方正黑体_GBK" w:eastAsia="方正黑体_GBK" w:cs="方正黑体_GBK"/>
          <w:spacing w:val="-6"/>
          <w:kern w:val="2"/>
          <w:sz w:val="32"/>
          <w:szCs w:val="24"/>
          <w:lang w:val="en-US" w:eastAsia="zh-CN" w:bidi="ar-SA"/>
        </w:rPr>
      </w:pPr>
      <w:r>
        <w:rPr>
          <w:rFonts w:hint="eastAsia" w:ascii="方正黑体_GBK" w:hAnsi="方正黑体_GBK" w:eastAsia="方正黑体_GBK" w:cs="方正黑体_GBK"/>
          <w:spacing w:val="-6"/>
          <w:kern w:val="2"/>
          <w:sz w:val="32"/>
          <w:szCs w:val="24"/>
          <w:lang w:val="en-US" w:eastAsia="zh-CN" w:bidi="ar-SA"/>
        </w:rPr>
        <w:t>审议《韶关市浈江区人民政府关于2022年度民生实事落实情况专项工作报告（稿）》</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会议审议并原则通过了《韶关市浈江区人民政府关于2022年度民生实事落实情况专项工作报告（稿）》</w:t>
      </w:r>
      <w:r>
        <w:rPr>
          <w:rFonts w:hint="eastAsia" w:ascii="仿宋_GB2312" w:hAnsi="仿宋_GB2312" w:cs="仿宋_GB2312"/>
          <w:b w:val="0"/>
          <w:bCs w:val="0"/>
          <w:sz w:val="32"/>
          <w:szCs w:val="32"/>
          <w:lang w:val="en-US" w:eastAsia="zh-CN"/>
        </w:rPr>
        <w:t>。</w:t>
      </w:r>
      <w:r>
        <w:rPr>
          <w:rFonts w:hint="eastAsia" w:ascii="仿宋_GB2312" w:hAnsi="仿宋_GB2312" w:eastAsia="仿宋_GB2312" w:cs="仿宋_GB2312"/>
          <w:b/>
          <w:bCs/>
          <w:sz w:val="32"/>
          <w:szCs w:val="32"/>
          <w:lang w:val="en-US" w:eastAsia="zh-CN"/>
        </w:rPr>
        <w:t>会议议定，</w:t>
      </w:r>
      <w:r>
        <w:rPr>
          <w:rFonts w:hint="eastAsia" w:ascii="仿宋_GB2312" w:hAnsi="仿宋_GB2312" w:eastAsia="仿宋_GB2312" w:cs="仿宋_GB2312"/>
          <w:b w:val="0"/>
          <w:bCs w:val="0"/>
          <w:sz w:val="32"/>
          <w:szCs w:val="32"/>
          <w:lang w:val="en-US" w:eastAsia="zh-CN"/>
        </w:rPr>
        <w:t>由区</w:t>
      </w:r>
      <w:r>
        <w:rPr>
          <w:rFonts w:hint="eastAsia" w:ascii="仿宋_GB2312" w:hAnsi="仿宋_GB2312" w:cs="仿宋_GB2312"/>
          <w:b w:val="0"/>
          <w:bCs w:val="0"/>
          <w:sz w:val="32"/>
          <w:szCs w:val="32"/>
          <w:lang w:val="en-US" w:eastAsia="zh-CN"/>
        </w:rPr>
        <w:t>财政</w:t>
      </w:r>
      <w:r>
        <w:rPr>
          <w:rFonts w:hint="eastAsia" w:ascii="仿宋_GB2312" w:hAnsi="仿宋_GB2312" w:eastAsia="仿宋_GB2312" w:cs="仿宋_GB2312"/>
          <w:b w:val="0"/>
          <w:bCs w:val="0"/>
          <w:sz w:val="32"/>
          <w:szCs w:val="32"/>
          <w:lang w:val="en-US" w:eastAsia="zh-CN"/>
        </w:rPr>
        <w:t>局根据会议意见修改完善后，</w:t>
      </w:r>
      <w:r>
        <w:rPr>
          <w:rFonts w:hint="eastAsia" w:ascii="仿宋_GB2312" w:hAnsi="仿宋_GB2312" w:eastAsia="仿宋_GB2312" w:cs="仿宋_GB2312"/>
          <w:sz w:val="32"/>
          <w:szCs w:val="32"/>
          <w:lang w:val="en-US" w:eastAsia="zh-CN"/>
        </w:rPr>
        <w:t>按程序提交</w:t>
      </w:r>
      <w:r>
        <w:rPr>
          <w:rFonts w:hint="eastAsia" w:ascii="仿宋_GB2312" w:hAnsi="仿宋_GB2312" w:cs="仿宋_GB2312"/>
          <w:sz w:val="32"/>
          <w:szCs w:val="32"/>
          <w:lang w:val="en-US" w:eastAsia="zh-CN"/>
        </w:rPr>
        <w:t>区人大常委</w:t>
      </w:r>
      <w:r>
        <w:rPr>
          <w:rFonts w:hint="eastAsia" w:ascii="仿宋_GB2312" w:hAnsi="仿宋_GB2312" w:eastAsia="仿宋_GB2312" w:cs="仿宋_GB2312"/>
          <w:b w:val="0"/>
          <w:bCs w:val="0"/>
          <w:sz w:val="32"/>
          <w:szCs w:val="32"/>
          <w:lang w:val="en-US" w:eastAsia="zh-CN"/>
        </w:rPr>
        <w:t>会审议。</w:t>
      </w:r>
      <w:r>
        <w:rPr>
          <w:rFonts w:hint="eastAsia" w:cs="仿宋_GB2312"/>
          <w:b/>
          <w:bCs/>
          <w:sz w:val="32"/>
          <w:szCs w:val="32"/>
          <w:lang w:val="en-US" w:eastAsia="zh-CN"/>
        </w:rPr>
        <w:t>会议强调，</w:t>
      </w:r>
      <w:r>
        <w:rPr>
          <w:rFonts w:hint="eastAsia" w:ascii="仿宋_GB2312" w:hAnsi="仿宋_GB2312" w:eastAsia="仿宋_GB2312" w:cs="仿宋_GB2312"/>
          <w:b w:val="0"/>
          <w:bCs w:val="0"/>
          <w:sz w:val="32"/>
          <w:szCs w:val="32"/>
          <w:lang w:val="en-US" w:eastAsia="zh-CN"/>
        </w:rPr>
        <w:t>民生实事项目是保障和改善民生的重要内容，是</w:t>
      </w:r>
      <w:r>
        <w:rPr>
          <w:rFonts w:hint="eastAsia" w:cs="仿宋_GB2312"/>
          <w:b w:val="0"/>
          <w:bCs w:val="0"/>
          <w:sz w:val="32"/>
          <w:szCs w:val="32"/>
          <w:lang w:val="en-US" w:eastAsia="zh-CN"/>
        </w:rPr>
        <w:t>区</w:t>
      </w:r>
      <w:r>
        <w:rPr>
          <w:rFonts w:hint="eastAsia" w:ascii="仿宋_GB2312" w:hAnsi="仿宋_GB2312" w:eastAsia="仿宋_GB2312" w:cs="仿宋_GB2312"/>
          <w:b w:val="0"/>
          <w:bCs w:val="0"/>
          <w:sz w:val="32"/>
          <w:szCs w:val="32"/>
          <w:lang w:val="en-US" w:eastAsia="zh-CN"/>
        </w:rPr>
        <w:t>政府向</w:t>
      </w:r>
      <w:r>
        <w:rPr>
          <w:rFonts w:hint="eastAsia" w:cs="仿宋_GB2312"/>
          <w:b w:val="0"/>
          <w:bCs w:val="0"/>
          <w:sz w:val="32"/>
          <w:szCs w:val="32"/>
          <w:lang w:val="en-US" w:eastAsia="zh-CN"/>
        </w:rPr>
        <w:t>全区</w:t>
      </w:r>
      <w:r>
        <w:rPr>
          <w:rFonts w:hint="eastAsia" w:ascii="仿宋_GB2312" w:hAnsi="仿宋_GB2312" w:eastAsia="仿宋_GB2312" w:cs="仿宋_GB2312"/>
          <w:b w:val="0"/>
          <w:bCs w:val="0"/>
          <w:sz w:val="32"/>
          <w:szCs w:val="32"/>
          <w:lang w:val="en-US" w:eastAsia="zh-CN"/>
        </w:rPr>
        <w:t>人民许下的庄严承诺。要</w:t>
      </w:r>
      <w:r>
        <w:rPr>
          <w:rFonts w:hint="default" w:ascii="仿宋_GB2312" w:hAnsi="仿宋_GB2312" w:eastAsia="仿宋_GB2312" w:cs="仿宋_GB2312"/>
          <w:b w:val="0"/>
          <w:bCs w:val="0"/>
          <w:sz w:val="32"/>
          <w:szCs w:val="32"/>
          <w:lang w:val="en-US" w:eastAsia="zh-CN"/>
        </w:rPr>
        <w:t>始终坚持以人民为中心的发展思想，要高度重视民生实事项目建设，进一步强化责任意识，严格对照年度目标任务和进度安排，从细从实抓好民生实事项目建设，确保把实事办实，好事办好，惠及民生。</w:t>
      </w:r>
      <w:r>
        <w:rPr>
          <w:rFonts w:hint="eastAsia" w:cs="仿宋_GB2312"/>
          <w:b/>
          <w:bCs/>
          <w:sz w:val="32"/>
          <w:szCs w:val="32"/>
          <w:lang w:val="en-US" w:eastAsia="zh-CN"/>
        </w:rPr>
        <w:t>会议要求：</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b w:val="0"/>
          <w:bCs w:val="0"/>
          <w:sz w:val="32"/>
          <w:szCs w:val="32"/>
          <w:lang w:val="en-US" w:eastAsia="zh-CN"/>
        </w:rPr>
        <w:t>加快项目进度。对于已完成建设的项目，尽快投入使用，力争“早使用、早惠民”；对于未完成建设的项目，倒排计划、挂图作战，抢抓秋</w:t>
      </w:r>
      <w:r>
        <w:rPr>
          <w:rFonts w:hint="eastAsia" w:cs="仿宋_GB2312"/>
          <w:b w:val="0"/>
          <w:bCs w:val="0"/>
          <w:sz w:val="32"/>
          <w:szCs w:val="32"/>
          <w:lang w:val="en-US" w:eastAsia="zh-CN"/>
        </w:rPr>
        <w:t>冬</w:t>
      </w:r>
      <w:r>
        <w:rPr>
          <w:rFonts w:hint="eastAsia" w:ascii="仿宋_GB2312" w:hAnsi="仿宋_GB2312" w:eastAsia="仿宋_GB2312" w:cs="仿宋_GB2312"/>
          <w:b w:val="0"/>
          <w:bCs w:val="0"/>
          <w:sz w:val="32"/>
          <w:szCs w:val="32"/>
          <w:lang w:val="en-US" w:eastAsia="zh-CN"/>
        </w:rPr>
        <w:t>晴好天气有利施工，确保按期保质全面完成任务。</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b w:val="0"/>
          <w:bCs w:val="0"/>
          <w:sz w:val="32"/>
          <w:szCs w:val="32"/>
          <w:lang w:val="en-US" w:eastAsia="zh-CN"/>
        </w:rPr>
        <w:t>强化项目督查。</w:t>
      </w:r>
      <w:r>
        <w:rPr>
          <w:rFonts w:hint="eastAsia" w:cs="仿宋_GB2312"/>
          <w:b w:val="0"/>
          <w:bCs w:val="0"/>
          <w:sz w:val="32"/>
          <w:szCs w:val="32"/>
          <w:lang w:val="en-US" w:eastAsia="zh-CN"/>
        </w:rPr>
        <w:t>各责任单位要</w:t>
      </w:r>
      <w:r>
        <w:rPr>
          <w:rFonts w:hint="eastAsia" w:ascii="仿宋_GB2312" w:hAnsi="仿宋_GB2312" w:eastAsia="仿宋_GB2312" w:cs="仿宋_GB2312"/>
          <w:b w:val="0"/>
          <w:bCs w:val="0"/>
          <w:sz w:val="32"/>
          <w:szCs w:val="32"/>
          <w:lang w:val="en-US" w:eastAsia="zh-CN"/>
        </w:rPr>
        <w:t>不定期赴项目现场开展实地督查，查找问题短板，</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对民生实事推进情况进行跟踪掌握，确保民生实事项目精准化推进、高质量完成</w:t>
      </w:r>
      <w:r>
        <w:rPr>
          <w:rFonts w:hint="eastAsia"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对进展相对滞后的民生实事项目，</w:t>
      </w:r>
      <w:r>
        <w:rPr>
          <w:rFonts w:hint="eastAsia" w:cs="仿宋_GB2312"/>
          <w:b w:val="0"/>
          <w:bCs w:val="0"/>
          <w:sz w:val="32"/>
          <w:szCs w:val="32"/>
          <w:lang w:val="en-US" w:eastAsia="zh-CN"/>
        </w:rPr>
        <w:t>要加强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督查通报</w:t>
      </w:r>
      <w:r>
        <w:rPr>
          <w:rFonts w:hint="eastAsia" w:cs="仿宋_GB2312"/>
          <w:color w:val="000000" w:themeColor="text1"/>
          <w:sz w:val="32"/>
          <w:szCs w:val="32"/>
          <w:lang w:val="en-US" w:eastAsia="zh-CN"/>
          <w14:textFill>
            <w14:solidFill>
              <w14:schemeClr w14:val="tx1"/>
            </w14:solidFill>
          </w14:textFill>
        </w:rPr>
        <w:t>，落实</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问题交办等工作制度，确保</w:t>
      </w:r>
      <w:r>
        <w:rPr>
          <w:rFonts w:hint="eastAsia" w:cs="仿宋_GB2312"/>
          <w:color w:val="000000" w:themeColor="text1"/>
          <w:sz w:val="32"/>
          <w:szCs w:val="32"/>
          <w:lang w:val="en-US" w:eastAsia="zh-CN"/>
          <w14:textFill>
            <w14:solidFill>
              <w14:schemeClr w14:val="tx1"/>
            </w14:solidFill>
          </w14:textFill>
        </w:rPr>
        <w:t>按时保质保量</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完成建设任务。</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b w:val="0"/>
          <w:bCs w:val="0"/>
          <w:sz w:val="32"/>
          <w:szCs w:val="32"/>
          <w:lang w:val="en-US" w:eastAsia="zh-CN"/>
        </w:rPr>
        <w:t>完善项目管理。持续</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探索项目落地后的监管制度，督促各责任单位对民生实事项目进行长效监管，</w:t>
      </w:r>
      <w:r>
        <w:rPr>
          <w:rFonts w:hint="eastAsia" w:ascii="仿宋_GB2312" w:hAnsi="仿宋_GB2312" w:eastAsia="仿宋_GB2312" w:cs="仿宋_GB2312"/>
          <w:b w:val="0"/>
          <w:bCs w:val="0"/>
          <w:sz w:val="32"/>
          <w:szCs w:val="32"/>
          <w:lang w:val="en-US" w:eastAsia="zh-CN"/>
        </w:rPr>
        <w:t>建立健全管理维护机制，组织做好日常运行检查，确保群众“用得了、用得好”，真正将“民生工程”做成“民心工程”。</w:t>
      </w:r>
      <w:r>
        <w:rPr>
          <w:rFonts w:hint="eastAsia" w:ascii="仿宋_GB2312" w:hAnsi="仿宋_GB2312" w:eastAsia="仿宋_GB2312" w:cs="仿宋_GB2312"/>
          <w:b/>
          <w:bCs/>
          <w:sz w:val="32"/>
          <w:szCs w:val="32"/>
          <w:lang w:val="en-US" w:eastAsia="zh-CN"/>
        </w:rPr>
        <w:t>四是</w:t>
      </w:r>
      <w:r>
        <w:rPr>
          <w:rFonts w:hint="eastAsia" w:ascii="仿宋_GB2312" w:hAnsi="仿宋_GB2312" w:eastAsia="仿宋_GB2312" w:cs="仿宋_GB2312"/>
          <w:b w:val="0"/>
          <w:bCs w:val="0"/>
          <w:sz w:val="32"/>
          <w:szCs w:val="32"/>
          <w:lang w:val="en-US" w:eastAsia="zh-CN"/>
        </w:rPr>
        <w:t>提前项目谋划。按照“立足实际、适度超前、着眼长远”的原则，提前考虑项目资金、用地储备、项目选址等问题，</w:t>
      </w:r>
      <w:r>
        <w:rPr>
          <w:rFonts w:hint="eastAsia" w:cs="仿宋_GB2312"/>
          <w:b w:val="0"/>
          <w:bCs w:val="0"/>
          <w:sz w:val="32"/>
          <w:szCs w:val="32"/>
          <w:lang w:val="en-US" w:eastAsia="zh-CN"/>
        </w:rPr>
        <w:t>统筹考虑群众需求、财政负担、项目成熟度等因素，</w:t>
      </w:r>
      <w:r>
        <w:rPr>
          <w:rFonts w:hint="eastAsia" w:ascii="仿宋_GB2312" w:hAnsi="仿宋_GB2312" w:eastAsia="仿宋_GB2312" w:cs="仿宋_GB2312"/>
          <w:sz w:val="32"/>
          <w:szCs w:val="32"/>
          <w:lang w:val="en-US" w:eastAsia="zh-CN"/>
        </w:rPr>
        <w:t>筛选确定2023年区民生实事项目，</w:t>
      </w:r>
      <w:r>
        <w:rPr>
          <w:rFonts w:hint="eastAsia" w:ascii="仿宋_GB2312" w:hAnsi="仿宋_GB2312" w:eastAsia="仿宋_GB2312" w:cs="仿宋_GB2312"/>
          <w:b w:val="0"/>
          <w:bCs w:val="0"/>
          <w:sz w:val="32"/>
          <w:szCs w:val="32"/>
          <w:lang w:val="en-US" w:eastAsia="zh-CN"/>
        </w:rPr>
        <w:t>为明年民生实事项目启动</w:t>
      </w:r>
      <w:r>
        <w:rPr>
          <w:rFonts w:hint="eastAsia" w:cs="仿宋_GB2312"/>
          <w:b w:val="0"/>
          <w:bCs w:val="0"/>
          <w:sz w:val="32"/>
          <w:szCs w:val="32"/>
          <w:lang w:val="en-US" w:eastAsia="zh-CN"/>
        </w:rPr>
        <w:t>做好充足准备</w:t>
      </w:r>
      <w:r>
        <w:rPr>
          <w:rFonts w:hint="eastAsia" w:ascii="仿宋_GB2312" w:hAnsi="仿宋_GB2312" w:eastAsia="仿宋_GB2312" w:cs="仿宋_GB2312"/>
          <w:b w:val="0"/>
          <w:bCs w:val="0"/>
          <w:sz w:val="32"/>
          <w:szCs w:val="32"/>
          <w:lang w:val="en-US" w:eastAsia="zh-CN"/>
        </w:rPr>
        <w:t>。</w:t>
      </w:r>
    </w:p>
    <w:p>
      <w:pPr>
        <w:keepNext w:val="0"/>
        <w:keepLines w:val="0"/>
        <w:widowControl/>
        <w:numPr>
          <w:ilvl w:val="0"/>
          <w:numId w:val="2"/>
        </w:numPr>
        <w:suppressLineNumbers w:val="0"/>
        <w:ind w:firstLine="616" w:firstLineChars="200"/>
        <w:jc w:val="both"/>
        <w:rPr>
          <w:rFonts w:hint="eastAsia" w:ascii="方正黑体_GBK" w:hAnsi="方正黑体_GBK" w:eastAsia="方正黑体_GBK" w:cs="方正黑体_GBK"/>
          <w:spacing w:val="-6"/>
          <w:kern w:val="2"/>
          <w:sz w:val="32"/>
          <w:szCs w:val="32"/>
          <w:lang w:val="en-US" w:eastAsia="zh-CN" w:bidi="ar-SA"/>
        </w:rPr>
      </w:pPr>
      <w:r>
        <w:rPr>
          <w:rFonts w:hint="eastAsia" w:ascii="方正黑体_GBK" w:hAnsi="方正黑体_GBK" w:eastAsia="方正黑体_GBK" w:cs="方正黑体_GBK"/>
          <w:spacing w:val="-6"/>
          <w:kern w:val="2"/>
          <w:sz w:val="32"/>
          <w:szCs w:val="32"/>
          <w:lang w:val="en-US" w:eastAsia="zh-CN" w:bidi="ar-SA"/>
        </w:rPr>
        <w:t>审议《浈江区2022年政府财政收支预算第二次调整方案（稿）》</w:t>
      </w:r>
    </w:p>
    <w:p>
      <w:pPr>
        <w:pStyle w:val="11"/>
        <w:numPr>
          <w:ilvl w:val="0"/>
          <w:numId w:val="0"/>
        </w:numPr>
        <w:ind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会议审议并原则通过了《浈江区2022年政府财政收支预算第二次调整方案（稿）》</w:t>
      </w:r>
      <w:r>
        <w:rPr>
          <w:rFonts w:hint="eastAsia" w:ascii="仿宋_GB2312" w:hAnsi="仿宋_GB2312" w:cs="仿宋_GB2312"/>
          <w:b w:val="0"/>
          <w:bCs w:val="0"/>
          <w:sz w:val="32"/>
          <w:szCs w:val="32"/>
          <w:lang w:val="en-US" w:eastAsia="zh-CN"/>
        </w:rPr>
        <w:t>。</w:t>
      </w:r>
      <w:r>
        <w:rPr>
          <w:rFonts w:hint="eastAsia" w:ascii="仿宋_GB2312" w:hAnsi="仿宋_GB2312" w:eastAsia="仿宋_GB2312" w:cs="仿宋_GB2312"/>
          <w:b/>
          <w:bCs/>
          <w:sz w:val="32"/>
          <w:szCs w:val="32"/>
          <w:lang w:val="en-US" w:eastAsia="zh-CN"/>
        </w:rPr>
        <w:t>会议议定，</w:t>
      </w:r>
      <w:r>
        <w:rPr>
          <w:rFonts w:hint="eastAsia" w:ascii="仿宋_GB2312" w:hAnsi="仿宋_GB2312" w:eastAsia="仿宋_GB2312" w:cs="仿宋_GB2312"/>
          <w:b w:val="0"/>
          <w:bCs w:val="0"/>
          <w:sz w:val="32"/>
          <w:szCs w:val="32"/>
          <w:lang w:val="en-US" w:eastAsia="zh-CN"/>
        </w:rPr>
        <w:t>由区</w:t>
      </w:r>
      <w:r>
        <w:rPr>
          <w:rFonts w:hint="eastAsia" w:ascii="仿宋_GB2312" w:hAnsi="仿宋_GB2312" w:cs="仿宋_GB2312"/>
          <w:b w:val="0"/>
          <w:bCs w:val="0"/>
          <w:sz w:val="32"/>
          <w:szCs w:val="32"/>
          <w:lang w:val="en-US" w:eastAsia="zh-CN"/>
        </w:rPr>
        <w:t>财政</w:t>
      </w:r>
      <w:r>
        <w:rPr>
          <w:rFonts w:hint="eastAsia" w:ascii="仿宋_GB2312" w:hAnsi="仿宋_GB2312" w:eastAsia="仿宋_GB2312" w:cs="仿宋_GB2312"/>
          <w:b w:val="0"/>
          <w:bCs w:val="0"/>
          <w:sz w:val="32"/>
          <w:szCs w:val="32"/>
          <w:lang w:val="en-US" w:eastAsia="zh-CN"/>
        </w:rPr>
        <w:t>局根据会议意见修改完善后，</w:t>
      </w:r>
      <w:r>
        <w:rPr>
          <w:rFonts w:hint="eastAsia" w:ascii="仿宋_GB2312" w:hAnsi="仿宋_GB2312" w:eastAsia="仿宋_GB2312" w:cs="仿宋_GB2312"/>
          <w:sz w:val="32"/>
          <w:szCs w:val="32"/>
          <w:lang w:val="en-US" w:eastAsia="zh-CN"/>
        </w:rPr>
        <w:t>按程序提交区委常委会</w:t>
      </w:r>
      <w:r>
        <w:rPr>
          <w:rFonts w:hint="eastAsia" w:ascii="仿宋_GB2312" w:hAnsi="仿宋_GB2312" w:cs="仿宋_GB2312"/>
          <w:sz w:val="32"/>
          <w:szCs w:val="32"/>
          <w:lang w:val="en-US" w:eastAsia="zh-CN"/>
        </w:rPr>
        <w:t>、区人大常委会</w:t>
      </w:r>
      <w:r>
        <w:rPr>
          <w:rFonts w:hint="eastAsia" w:ascii="仿宋_GB2312" w:hAnsi="仿宋_GB2312" w:eastAsia="仿宋_GB2312" w:cs="仿宋_GB2312"/>
          <w:sz w:val="32"/>
          <w:szCs w:val="32"/>
          <w:lang w:val="en-US" w:eastAsia="zh-CN"/>
        </w:rPr>
        <w:t>审议。</w:t>
      </w:r>
    </w:p>
    <w:p>
      <w:pPr>
        <w:pStyle w:val="11"/>
        <w:numPr>
          <w:ilvl w:val="0"/>
          <w:numId w:val="3"/>
        </w:numPr>
        <w:ind w:firstLine="616" w:firstLineChars="200"/>
        <w:jc w:val="both"/>
        <w:rPr>
          <w:rFonts w:hint="eastAsia" w:ascii="方正黑体_GBK" w:hAnsi="方正黑体_GBK" w:eastAsia="方正黑体_GBK" w:cs="方正黑体_GBK"/>
          <w:spacing w:val="-6"/>
          <w:kern w:val="2"/>
          <w:sz w:val="32"/>
          <w:szCs w:val="32"/>
          <w:lang w:val="en-US" w:eastAsia="zh-CN" w:bidi="ar-SA"/>
        </w:rPr>
      </w:pPr>
      <w:r>
        <w:rPr>
          <w:rFonts w:hint="eastAsia" w:ascii="方正黑体_GBK" w:hAnsi="方正黑体_GBK" w:eastAsia="方正黑体_GBK" w:cs="方正黑体_GBK"/>
          <w:spacing w:val="-6"/>
          <w:kern w:val="2"/>
          <w:sz w:val="32"/>
          <w:szCs w:val="32"/>
          <w:lang w:val="en-US" w:eastAsia="zh-CN" w:bidi="ar-SA"/>
        </w:rPr>
        <w:t>审议《收回及统筹安排财政存量资金工作方案（稿）》</w:t>
      </w:r>
    </w:p>
    <w:p>
      <w:pPr>
        <w:pStyle w:val="11"/>
        <w:numPr>
          <w:ilvl w:val="0"/>
          <w:numId w:val="0"/>
        </w:numPr>
        <w:ind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会议审议并原则通过了《收回及统筹安排财政存量资金工作方案（稿）》</w:t>
      </w:r>
      <w:r>
        <w:rPr>
          <w:rFonts w:hint="eastAsia" w:ascii="仿宋_GB2312" w:hAnsi="仿宋_GB2312" w:cs="仿宋_GB2312"/>
          <w:b w:val="0"/>
          <w:bCs w:val="0"/>
          <w:sz w:val="32"/>
          <w:szCs w:val="32"/>
          <w:lang w:val="en-US" w:eastAsia="zh-CN"/>
        </w:rPr>
        <w:t>。</w:t>
      </w:r>
      <w:r>
        <w:rPr>
          <w:rFonts w:hint="eastAsia" w:ascii="仿宋_GB2312" w:hAnsi="仿宋_GB2312" w:eastAsia="仿宋_GB2312" w:cs="仿宋_GB2312"/>
          <w:b/>
          <w:bCs/>
          <w:sz w:val="32"/>
          <w:szCs w:val="32"/>
          <w:lang w:val="en-US" w:eastAsia="zh-CN"/>
        </w:rPr>
        <w:t>会议议定，</w:t>
      </w:r>
      <w:r>
        <w:rPr>
          <w:rFonts w:hint="eastAsia" w:ascii="仿宋_GB2312" w:hAnsi="仿宋_GB2312" w:eastAsia="仿宋_GB2312" w:cs="仿宋_GB2312"/>
          <w:b w:val="0"/>
          <w:bCs w:val="0"/>
          <w:sz w:val="32"/>
          <w:szCs w:val="32"/>
          <w:lang w:val="en-US" w:eastAsia="zh-CN"/>
        </w:rPr>
        <w:t>由区</w:t>
      </w:r>
      <w:r>
        <w:rPr>
          <w:rFonts w:hint="eastAsia" w:ascii="仿宋_GB2312" w:hAnsi="仿宋_GB2312" w:cs="仿宋_GB2312"/>
          <w:b w:val="0"/>
          <w:bCs w:val="0"/>
          <w:sz w:val="32"/>
          <w:szCs w:val="32"/>
          <w:lang w:val="en-US" w:eastAsia="zh-CN"/>
        </w:rPr>
        <w:t>财政</w:t>
      </w:r>
      <w:r>
        <w:rPr>
          <w:rFonts w:hint="eastAsia" w:ascii="仿宋_GB2312" w:hAnsi="仿宋_GB2312" w:eastAsia="仿宋_GB2312" w:cs="仿宋_GB2312"/>
          <w:b w:val="0"/>
          <w:bCs w:val="0"/>
          <w:sz w:val="32"/>
          <w:szCs w:val="32"/>
          <w:lang w:val="en-US" w:eastAsia="zh-CN"/>
        </w:rPr>
        <w:t>局根据会议意见修改完善后，</w:t>
      </w:r>
      <w:r>
        <w:rPr>
          <w:rFonts w:hint="eastAsia" w:ascii="仿宋_GB2312" w:hAnsi="仿宋_GB2312" w:eastAsia="仿宋_GB2312" w:cs="仿宋_GB2312"/>
          <w:sz w:val="32"/>
          <w:szCs w:val="32"/>
          <w:lang w:val="en-US" w:eastAsia="zh-CN"/>
        </w:rPr>
        <w:t>按程序提交区委常委会审议。</w:t>
      </w:r>
    </w:p>
    <w:p>
      <w:pPr>
        <w:pStyle w:val="7"/>
        <w:ind w:firstLine="616" w:firstLineChars="200"/>
        <w:jc w:val="both"/>
        <w:rPr>
          <w:rFonts w:hint="eastAsia" w:ascii="方正黑体_GBK" w:hAnsi="方正黑体_GBK" w:eastAsia="方正黑体_GBK" w:cs="方正黑体_GBK"/>
          <w:spacing w:val="-6"/>
          <w:kern w:val="2"/>
          <w:sz w:val="32"/>
          <w:szCs w:val="32"/>
          <w:lang w:val="en-US" w:eastAsia="zh-CN" w:bidi="ar-SA"/>
        </w:rPr>
      </w:pPr>
      <w:r>
        <w:rPr>
          <w:rFonts w:hint="eastAsia" w:ascii="方正黑体_GBK" w:hAnsi="方正黑体_GBK" w:eastAsia="方正黑体_GBK" w:cs="方正黑体_GBK"/>
          <w:spacing w:val="-6"/>
          <w:kern w:val="2"/>
          <w:sz w:val="32"/>
          <w:szCs w:val="32"/>
          <w:lang w:val="en-US" w:eastAsia="zh-CN" w:bidi="ar-SA"/>
        </w:rPr>
        <w:t>九、研究解决疫情防控物资保障经费有关事宜</w:t>
      </w:r>
    </w:p>
    <w:p>
      <w:pPr>
        <w:pStyle w:val="11"/>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lang w:val="en-US" w:eastAsia="zh-CN"/>
        </w:rPr>
      </w:pPr>
      <w:r>
        <w:rPr>
          <w:rFonts w:hint="eastAsia" w:ascii="仿宋_GB2312" w:hAnsi="仿宋_GB2312" w:eastAsia="仿宋_GB2312" w:cs="仿宋_GB2312"/>
          <w:kern w:val="2"/>
          <w:sz w:val="32"/>
          <w:szCs w:val="32"/>
          <w:lang w:val="en-US" w:eastAsia="zh-CN" w:bidi="ar-SA"/>
        </w:rPr>
        <w:t>会议听取了区</w:t>
      </w:r>
      <w:r>
        <w:rPr>
          <w:rFonts w:hint="eastAsia" w:ascii="仿宋_GB2312" w:hAnsi="仿宋_GB2312" w:cs="仿宋_GB2312"/>
          <w:kern w:val="2"/>
          <w:sz w:val="32"/>
          <w:szCs w:val="32"/>
          <w:lang w:val="en-US" w:eastAsia="zh-CN" w:bidi="ar-SA"/>
        </w:rPr>
        <w:t>工信</w:t>
      </w:r>
      <w:r>
        <w:rPr>
          <w:rFonts w:hint="eastAsia" w:ascii="仿宋_GB2312" w:hAnsi="仿宋_GB2312" w:eastAsia="仿宋_GB2312" w:cs="仿宋_GB2312"/>
          <w:kern w:val="2"/>
          <w:sz w:val="32"/>
          <w:szCs w:val="32"/>
          <w:lang w:val="en-US" w:eastAsia="zh-CN" w:bidi="ar-SA"/>
        </w:rPr>
        <w:t>局关于解决疫情防控物资保障经费的情</w:t>
      </w:r>
      <w:r>
        <w:rPr>
          <w:rFonts w:hint="eastAsia" w:ascii="仿宋_GB2312" w:hAnsi="仿宋_GB2312" w:cs="仿宋_GB2312"/>
          <w:kern w:val="2"/>
          <w:sz w:val="32"/>
          <w:szCs w:val="32"/>
          <w:lang w:val="en-US" w:eastAsia="zh-CN" w:bidi="ar-SA"/>
        </w:rPr>
        <w:t>况汇报，</w:t>
      </w:r>
      <w:r>
        <w:rPr>
          <w:rFonts w:hint="eastAsia" w:ascii="仿宋_GB2312" w:hAnsi="仿宋_GB2312" w:eastAsia="仿宋_GB2312" w:cs="仿宋_GB2312"/>
          <w:kern w:val="2"/>
          <w:sz w:val="32"/>
          <w:szCs w:val="32"/>
          <w:lang w:val="en-US" w:eastAsia="zh-CN" w:bidi="ar-SA"/>
        </w:rPr>
        <w:t>原则同意</w:t>
      </w:r>
      <w:r>
        <w:rPr>
          <w:rFonts w:hint="eastAsia" w:ascii="仿宋_GB2312" w:hAnsi="仿宋_GB2312" w:cs="仿宋_GB2312"/>
          <w:kern w:val="2"/>
          <w:sz w:val="32"/>
          <w:szCs w:val="32"/>
          <w:lang w:val="en-US" w:eastAsia="zh-CN" w:bidi="ar-SA"/>
        </w:rPr>
        <w:t>追加疫情防控物资保障</w:t>
      </w:r>
      <w:r>
        <w:rPr>
          <w:rFonts w:hint="eastAsia" w:ascii="仿宋_GB2312" w:hAnsi="仿宋_GB2312" w:eastAsia="仿宋_GB2312" w:cs="仿宋_GB2312"/>
          <w:kern w:val="2"/>
          <w:sz w:val="32"/>
          <w:szCs w:val="32"/>
          <w:lang w:val="en-US" w:eastAsia="zh-CN" w:bidi="ar-SA"/>
        </w:rPr>
        <w:t>经</w:t>
      </w:r>
      <w:r>
        <w:rPr>
          <w:rFonts w:hint="eastAsia" w:ascii="仿宋_GB2312" w:hAnsi="仿宋_GB2312" w:cs="仿宋_GB2312"/>
          <w:kern w:val="2"/>
          <w:sz w:val="32"/>
          <w:szCs w:val="32"/>
          <w:lang w:val="en-US" w:eastAsia="zh-CN" w:bidi="ar-SA"/>
        </w:rPr>
        <w:t>费100万元。</w:t>
      </w:r>
      <w:r>
        <w:rPr>
          <w:rFonts w:hint="eastAsia" w:ascii="仿宋_GB2312" w:hAnsi="仿宋_GB2312" w:cs="仿宋_GB2312"/>
          <w:b/>
          <w:bCs/>
          <w:kern w:val="2"/>
          <w:sz w:val="32"/>
          <w:szCs w:val="32"/>
          <w:lang w:val="en-US" w:eastAsia="zh-CN" w:bidi="ar-SA"/>
        </w:rPr>
        <w:t>会议要求，</w:t>
      </w:r>
      <w:r>
        <w:rPr>
          <w:rFonts w:hint="eastAsia" w:ascii="仿宋_GB2312" w:hAnsi="仿宋_GB2312" w:cs="仿宋_GB2312"/>
          <w:kern w:val="2"/>
          <w:sz w:val="32"/>
          <w:szCs w:val="32"/>
          <w:lang w:val="en-US" w:eastAsia="zh-CN" w:bidi="ar-SA"/>
        </w:rPr>
        <w:t>区工信局要严格按照上级指引和要求，做好后续防控应急物资储备、保障、调配等工作，确保疫情防控工作有序开展。</w:t>
      </w:r>
    </w:p>
    <w:p>
      <w:pPr>
        <w:pStyle w:val="11"/>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cs="仿宋_GB2312"/>
          <w:kern w:val="2"/>
          <w:sz w:val="32"/>
          <w:szCs w:val="32"/>
          <w:lang w:val="en-US" w:eastAsia="zh-CN" w:bidi="ar-SA"/>
        </w:rPr>
      </w:pPr>
    </w:p>
    <w:p>
      <w:pPr>
        <w:pStyle w:val="11"/>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u w:val="none"/>
          <w:lang w:val="en-US" w:eastAsia="zh-CN"/>
        </w:rPr>
      </w:pPr>
      <w:r>
        <w:rPr>
          <w:rFonts w:hint="eastAsia"/>
          <w:b/>
          <w:bCs/>
        </w:rPr>
        <w:t>出席</w:t>
      </w:r>
      <w:r>
        <w:rPr>
          <w:rFonts w:hint="eastAsia"/>
        </w:rPr>
        <w:t>：鲁锦锋、</w:t>
      </w:r>
      <w:r>
        <w:rPr>
          <w:rFonts w:hint="eastAsia"/>
          <w:lang w:val="en-US" w:eastAsia="zh-CN"/>
        </w:rPr>
        <w:t>罗奕文</w:t>
      </w:r>
      <w:r>
        <w:rPr>
          <w:rFonts w:hint="eastAsia"/>
          <w:u w:val="none"/>
          <w:lang w:val="en-US" w:eastAsia="zh-CN"/>
        </w:rPr>
        <w:t>、黄灿光、马细妹、</w:t>
      </w:r>
      <w:r>
        <w:rPr>
          <w:rFonts w:hint="eastAsia" w:cs="仿宋_GB2312"/>
          <w:b w:val="0"/>
          <w:bCs w:val="0"/>
          <w:kern w:val="2"/>
          <w:sz w:val="32"/>
          <w:szCs w:val="32"/>
          <w:lang w:val="en-US" w:eastAsia="zh-CN" w:bidi="ar-SA"/>
        </w:rPr>
        <w:t>李朝亮、徐湘宜、</w:t>
      </w:r>
      <w:r>
        <w:rPr>
          <w:rFonts w:hint="eastAsia"/>
          <w:lang w:val="en-US" w:eastAsia="zh-CN"/>
        </w:rPr>
        <w:t>何爱华、陈晟平</w:t>
      </w:r>
      <w:r>
        <w:rPr>
          <w:rFonts w:hint="eastAsia"/>
        </w:rPr>
        <w:t>。</w:t>
      </w:r>
    </w:p>
    <w:p>
      <w:pPr>
        <w:pStyle w:val="8"/>
        <w:keepNext w:val="0"/>
        <w:keepLines w:val="0"/>
        <w:pageBreakBefore w:val="0"/>
        <w:widowControl w:val="0"/>
        <w:kinsoku/>
        <w:wordWrap/>
        <w:overflowPunct/>
        <w:topLinePunct w:val="0"/>
        <w:autoSpaceDE/>
        <w:autoSpaceDN/>
        <w:bidi w:val="0"/>
        <w:adjustRightInd/>
        <w:snapToGrid/>
        <w:spacing w:before="0" w:line="560" w:lineRule="exact"/>
        <w:ind w:left="0" w:leftChars="0" w:firstLine="667" w:firstLineChars="200"/>
        <w:jc w:val="both"/>
        <w:textAlignment w:val="auto"/>
        <w:rPr>
          <w:rFonts w:hint="eastAsia"/>
        </w:rPr>
      </w:pPr>
      <w:r>
        <w:rPr>
          <w:rFonts w:hint="eastAsia"/>
          <w:b/>
          <w:bCs/>
          <w:spacing w:val="6"/>
          <w:sz w:val="32"/>
        </w:rPr>
        <w:t>列席</w:t>
      </w:r>
      <w:r>
        <w:rPr>
          <w:rFonts w:hint="eastAsia"/>
          <w:spacing w:val="6"/>
          <w:sz w:val="32"/>
        </w:rPr>
        <w:t>：</w:t>
      </w:r>
      <w:r>
        <w:rPr>
          <w:rFonts w:hint="eastAsia"/>
        </w:rPr>
        <w:t>区政府</w:t>
      </w:r>
      <w:r>
        <w:rPr>
          <w:rFonts w:hint="eastAsia"/>
          <w:lang w:val="en-US" w:eastAsia="zh-CN"/>
        </w:rPr>
        <w:t>办公室</w:t>
      </w:r>
      <w:r>
        <w:rPr>
          <w:rFonts w:hint="eastAsia"/>
          <w:lang w:eastAsia="zh-CN"/>
        </w:rPr>
        <w:t>梁吉兵、冯华斌、刘美军、姬丽萍、黄世敏</w:t>
      </w:r>
      <w:r>
        <w:rPr>
          <w:rFonts w:hint="eastAsia"/>
        </w:rPr>
        <w:t>，</w:t>
      </w:r>
      <w:r>
        <w:rPr>
          <w:rFonts w:hint="eastAsia"/>
          <w:lang w:eastAsia="zh-CN"/>
        </w:rPr>
        <w:t>区委组织部李微，</w:t>
      </w:r>
      <w:r>
        <w:rPr>
          <w:rFonts w:hint="eastAsia"/>
        </w:rPr>
        <w:t>区发改局</w:t>
      </w:r>
      <w:r>
        <w:rPr>
          <w:rFonts w:hint="eastAsia"/>
          <w:lang w:val="en-US" w:eastAsia="zh-CN"/>
        </w:rPr>
        <w:t>邱斌</w:t>
      </w:r>
      <w:r>
        <w:rPr>
          <w:rFonts w:hint="eastAsia"/>
        </w:rPr>
        <w:t>，区教育局</w:t>
      </w:r>
      <w:r>
        <w:rPr>
          <w:rFonts w:hint="eastAsia"/>
          <w:lang w:val="en-US" w:eastAsia="zh-CN"/>
        </w:rPr>
        <w:t>余党明</w:t>
      </w:r>
      <w:r>
        <w:rPr>
          <w:rFonts w:hint="eastAsia"/>
          <w:spacing w:val="6"/>
          <w:sz w:val="32"/>
        </w:rPr>
        <w:t>，区工信局</w:t>
      </w:r>
      <w:r>
        <w:rPr>
          <w:rFonts w:hint="eastAsia"/>
          <w:spacing w:val="6"/>
          <w:sz w:val="32"/>
          <w:lang w:val="en-US" w:eastAsia="zh-CN"/>
        </w:rPr>
        <w:t>何丽芳</w:t>
      </w:r>
      <w:r>
        <w:rPr>
          <w:rFonts w:hint="eastAsia"/>
          <w:spacing w:val="6"/>
          <w:sz w:val="32"/>
        </w:rPr>
        <w:t>，</w:t>
      </w:r>
      <w:r>
        <w:rPr>
          <w:rFonts w:hint="eastAsia"/>
          <w:spacing w:val="6"/>
          <w:sz w:val="32"/>
          <w:lang w:val="en-US" w:eastAsia="zh-CN"/>
        </w:rPr>
        <w:t>市公安局浈江分局曾大江，区民政局罗烨红，</w:t>
      </w:r>
      <w:r>
        <w:rPr>
          <w:rFonts w:hint="eastAsia"/>
        </w:rPr>
        <w:t>区司法局</w:t>
      </w:r>
      <w:r>
        <w:rPr>
          <w:rFonts w:hint="eastAsia"/>
          <w:lang w:val="en-US" w:eastAsia="zh-CN"/>
        </w:rPr>
        <w:t>彭志红</w:t>
      </w:r>
      <w:r>
        <w:rPr>
          <w:rFonts w:hint="eastAsia"/>
        </w:rPr>
        <w:t>，区财政局</w:t>
      </w:r>
      <w:r>
        <w:rPr>
          <w:rFonts w:hint="eastAsia"/>
          <w:lang w:val="en-US" w:eastAsia="zh-CN"/>
        </w:rPr>
        <w:t>余华</w:t>
      </w:r>
      <w:r>
        <w:rPr>
          <w:rFonts w:hint="eastAsia"/>
        </w:rPr>
        <w:t>，</w:t>
      </w:r>
      <w:r>
        <w:rPr>
          <w:rFonts w:hint="eastAsia"/>
          <w:lang w:eastAsia="zh-CN"/>
        </w:rPr>
        <w:t>区人社局曾开全，</w:t>
      </w:r>
      <w:r>
        <w:rPr>
          <w:rFonts w:hint="eastAsia"/>
        </w:rPr>
        <w:t>区自然资源</w:t>
      </w:r>
      <w:r>
        <w:rPr>
          <w:rFonts w:hint="eastAsia"/>
          <w:spacing w:val="6"/>
          <w:sz w:val="32"/>
        </w:rPr>
        <w:t>局刘国成，区住建局</w:t>
      </w:r>
      <w:r>
        <w:rPr>
          <w:rFonts w:hint="eastAsia"/>
          <w:spacing w:val="6"/>
          <w:sz w:val="32"/>
          <w:lang w:eastAsia="zh-CN"/>
        </w:rPr>
        <w:t>张光宝</w:t>
      </w:r>
      <w:r>
        <w:rPr>
          <w:rFonts w:hint="eastAsia"/>
          <w:lang w:eastAsia="zh-CN"/>
        </w:rPr>
        <w:t>，</w:t>
      </w:r>
      <w:r>
        <w:rPr>
          <w:rFonts w:hint="eastAsia"/>
        </w:rPr>
        <w:t>区城管和执法局</w:t>
      </w:r>
      <w:r>
        <w:rPr>
          <w:rFonts w:hint="eastAsia"/>
          <w:lang w:eastAsia="zh-CN"/>
        </w:rPr>
        <w:t>叶伟国</w:t>
      </w:r>
      <w:r>
        <w:rPr>
          <w:rFonts w:hint="eastAsia"/>
          <w:spacing w:val="6"/>
          <w:sz w:val="32"/>
        </w:rPr>
        <w:t>，区农业农村局</w:t>
      </w:r>
      <w:r>
        <w:rPr>
          <w:rFonts w:hint="eastAsia"/>
          <w:spacing w:val="6"/>
          <w:sz w:val="32"/>
          <w:lang w:eastAsia="zh-CN"/>
        </w:rPr>
        <w:t>李建华</w:t>
      </w:r>
      <w:r>
        <w:rPr>
          <w:rFonts w:hint="eastAsia"/>
          <w:spacing w:val="6"/>
          <w:sz w:val="32"/>
        </w:rPr>
        <w:t>，</w:t>
      </w:r>
      <w:r>
        <w:rPr>
          <w:rFonts w:hint="eastAsia"/>
          <w:spacing w:val="6"/>
          <w:sz w:val="32"/>
          <w:lang w:eastAsia="zh-CN"/>
        </w:rPr>
        <w:t>区文旅体局郭婷，区卫生健康局雷小军，区退役军人事务局曹志文，</w:t>
      </w:r>
      <w:r>
        <w:rPr>
          <w:rFonts w:hint="eastAsia"/>
        </w:rPr>
        <w:t>区应急管理局</w:t>
      </w:r>
      <w:r>
        <w:rPr>
          <w:rFonts w:hint="eastAsia"/>
          <w:lang w:eastAsia="zh-CN"/>
        </w:rPr>
        <w:t>周永权</w:t>
      </w:r>
      <w:r>
        <w:rPr>
          <w:rFonts w:hint="eastAsia"/>
        </w:rPr>
        <w:t>，区审计局</w:t>
      </w:r>
      <w:r>
        <w:rPr>
          <w:rFonts w:hint="eastAsia"/>
          <w:lang w:eastAsia="zh-CN"/>
        </w:rPr>
        <w:t>郑军文</w:t>
      </w:r>
      <w:r>
        <w:rPr>
          <w:rFonts w:hint="eastAsia"/>
        </w:rPr>
        <w:t>，区市场监管局</w:t>
      </w:r>
      <w:r>
        <w:rPr>
          <w:rFonts w:hint="eastAsia"/>
          <w:lang w:eastAsia="zh-CN"/>
        </w:rPr>
        <w:t>钟沛珍</w:t>
      </w:r>
      <w:r>
        <w:rPr>
          <w:rFonts w:hint="eastAsia"/>
        </w:rPr>
        <w:t>，区统计局</w:t>
      </w:r>
      <w:r>
        <w:rPr>
          <w:rFonts w:hint="eastAsia"/>
          <w:lang w:val="en-US" w:eastAsia="zh-CN"/>
        </w:rPr>
        <w:t>许波</w:t>
      </w:r>
      <w:r>
        <w:rPr>
          <w:rFonts w:hint="eastAsia"/>
        </w:rPr>
        <w:t>，</w:t>
      </w:r>
      <w:r>
        <w:rPr>
          <w:rFonts w:hint="eastAsia"/>
          <w:lang w:eastAsia="zh-CN"/>
        </w:rPr>
        <w:t>区医保局杨辉</w:t>
      </w:r>
      <w:r>
        <w:rPr>
          <w:rFonts w:hint="eastAsia"/>
        </w:rPr>
        <w:t>，</w:t>
      </w:r>
      <w:r>
        <w:rPr>
          <w:rFonts w:hint="eastAsia"/>
          <w:lang w:eastAsia="zh-CN"/>
        </w:rPr>
        <w:t>区政务服务数据管理局何先胜，</w:t>
      </w:r>
      <w:r>
        <w:rPr>
          <w:rFonts w:hint="eastAsia"/>
          <w:lang w:val="en-US" w:eastAsia="zh-CN"/>
        </w:rPr>
        <w:t>区机关事务管理局聂慧臣，</w:t>
      </w:r>
      <w:r>
        <w:rPr>
          <w:rFonts w:hint="eastAsia"/>
        </w:rPr>
        <w:t>区产业园管委会</w:t>
      </w:r>
      <w:r>
        <w:rPr>
          <w:rFonts w:hint="eastAsia"/>
          <w:lang w:eastAsia="zh-CN"/>
        </w:rPr>
        <w:t>刘朝晖</w:t>
      </w:r>
      <w:r>
        <w:rPr>
          <w:rFonts w:hint="eastAsia"/>
        </w:rPr>
        <w:t>，</w:t>
      </w:r>
      <w:r>
        <w:rPr>
          <w:rFonts w:hint="eastAsia"/>
          <w:spacing w:val="6"/>
          <w:sz w:val="32"/>
        </w:rPr>
        <w:t>市生态环境局浈江分局刘文</w:t>
      </w:r>
      <w:r>
        <w:rPr>
          <w:rFonts w:hint="eastAsia"/>
          <w:spacing w:val="6"/>
          <w:sz w:val="32"/>
          <w:lang w:val="en-US" w:eastAsia="zh-CN"/>
        </w:rPr>
        <w:t>，区消防救援大队洪伟</w:t>
      </w:r>
      <w:r>
        <w:rPr>
          <w:rFonts w:hint="eastAsia"/>
          <w:lang w:val="en-US" w:eastAsia="zh-CN"/>
        </w:rPr>
        <w:t>波，区税务局徐哲，</w:t>
      </w:r>
      <w:r>
        <w:rPr>
          <w:rFonts w:hint="eastAsia"/>
          <w:spacing w:val="6"/>
          <w:sz w:val="32"/>
          <w:lang w:val="en-US" w:eastAsia="zh-CN"/>
        </w:rPr>
        <w:t>区残联黄文忠，</w:t>
      </w:r>
      <w:r>
        <w:rPr>
          <w:rFonts w:hint="eastAsia"/>
          <w:spacing w:val="6"/>
          <w:sz w:val="32"/>
        </w:rPr>
        <w:t>新韶镇</w:t>
      </w:r>
      <w:r>
        <w:rPr>
          <w:rFonts w:hint="eastAsia"/>
          <w:spacing w:val="6"/>
          <w:sz w:val="32"/>
          <w:lang w:eastAsia="zh-CN"/>
        </w:rPr>
        <w:t>罗宇锋</w:t>
      </w:r>
      <w:r>
        <w:rPr>
          <w:rFonts w:hint="eastAsia"/>
          <w:spacing w:val="6"/>
          <w:sz w:val="32"/>
        </w:rPr>
        <w:t>，乐园镇</w:t>
      </w:r>
      <w:r>
        <w:rPr>
          <w:rFonts w:hint="eastAsia"/>
          <w:spacing w:val="6"/>
          <w:sz w:val="32"/>
          <w:lang w:val="en-US" w:eastAsia="zh-CN"/>
        </w:rPr>
        <w:t>毛兰萍</w:t>
      </w:r>
      <w:r>
        <w:rPr>
          <w:rFonts w:hint="eastAsia"/>
          <w:spacing w:val="6"/>
          <w:sz w:val="32"/>
        </w:rPr>
        <w:t>，十里亭</w:t>
      </w:r>
      <w:r>
        <w:rPr>
          <w:rFonts w:hint="eastAsia"/>
          <w:spacing w:val="6"/>
          <w:sz w:val="32"/>
          <w:lang w:eastAsia="zh-CN"/>
        </w:rPr>
        <w:t>镇潘建经</w:t>
      </w:r>
      <w:r>
        <w:rPr>
          <w:rFonts w:hint="eastAsia"/>
          <w:spacing w:val="6"/>
          <w:sz w:val="32"/>
        </w:rPr>
        <w:t>，犁市镇</w:t>
      </w:r>
      <w:r>
        <w:rPr>
          <w:rFonts w:hint="eastAsia"/>
          <w:spacing w:val="6"/>
          <w:sz w:val="32"/>
          <w:lang w:eastAsia="zh-CN"/>
        </w:rPr>
        <w:t>潘志平</w:t>
      </w:r>
      <w:r>
        <w:rPr>
          <w:rFonts w:hint="eastAsia"/>
          <w:spacing w:val="6"/>
          <w:sz w:val="32"/>
        </w:rPr>
        <w:t>，花坪镇</w:t>
      </w:r>
      <w:r>
        <w:rPr>
          <w:rFonts w:hint="eastAsia"/>
          <w:spacing w:val="6"/>
          <w:sz w:val="32"/>
          <w:lang w:val="en-US" w:eastAsia="zh-CN"/>
        </w:rPr>
        <w:t>曹其永</w:t>
      </w:r>
      <w:r>
        <w:rPr>
          <w:rFonts w:hint="eastAsia"/>
          <w:spacing w:val="-11"/>
          <w:sz w:val="32"/>
        </w:rPr>
        <w:t>，</w:t>
      </w:r>
      <w:r>
        <w:rPr>
          <w:rFonts w:hint="eastAsia"/>
          <w:spacing w:val="-11"/>
          <w:sz w:val="32"/>
          <w:highlight w:val="none"/>
        </w:rPr>
        <w:t>东河办</w:t>
      </w:r>
      <w:r>
        <w:rPr>
          <w:rFonts w:hint="eastAsia"/>
          <w:spacing w:val="-11"/>
          <w:sz w:val="32"/>
          <w:highlight w:val="none"/>
          <w:lang w:val="en-US" w:eastAsia="zh-CN"/>
        </w:rPr>
        <w:t>杨岚</w:t>
      </w:r>
      <w:r>
        <w:rPr>
          <w:rFonts w:hint="eastAsia"/>
          <w:spacing w:val="-11"/>
          <w:sz w:val="32"/>
        </w:rPr>
        <w:t>，车站办</w:t>
      </w:r>
      <w:r>
        <w:rPr>
          <w:rFonts w:hint="eastAsia"/>
          <w:spacing w:val="-11"/>
          <w:sz w:val="32"/>
          <w:lang w:val="en-US" w:eastAsia="zh-CN"/>
        </w:rPr>
        <w:t>付雪平</w:t>
      </w:r>
      <w:r>
        <w:rPr>
          <w:rFonts w:hint="eastAsia"/>
          <w:spacing w:val="-11"/>
          <w:sz w:val="32"/>
        </w:rPr>
        <w:t>，风采办</w:t>
      </w:r>
      <w:r>
        <w:rPr>
          <w:rFonts w:hint="eastAsia"/>
          <w:spacing w:val="-11"/>
          <w:sz w:val="32"/>
          <w:lang w:val="en-US" w:eastAsia="zh-CN"/>
        </w:rPr>
        <w:t>蔡信然</w:t>
      </w:r>
      <w:r>
        <w:rPr>
          <w:rFonts w:hint="eastAsia"/>
          <w:spacing w:val="-11"/>
          <w:sz w:val="32"/>
        </w:rPr>
        <w:t>，曲仁办</w:t>
      </w:r>
      <w:r>
        <w:rPr>
          <w:rFonts w:hint="eastAsia"/>
          <w:spacing w:val="-11"/>
          <w:sz w:val="32"/>
          <w:lang w:eastAsia="zh-CN"/>
        </w:rPr>
        <w:t>吴小林</w:t>
      </w:r>
      <w:r>
        <w:rPr>
          <w:rFonts w:hint="eastAsia"/>
        </w:rPr>
        <w:t>。</w:t>
      </w:r>
    </w:p>
    <w:p>
      <w:pPr>
        <w:pStyle w:val="8"/>
        <w:keepNext w:val="0"/>
        <w:keepLines w:val="0"/>
        <w:pageBreakBefore w:val="0"/>
        <w:widowControl w:val="0"/>
        <w:kinsoku/>
        <w:wordWrap/>
        <w:overflowPunct/>
        <w:topLinePunct w:val="0"/>
        <w:autoSpaceDE/>
        <w:autoSpaceDN/>
        <w:bidi w:val="0"/>
        <w:adjustRightInd/>
        <w:snapToGrid/>
        <w:spacing w:before="0" w:line="560" w:lineRule="exact"/>
        <w:ind w:left="0" w:leftChars="0" w:firstLine="640" w:firstLineChars="200"/>
        <w:jc w:val="both"/>
        <w:textAlignment w:val="auto"/>
        <w:rPr>
          <w:rFonts w:hint="eastAsia"/>
        </w:rPr>
      </w:pPr>
    </w:p>
    <w:p>
      <w:pPr>
        <w:pStyle w:val="8"/>
        <w:keepNext w:val="0"/>
        <w:keepLines w:val="0"/>
        <w:pageBreakBefore w:val="0"/>
        <w:widowControl w:val="0"/>
        <w:kinsoku/>
        <w:wordWrap/>
        <w:overflowPunct/>
        <w:topLinePunct w:val="0"/>
        <w:autoSpaceDE/>
        <w:autoSpaceDN/>
        <w:bidi w:val="0"/>
        <w:adjustRightInd/>
        <w:snapToGrid/>
        <w:spacing w:before="0" w:line="560" w:lineRule="exact"/>
        <w:ind w:left="0" w:leftChars="0" w:firstLine="640" w:firstLineChars="200"/>
        <w:textAlignment w:val="auto"/>
        <w:rPr>
          <w:rFonts w:hint="eastAsia"/>
        </w:rPr>
      </w:pPr>
    </w:p>
    <w:p>
      <w:pPr>
        <w:pStyle w:val="8"/>
        <w:keepNext w:val="0"/>
        <w:keepLines w:val="0"/>
        <w:pageBreakBefore w:val="0"/>
        <w:widowControl w:val="0"/>
        <w:kinsoku/>
        <w:wordWrap/>
        <w:overflowPunct/>
        <w:topLinePunct w:val="0"/>
        <w:autoSpaceDE/>
        <w:autoSpaceDN/>
        <w:bidi w:val="0"/>
        <w:adjustRightInd/>
        <w:snapToGrid/>
        <w:spacing w:before="0" w:line="560" w:lineRule="exact"/>
        <w:ind w:left="0" w:leftChars="0" w:firstLine="640" w:firstLineChars="200"/>
        <w:textAlignment w:val="auto"/>
        <w:rPr>
          <w:rFonts w:hint="eastAsia"/>
        </w:rPr>
      </w:pPr>
    </w:p>
    <w:p>
      <w:pPr>
        <w:pStyle w:val="8"/>
        <w:keepNext w:val="0"/>
        <w:keepLines w:val="0"/>
        <w:pageBreakBefore w:val="0"/>
        <w:widowControl w:val="0"/>
        <w:kinsoku/>
        <w:wordWrap/>
        <w:overflowPunct/>
        <w:topLinePunct w:val="0"/>
        <w:autoSpaceDE/>
        <w:autoSpaceDN/>
        <w:bidi w:val="0"/>
        <w:adjustRightInd/>
        <w:snapToGrid/>
        <w:spacing w:before="0" w:line="560" w:lineRule="exact"/>
        <w:ind w:left="0" w:leftChars="0" w:firstLine="640" w:firstLineChars="200"/>
        <w:textAlignment w:val="auto"/>
        <w:rPr>
          <w:rFonts w:hint="eastAsia"/>
        </w:rPr>
      </w:pPr>
    </w:p>
    <w:p>
      <w:pPr>
        <w:pStyle w:val="8"/>
        <w:keepNext w:val="0"/>
        <w:keepLines w:val="0"/>
        <w:pageBreakBefore w:val="0"/>
        <w:widowControl w:val="0"/>
        <w:kinsoku/>
        <w:wordWrap/>
        <w:overflowPunct/>
        <w:topLinePunct w:val="0"/>
        <w:autoSpaceDE/>
        <w:autoSpaceDN/>
        <w:bidi w:val="0"/>
        <w:adjustRightInd/>
        <w:snapToGrid/>
        <w:spacing w:before="0" w:line="560" w:lineRule="exact"/>
        <w:ind w:left="0" w:leftChars="0" w:firstLine="640" w:firstLineChars="200"/>
        <w:textAlignment w:val="auto"/>
        <w:rPr>
          <w:rFonts w:hint="eastAsia"/>
        </w:rPr>
      </w:pPr>
    </w:p>
    <w:p>
      <w:pPr>
        <w:pStyle w:val="9"/>
        <w:rPr>
          <w:rFonts w:hint="eastAsia"/>
        </w:rPr>
      </w:pPr>
    </w:p>
    <w:p>
      <w:pPr>
        <w:pStyle w:val="8"/>
        <w:keepNext w:val="0"/>
        <w:keepLines w:val="0"/>
        <w:pageBreakBefore w:val="0"/>
        <w:widowControl w:val="0"/>
        <w:kinsoku/>
        <w:wordWrap/>
        <w:overflowPunct/>
        <w:topLinePunct w:val="0"/>
        <w:autoSpaceDE/>
        <w:autoSpaceDN/>
        <w:bidi w:val="0"/>
        <w:adjustRightInd/>
        <w:snapToGrid/>
        <w:spacing w:before="0" w:line="560" w:lineRule="exact"/>
        <w:ind w:left="0" w:leftChars="0" w:firstLine="640" w:firstLineChars="200"/>
        <w:textAlignment w:val="auto"/>
        <w:rPr>
          <w:rFonts w:hint="eastAsia"/>
        </w:rPr>
      </w:pPr>
    </w:p>
    <w:p>
      <w:pPr>
        <w:keepNext w:val="0"/>
        <w:keepLines w:val="0"/>
        <w:pageBreakBefore w:val="0"/>
        <w:widowControl w:val="0"/>
        <w:pBdr>
          <w:bottom w:val="single" w:color="auto" w:sz="4" w:space="0"/>
          <w:between w:val="single" w:color="auto" w:sz="4" w:space="1"/>
        </w:pBdr>
        <w:kinsoku/>
        <w:wordWrap/>
        <w:overflowPunct/>
        <w:topLinePunct w:val="0"/>
        <w:autoSpaceDE/>
        <w:autoSpaceDN/>
        <w:bidi w:val="0"/>
        <w:adjustRightInd/>
        <w:snapToGrid/>
        <w:spacing w:line="560" w:lineRule="exact"/>
        <w:ind w:right="0" w:rightChars="0"/>
        <w:textAlignment w:val="auto"/>
        <w:rPr>
          <w:rFonts w:hint="eastAsia" w:ascii="仿宋_GB2312" w:hAnsi="仿宋_GB2312" w:eastAsia="仿宋_GB2312" w:cs="仿宋_GB2312"/>
          <w:color w:val="auto"/>
          <w:spacing w:val="0"/>
          <w:kern w:val="21"/>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left="1118" w:leftChars="87" w:right="0" w:rightChars="0" w:hanging="840" w:hangingChars="300"/>
        <w:jc w:val="left"/>
        <w:textAlignment w:val="auto"/>
        <w:rPr>
          <w:rFonts w:hint="eastAsia" w:ascii="仿宋_GB2312" w:hAnsi="仿宋_GB2312" w:eastAsia="仿宋_GB2312" w:cs="仿宋_GB2312"/>
          <w:color w:val="auto"/>
          <w:spacing w:val="0"/>
          <w:kern w:val="21"/>
          <w:sz w:val="28"/>
          <w:szCs w:val="28"/>
        </w:rPr>
      </w:pPr>
      <w:r>
        <w:rPr>
          <w:rFonts w:hint="eastAsia" w:ascii="仿宋_GB2312" w:hAnsi="仿宋_GB2312" w:eastAsia="仿宋_GB2312" w:cs="仿宋_GB2312"/>
          <w:color w:val="auto"/>
          <w:spacing w:val="0"/>
          <w:kern w:val="21"/>
          <w:sz w:val="28"/>
          <w:szCs w:val="28"/>
        </w:rPr>
        <w:t>报送：来安、锦锋、永东、德乔、</w:t>
      </w:r>
      <w:r>
        <w:rPr>
          <w:rFonts w:hint="eastAsia" w:cs="仿宋_GB2312"/>
          <w:color w:val="auto"/>
          <w:spacing w:val="0"/>
          <w:kern w:val="21"/>
          <w:sz w:val="28"/>
          <w:szCs w:val="28"/>
          <w:lang w:eastAsia="zh-CN"/>
        </w:rPr>
        <w:t>钟真、</w:t>
      </w:r>
      <w:r>
        <w:rPr>
          <w:rFonts w:hint="eastAsia" w:ascii="仿宋_GB2312" w:hAnsi="仿宋_GB2312" w:eastAsia="仿宋_GB2312" w:cs="仿宋_GB2312"/>
          <w:color w:val="auto"/>
          <w:spacing w:val="0"/>
          <w:kern w:val="21"/>
          <w:sz w:val="28"/>
          <w:szCs w:val="28"/>
          <w:lang w:eastAsia="zh-CN"/>
        </w:rPr>
        <w:t>奕文</w:t>
      </w:r>
      <w:r>
        <w:rPr>
          <w:rFonts w:hint="eastAsia" w:ascii="仿宋_GB2312" w:hAnsi="仿宋_GB2312" w:eastAsia="仿宋_GB2312" w:cs="仿宋_GB2312"/>
          <w:color w:val="auto"/>
          <w:spacing w:val="0"/>
          <w:kern w:val="21"/>
          <w:sz w:val="28"/>
          <w:szCs w:val="28"/>
        </w:rPr>
        <w:t>、</w:t>
      </w:r>
      <w:r>
        <w:rPr>
          <w:rFonts w:hint="eastAsia" w:ascii="仿宋_GB2312" w:hAnsi="仿宋_GB2312" w:eastAsia="仿宋_GB2312" w:cs="仿宋_GB2312"/>
          <w:color w:val="auto"/>
          <w:spacing w:val="0"/>
          <w:kern w:val="21"/>
          <w:sz w:val="28"/>
          <w:szCs w:val="28"/>
          <w:lang w:eastAsia="zh-CN"/>
        </w:rPr>
        <w:t>灿光、</w:t>
      </w:r>
      <w:r>
        <w:rPr>
          <w:rFonts w:hint="eastAsia" w:cs="仿宋_GB2312"/>
          <w:color w:val="auto"/>
          <w:spacing w:val="0"/>
          <w:kern w:val="21"/>
          <w:sz w:val="28"/>
          <w:szCs w:val="28"/>
          <w:lang w:eastAsia="zh-CN"/>
        </w:rPr>
        <w:t>俊勇、</w:t>
      </w:r>
      <w:r>
        <w:rPr>
          <w:rFonts w:hint="eastAsia" w:ascii="仿宋_GB2312" w:hAnsi="仿宋_GB2312" w:eastAsia="仿宋_GB2312" w:cs="仿宋_GB2312"/>
          <w:color w:val="auto"/>
          <w:spacing w:val="0"/>
          <w:kern w:val="21"/>
          <w:sz w:val="28"/>
          <w:szCs w:val="28"/>
        </w:rPr>
        <w:t>细妹、</w:t>
      </w:r>
    </w:p>
    <w:p>
      <w:pPr>
        <w:keepNext w:val="0"/>
        <w:keepLines w:val="0"/>
        <w:pageBreakBefore w:val="0"/>
        <w:widowControl w:val="0"/>
        <w:kinsoku/>
        <w:wordWrap/>
        <w:overflowPunct/>
        <w:topLinePunct w:val="0"/>
        <w:autoSpaceDE/>
        <w:autoSpaceDN/>
        <w:bidi w:val="0"/>
        <w:adjustRightInd/>
        <w:snapToGrid/>
        <w:spacing w:line="560" w:lineRule="exact"/>
        <w:ind w:left="1114" w:leftChars="348" w:right="0" w:rightChars="0" w:firstLine="0" w:firstLineChars="0"/>
        <w:jc w:val="left"/>
        <w:textAlignment w:val="auto"/>
        <w:rPr>
          <w:rFonts w:hint="eastAsia" w:ascii="仿宋_GB2312" w:hAnsi="仿宋_GB2312" w:eastAsia="仿宋_GB2312" w:cs="仿宋_GB2312"/>
          <w:color w:val="auto"/>
          <w:spacing w:val="0"/>
          <w:kern w:val="21"/>
          <w:sz w:val="28"/>
          <w:szCs w:val="28"/>
          <w:lang w:eastAsia="zh-CN"/>
        </w:rPr>
      </w:pPr>
      <w:r>
        <w:rPr>
          <w:rFonts w:hint="eastAsia" w:ascii="仿宋_GB2312" w:hAnsi="仿宋_GB2312" w:eastAsia="仿宋_GB2312" w:cs="仿宋_GB2312"/>
          <w:color w:val="auto"/>
          <w:spacing w:val="0"/>
          <w:kern w:val="21"/>
          <w:sz w:val="28"/>
          <w:szCs w:val="28"/>
          <w:lang w:eastAsia="zh-CN"/>
        </w:rPr>
        <w:t>朝亮、湘宜</w:t>
      </w:r>
      <w:r>
        <w:rPr>
          <w:rFonts w:hint="eastAsia" w:cs="仿宋_GB2312"/>
          <w:color w:val="auto"/>
          <w:spacing w:val="0"/>
          <w:kern w:val="21"/>
          <w:sz w:val="28"/>
          <w:szCs w:val="28"/>
          <w:lang w:eastAsia="zh-CN"/>
        </w:rPr>
        <w:t>、</w:t>
      </w:r>
      <w:r>
        <w:rPr>
          <w:rFonts w:hint="eastAsia" w:ascii="仿宋_GB2312" w:hAnsi="仿宋_GB2312" w:eastAsia="仿宋_GB2312" w:cs="仿宋_GB2312"/>
          <w:color w:val="auto"/>
          <w:spacing w:val="0"/>
          <w:kern w:val="21"/>
          <w:sz w:val="28"/>
          <w:szCs w:val="28"/>
          <w:lang w:eastAsia="zh-CN"/>
        </w:rPr>
        <w:t>爱华、晟平</w:t>
      </w:r>
      <w:r>
        <w:rPr>
          <w:rFonts w:hint="eastAsia" w:ascii="仿宋_GB2312" w:hAnsi="仿宋_GB2312" w:eastAsia="仿宋_GB2312" w:cs="仿宋_GB2312"/>
          <w:color w:val="auto"/>
          <w:spacing w:val="0"/>
          <w:kern w:val="21"/>
          <w:sz w:val="28"/>
          <w:szCs w:val="28"/>
        </w:rPr>
        <w:t>、黎剑同志</w:t>
      </w:r>
      <w:r>
        <w:rPr>
          <w:rFonts w:hint="eastAsia" w:cs="仿宋_GB2312"/>
          <w:color w:val="auto"/>
          <w:spacing w:val="0"/>
          <w:kern w:val="21"/>
          <w:sz w:val="28"/>
          <w:szCs w:val="28"/>
          <w:lang w:eastAsia="zh-CN"/>
        </w:rPr>
        <w:t>；</w:t>
      </w:r>
    </w:p>
    <w:p>
      <w:pPr>
        <w:keepNext w:val="0"/>
        <w:keepLines w:val="0"/>
        <w:pageBreakBefore w:val="0"/>
        <w:widowControl w:val="0"/>
        <w:pBdr>
          <w:bottom w:val="single" w:color="auto" w:sz="4" w:space="0"/>
          <w:between w:val="single" w:color="auto" w:sz="4" w:space="1"/>
        </w:pBdr>
        <w:kinsoku/>
        <w:wordWrap/>
        <w:overflowPunct/>
        <w:topLinePunct w:val="0"/>
        <w:autoSpaceDE/>
        <w:autoSpaceDN/>
        <w:bidi w:val="0"/>
        <w:adjustRightInd/>
        <w:snapToGrid/>
        <w:spacing w:line="560" w:lineRule="exact"/>
        <w:ind w:left="1118" w:leftChars="87" w:right="0" w:rightChars="0" w:hanging="840" w:hangingChars="300"/>
        <w:textAlignment w:val="auto"/>
        <w:rPr>
          <w:rFonts w:hint="eastAsia" w:ascii="仿宋_GB2312" w:hAnsi="仿宋_GB2312" w:eastAsia="仿宋_GB2312" w:cs="仿宋_GB2312"/>
          <w:color w:val="auto"/>
          <w:spacing w:val="0"/>
          <w:kern w:val="21"/>
          <w:sz w:val="28"/>
          <w:szCs w:val="28"/>
        </w:rPr>
      </w:pPr>
      <w:r>
        <w:rPr>
          <w:rFonts w:hint="eastAsia" w:ascii="仿宋_GB2312" w:hAnsi="仿宋_GB2312" w:eastAsia="仿宋_GB2312" w:cs="仿宋_GB2312"/>
          <w:color w:val="auto"/>
          <w:spacing w:val="0"/>
          <w:kern w:val="21"/>
          <w:sz w:val="28"/>
          <w:szCs w:val="28"/>
        </w:rPr>
        <w:t>分送：区委办、区人大办、区政协办，区法院、区检察院，区直各有关</w:t>
      </w:r>
      <w:r>
        <w:rPr>
          <w:rFonts w:hint="eastAsia" w:cs="仿宋_GB2312"/>
          <w:color w:val="auto"/>
          <w:spacing w:val="0"/>
          <w:kern w:val="21"/>
          <w:sz w:val="28"/>
          <w:szCs w:val="28"/>
          <w:lang w:val="en-US" w:eastAsia="zh-CN"/>
        </w:rPr>
        <w:t xml:space="preserve">  单位，</w:t>
      </w:r>
      <w:r>
        <w:rPr>
          <w:rFonts w:hint="eastAsia" w:ascii="仿宋_GB2312" w:hAnsi="仿宋_GB2312" w:eastAsia="仿宋_GB2312" w:cs="仿宋_GB2312"/>
          <w:color w:val="auto"/>
          <w:spacing w:val="0"/>
          <w:kern w:val="21"/>
          <w:sz w:val="28"/>
          <w:szCs w:val="28"/>
        </w:rPr>
        <w:t>各镇</w:t>
      </w:r>
      <w:r>
        <w:rPr>
          <w:rFonts w:hint="eastAsia" w:cs="仿宋_GB2312"/>
          <w:color w:val="auto"/>
          <w:spacing w:val="0"/>
          <w:kern w:val="21"/>
          <w:sz w:val="28"/>
          <w:szCs w:val="28"/>
          <w:lang w:eastAsia="zh-CN"/>
        </w:rPr>
        <w:t>人民政府</w:t>
      </w:r>
      <w:r>
        <w:rPr>
          <w:rFonts w:hint="eastAsia" w:ascii="仿宋_GB2312" w:hAnsi="仿宋_GB2312" w:eastAsia="仿宋_GB2312" w:cs="仿宋_GB2312"/>
          <w:color w:val="auto"/>
          <w:spacing w:val="0"/>
          <w:kern w:val="21"/>
          <w:sz w:val="28"/>
          <w:szCs w:val="28"/>
        </w:rPr>
        <w:t>、办事处。</w:t>
      </w:r>
    </w:p>
    <w:p>
      <w:pPr>
        <w:keepNext w:val="0"/>
        <w:keepLines w:val="0"/>
        <w:pageBreakBefore w:val="0"/>
        <w:widowControl w:val="0"/>
        <w:pBdr>
          <w:bottom w:val="single" w:color="auto" w:sz="4" w:space="0"/>
          <w:between w:val="single" w:color="auto" w:sz="4" w:space="1"/>
        </w:pBdr>
        <w:kinsoku/>
        <w:wordWrap/>
        <w:overflowPunct/>
        <w:topLinePunct w:val="0"/>
        <w:autoSpaceDE/>
        <w:autoSpaceDN/>
        <w:bidi w:val="0"/>
        <w:adjustRightInd/>
        <w:snapToGrid/>
        <w:spacing w:line="560" w:lineRule="exact"/>
        <w:ind w:left="0" w:leftChars="0" w:right="0" w:rightChars="0" w:firstLine="280" w:firstLineChars="100"/>
        <w:textAlignment w:val="auto"/>
        <w:rPr>
          <w:rFonts w:hint="eastAsia"/>
          <w:sz w:val="28"/>
          <w:szCs w:val="28"/>
        </w:rPr>
      </w:pPr>
      <w:r>
        <w:rPr>
          <w:rFonts w:hint="eastAsia" w:ascii="仿宋_GB2312" w:hAnsi="仿宋_GB2312" w:eastAsia="仿宋_GB2312" w:cs="仿宋_GB2312"/>
          <w:color w:val="auto"/>
          <w:spacing w:val="0"/>
          <w:kern w:val="21"/>
          <w:sz w:val="28"/>
          <w:szCs w:val="28"/>
        </w:rPr>
        <w:t xml:space="preserve">韶关市浈江区人民政府办公室        </w:t>
      </w:r>
      <w:r>
        <w:rPr>
          <w:rFonts w:hint="eastAsia" w:ascii="仿宋_GB2312" w:hAnsi="仿宋_GB2312" w:eastAsia="仿宋_GB2312" w:cs="仿宋_GB2312"/>
          <w:color w:val="auto"/>
          <w:spacing w:val="0"/>
          <w:kern w:val="21"/>
          <w:sz w:val="28"/>
          <w:szCs w:val="28"/>
          <w:lang w:val="en-US" w:eastAsia="zh-CN"/>
        </w:rPr>
        <w:t xml:space="preserve">  </w:t>
      </w:r>
      <w:r>
        <w:rPr>
          <w:rFonts w:hint="eastAsia" w:ascii="仿宋_GB2312" w:hAnsi="仿宋_GB2312" w:eastAsia="仿宋_GB2312" w:cs="仿宋_GB2312"/>
          <w:color w:val="auto"/>
          <w:spacing w:val="0"/>
          <w:kern w:val="21"/>
          <w:sz w:val="28"/>
          <w:szCs w:val="28"/>
        </w:rPr>
        <w:t xml:space="preserve">  </w:t>
      </w:r>
      <w:r>
        <w:rPr>
          <w:rFonts w:hint="eastAsia" w:ascii="仿宋_GB2312" w:hAnsi="仿宋_GB2312" w:eastAsia="仿宋_GB2312" w:cs="仿宋_GB2312"/>
          <w:color w:val="auto"/>
          <w:spacing w:val="0"/>
          <w:kern w:val="21"/>
          <w:sz w:val="28"/>
          <w:szCs w:val="28"/>
          <w:lang w:val="en-US" w:eastAsia="zh-CN"/>
        </w:rPr>
        <w:t xml:space="preserve"> </w:t>
      </w:r>
      <w:r>
        <w:rPr>
          <w:rFonts w:hint="eastAsia" w:cs="仿宋_GB2312"/>
          <w:color w:val="auto"/>
          <w:spacing w:val="0"/>
          <w:kern w:val="21"/>
          <w:sz w:val="28"/>
          <w:szCs w:val="28"/>
          <w:lang w:val="en-US" w:eastAsia="zh-CN"/>
        </w:rPr>
        <w:t xml:space="preserve"> </w:t>
      </w:r>
      <w:r>
        <w:rPr>
          <w:rFonts w:hint="eastAsia" w:ascii="仿宋_GB2312" w:hAnsi="仿宋_GB2312" w:eastAsia="仿宋_GB2312" w:cs="仿宋_GB2312"/>
          <w:color w:val="auto"/>
          <w:spacing w:val="0"/>
          <w:kern w:val="21"/>
          <w:sz w:val="28"/>
          <w:szCs w:val="28"/>
        </w:rPr>
        <w:t>202</w:t>
      </w:r>
      <w:r>
        <w:rPr>
          <w:rFonts w:hint="eastAsia" w:cs="仿宋_GB2312"/>
          <w:color w:val="auto"/>
          <w:spacing w:val="0"/>
          <w:kern w:val="21"/>
          <w:sz w:val="28"/>
          <w:szCs w:val="28"/>
          <w:lang w:val="en-US" w:eastAsia="zh-CN"/>
        </w:rPr>
        <w:t>2</w:t>
      </w:r>
      <w:r>
        <w:rPr>
          <w:rFonts w:hint="eastAsia" w:ascii="仿宋_GB2312" w:hAnsi="仿宋_GB2312" w:eastAsia="仿宋_GB2312" w:cs="仿宋_GB2312"/>
          <w:color w:val="auto"/>
          <w:spacing w:val="0"/>
          <w:kern w:val="21"/>
          <w:sz w:val="28"/>
          <w:szCs w:val="28"/>
        </w:rPr>
        <w:t>年</w:t>
      </w:r>
      <w:r>
        <w:rPr>
          <w:rFonts w:hint="eastAsia" w:cs="仿宋_GB2312"/>
          <w:color w:val="auto"/>
          <w:spacing w:val="0"/>
          <w:kern w:val="21"/>
          <w:sz w:val="28"/>
          <w:szCs w:val="28"/>
          <w:lang w:val="en-US" w:eastAsia="zh-CN"/>
        </w:rPr>
        <w:t>12</w:t>
      </w:r>
      <w:r>
        <w:rPr>
          <w:rFonts w:hint="eastAsia" w:ascii="仿宋_GB2312" w:hAnsi="仿宋_GB2312" w:eastAsia="仿宋_GB2312" w:cs="仿宋_GB2312"/>
          <w:color w:val="auto"/>
          <w:spacing w:val="0"/>
          <w:kern w:val="21"/>
          <w:sz w:val="28"/>
          <w:szCs w:val="28"/>
        </w:rPr>
        <w:t>月</w:t>
      </w:r>
      <w:r>
        <w:rPr>
          <w:rFonts w:hint="eastAsia" w:cs="仿宋_GB2312"/>
          <w:color w:val="auto"/>
          <w:spacing w:val="0"/>
          <w:kern w:val="21"/>
          <w:sz w:val="28"/>
          <w:szCs w:val="28"/>
          <w:lang w:val="en-US" w:eastAsia="zh-CN"/>
        </w:rPr>
        <w:t xml:space="preserve"> </w:t>
      </w:r>
      <w:r>
        <w:rPr>
          <w:rFonts w:hint="eastAsia" w:ascii="仿宋_GB2312" w:hAnsi="仿宋_GB2312" w:eastAsia="仿宋_GB2312" w:cs="仿宋_GB2312"/>
          <w:color w:val="auto"/>
          <w:spacing w:val="0"/>
          <w:kern w:val="21"/>
          <w:sz w:val="28"/>
          <w:szCs w:val="28"/>
        </w:rPr>
        <w:t>日印发</w:t>
      </w:r>
    </w:p>
    <w:sectPr>
      <w:footerReference r:id="rId5" w:type="default"/>
      <w:pgSz w:w="11906" w:h="16838"/>
      <w:pgMar w:top="2098" w:right="1474" w:bottom="1984" w:left="1587" w:header="851" w:footer="1474" w:gutter="0"/>
      <w:pgNumType w:fmt="numberInDash"/>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方正小标宋_GBK">
    <w:panose1 w:val="03000502000000000000"/>
    <w:charset w:val="86"/>
    <w:family w:val="auto"/>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sz w:val="32"/>
                              <w:szCs w:val="32"/>
                            </w:rPr>
                          </w:pP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3"/>
                      <w:rPr>
                        <w:sz w:val="32"/>
                        <w:szCs w:val="32"/>
                      </w:rPr>
                    </w:pP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E8472"/>
    <w:multiLevelType w:val="singleLevel"/>
    <w:tmpl w:val="EFFE8472"/>
    <w:lvl w:ilvl="0" w:tentative="0">
      <w:start w:val="6"/>
      <w:numFmt w:val="chineseCounting"/>
      <w:suff w:val="nothing"/>
      <w:lvlText w:val="%1、"/>
      <w:lvlJc w:val="left"/>
      <w:rPr>
        <w:rFonts w:hint="eastAsia"/>
      </w:rPr>
    </w:lvl>
  </w:abstractNum>
  <w:abstractNum w:abstractNumId="1">
    <w:nsid w:val="F7FA7A2E"/>
    <w:multiLevelType w:val="singleLevel"/>
    <w:tmpl w:val="F7FA7A2E"/>
    <w:lvl w:ilvl="0" w:tentative="0">
      <w:start w:val="7"/>
      <w:numFmt w:val="chineseCounting"/>
      <w:suff w:val="nothing"/>
      <w:lvlText w:val="%1、"/>
      <w:lvlJc w:val="left"/>
      <w:rPr>
        <w:rFonts w:hint="eastAsia"/>
      </w:rPr>
    </w:lvl>
  </w:abstractNum>
  <w:abstractNum w:abstractNumId="2">
    <w:nsid w:val="7FFACCAE"/>
    <w:multiLevelType w:val="singleLevel"/>
    <w:tmpl w:val="7FFACCAE"/>
    <w:lvl w:ilvl="0" w:tentative="0">
      <w:start w:val="8"/>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26A10"/>
    <w:rsid w:val="01160EB0"/>
    <w:rsid w:val="01681EA0"/>
    <w:rsid w:val="020B66E7"/>
    <w:rsid w:val="026E1BC4"/>
    <w:rsid w:val="04572756"/>
    <w:rsid w:val="04844330"/>
    <w:rsid w:val="048E08A6"/>
    <w:rsid w:val="06507C0A"/>
    <w:rsid w:val="07433AAD"/>
    <w:rsid w:val="0A391647"/>
    <w:rsid w:val="0A404061"/>
    <w:rsid w:val="0A7E35EC"/>
    <w:rsid w:val="0BB35A37"/>
    <w:rsid w:val="0BDD1A4A"/>
    <w:rsid w:val="0D067F41"/>
    <w:rsid w:val="0DA84473"/>
    <w:rsid w:val="0EC13190"/>
    <w:rsid w:val="0F4A2FF6"/>
    <w:rsid w:val="152F580D"/>
    <w:rsid w:val="16D05E72"/>
    <w:rsid w:val="17B00B28"/>
    <w:rsid w:val="184F58B7"/>
    <w:rsid w:val="18E30041"/>
    <w:rsid w:val="1A39308B"/>
    <w:rsid w:val="1B14075C"/>
    <w:rsid w:val="1E9367AF"/>
    <w:rsid w:val="200232EB"/>
    <w:rsid w:val="202B04E2"/>
    <w:rsid w:val="212A5214"/>
    <w:rsid w:val="22C05F68"/>
    <w:rsid w:val="22CB35DC"/>
    <w:rsid w:val="23CB3916"/>
    <w:rsid w:val="258F7FB3"/>
    <w:rsid w:val="26086549"/>
    <w:rsid w:val="26C07FA5"/>
    <w:rsid w:val="27B40542"/>
    <w:rsid w:val="28B75C18"/>
    <w:rsid w:val="2BEC4909"/>
    <w:rsid w:val="2DEE1DEF"/>
    <w:rsid w:val="2F511E68"/>
    <w:rsid w:val="2F8B0B88"/>
    <w:rsid w:val="3004281B"/>
    <w:rsid w:val="304E1E14"/>
    <w:rsid w:val="341D3470"/>
    <w:rsid w:val="361EC679"/>
    <w:rsid w:val="36BC0422"/>
    <w:rsid w:val="36DA2E7B"/>
    <w:rsid w:val="37342EBB"/>
    <w:rsid w:val="374B00E2"/>
    <w:rsid w:val="37F811FC"/>
    <w:rsid w:val="3AA34560"/>
    <w:rsid w:val="3AE43AD7"/>
    <w:rsid w:val="3B0A1907"/>
    <w:rsid w:val="3B610985"/>
    <w:rsid w:val="3DC03A3E"/>
    <w:rsid w:val="3DC477F1"/>
    <w:rsid w:val="3E446ED7"/>
    <w:rsid w:val="3F7A1F34"/>
    <w:rsid w:val="3FB46EE7"/>
    <w:rsid w:val="40660733"/>
    <w:rsid w:val="412C7449"/>
    <w:rsid w:val="41CD0E22"/>
    <w:rsid w:val="44233967"/>
    <w:rsid w:val="44604623"/>
    <w:rsid w:val="452E4CAD"/>
    <w:rsid w:val="45F23B34"/>
    <w:rsid w:val="46CF15F5"/>
    <w:rsid w:val="4A142FBC"/>
    <w:rsid w:val="4BB43604"/>
    <w:rsid w:val="4BED83D0"/>
    <w:rsid w:val="4E3653A5"/>
    <w:rsid w:val="4E5F5270"/>
    <w:rsid w:val="501B673D"/>
    <w:rsid w:val="50422FEC"/>
    <w:rsid w:val="51F10833"/>
    <w:rsid w:val="533E0F89"/>
    <w:rsid w:val="53D7207E"/>
    <w:rsid w:val="55052F81"/>
    <w:rsid w:val="55BE4FE4"/>
    <w:rsid w:val="57426D58"/>
    <w:rsid w:val="575E2618"/>
    <w:rsid w:val="57B60EC2"/>
    <w:rsid w:val="58010E87"/>
    <w:rsid w:val="582D281D"/>
    <w:rsid w:val="59124F22"/>
    <w:rsid w:val="5BEC5046"/>
    <w:rsid w:val="5BFF7166"/>
    <w:rsid w:val="5D1508C9"/>
    <w:rsid w:val="5D8E0215"/>
    <w:rsid w:val="5DDD76F3"/>
    <w:rsid w:val="5DDE1EC7"/>
    <w:rsid w:val="61CF2CD2"/>
    <w:rsid w:val="61E96F6D"/>
    <w:rsid w:val="631A64EB"/>
    <w:rsid w:val="645F5A22"/>
    <w:rsid w:val="656B5DFF"/>
    <w:rsid w:val="65EE5F14"/>
    <w:rsid w:val="68045EB9"/>
    <w:rsid w:val="6A0C2C71"/>
    <w:rsid w:val="6A3D4CE3"/>
    <w:rsid w:val="6A935974"/>
    <w:rsid w:val="6AF7431F"/>
    <w:rsid w:val="6AFB00DD"/>
    <w:rsid w:val="6BF31977"/>
    <w:rsid w:val="6CAB0676"/>
    <w:rsid w:val="6D0E34F6"/>
    <w:rsid w:val="6D824A50"/>
    <w:rsid w:val="6E9F2AF2"/>
    <w:rsid w:val="6F1B755D"/>
    <w:rsid w:val="703072D5"/>
    <w:rsid w:val="72A83494"/>
    <w:rsid w:val="7397682B"/>
    <w:rsid w:val="73A6171A"/>
    <w:rsid w:val="73CE4A71"/>
    <w:rsid w:val="748D3640"/>
    <w:rsid w:val="7512DED0"/>
    <w:rsid w:val="76D67A5F"/>
    <w:rsid w:val="7804100D"/>
    <w:rsid w:val="78411022"/>
    <w:rsid w:val="78F77D91"/>
    <w:rsid w:val="79287893"/>
    <w:rsid w:val="79F038A6"/>
    <w:rsid w:val="7A6D571E"/>
    <w:rsid w:val="7BF26AF1"/>
    <w:rsid w:val="7DA474BC"/>
    <w:rsid w:val="7E5528CB"/>
    <w:rsid w:val="7F57731F"/>
    <w:rsid w:val="7F793F7A"/>
    <w:rsid w:val="7FC30AB4"/>
    <w:rsid w:val="7FFF8655"/>
    <w:rsid w:val="9FDF1B17"/>
    <w:rsid w:val="ADD98922"/>
    <w:rsid w:val="BBFF9F7F"/>
    <w:rsid w:val="BFCC5E96"/>
    <w:rsid w:val="BFED44B9"/>
    <w:rsid w:val="CDF56A4A"/>
    <w:rsid w:val="CF5E04D9"/>
    <w:rsid w:val="DDFF7C11"/>
    <w:rsid w:val="E7BF16A8"/>
    <w:rsid w:val="EFFB85D7"/>
    <w:rsid w:val="F0714323"/>
    <w:rsid w:val="F1B570AD"/>
    <w:rsid w:val="F57848D4"/>
    <w:rsid w:val="F7FFBA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31"/>
    <w:qFormat/>
    <w:uiPriority w:val="0"/>
    <w:pPr>
      <w:widowControl w:val="0"/>
      <w:spacing w:line="560" w:lineRule="exact"/>
      <w:ind w:firstLine="0" w:firstLineChars="0"/>
      <w:jc w:val="both"/>
    </w:pPr>
    <w:rPr>
      <w:rFonts w:ascii="仿宋_GB2312" w:hAnsi="仿宋_GB2312" w:eastAsia="仿宋_GB2312" w:cstheme="minorBidi"/>
      <w:kern w:val="2"/>
      <w:sz w:val="32"/>
      <w:szCs w:val="24"/>
      <w:lang w:val="en-US" w:eastAsia="zh-CN" w:bidi="ar-SA"/>
    </w:rPr>
  </w:style>
  <w:style w:type="paragraph" w:styleId="4">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Arial" w:hAnsi="Arial" w:eastAsia="方正小标宋简体"/>
      <w:kern w:val="44"/>
      <w:sz w:val="44"/>
    </w:rPr>
  </w:style>
  <w:style w:type="paragraph" w:styleId="5">
    <w:name w:val="heading 2"/>
    <w:basedOn w:val="1"/>
    <w:next w:val="1"/>
    <w:semiHidden/>
    <w:unhideWhenUsed/>
    <w:qFormat/>
    <w:uiPriority w:val="0"/>
    <w:pPr>
      <w:keepNext/>
      <w:keepLines/>
      <w:spacing w:beforeLines="0" w:beforeAutospacing="0" w:afterLines="0" w:afterAutospacing="0" w:line="560" w:lineRule="exact"/>
      <w:outlineLvl w:val="1"/>
    </w:pPr>
    <w:rPr>
      <w:rFonts w:ascii="Arial" w:hAnsi="Arial" w:eastAsia="黑体"/>
    </w:rPr>
  </w:style>
  <w:style w:type="paragraph" w:styleId="6">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customStyle="1" w:styleId="2">
    <w:name w:val="样式1"/>
    <w:basedOn w:val="3"/>
    <w:qFormat/>
    <w:uiPriority w:val="0"/>
    <w:pPr>
      <w:spacing w:line="579" w:lineRule="exact"/>
      <w:ind w:firstLine="640" w:firstLineChars="200"/>
    </w:pPr>
    <w:rPr>
      <w:rFonts w:eastAsia="仿宋_GB2312"/>
    </w:rPr>
  </w:style>
  <w:style w:type="paragraph" w:customStyle="1" w:styleId="3">
    <w:name w:val="正文1"/>
    <w:basedOn w:val="1"/>
    <w:qFormat/>
    <w:uiPriority w:val="99"/>
    <w:pPr>
      <w:ind w:firstLine="708" w:firstLineChars="236"/>
    </w:pPr>
    <w:rPr>
      <w:rFonts w:ascii="仿宋_GB2312" w:eastAsia="仿宋_GB2312" w:cs="仿宋_GB2312"/>
      <w:sz w:val="30"/>
      <w:szCs w:val="30"/>
    </w:rPr>
  </w:style>
  <w:style w:type="paragraph" w:styleId="7">
    <w:name w:val="toa heading"/>
    <w:basedOn w:val="1"/>
    <w:next w:val="1"/>
    <w:semiHidden/>
    <w:qFormat/>
    <w:uiPriority w:val="99"/>
    <w:pPr>
      <w:spacing w:before="120"/>
    </w:pPr>
    <w:rPr>
      <w:rFonts w:ascii="等线 Light" w:hAnsi="等线 Light" w:eastAsia="等线 Light"/>
      <w:sz w:val="24"/>
    </w:rPr>
  </w:style>
  <w:style w:type="paragraph" w:styleId="8">
    <w:name w:val="Body Text"/>
    <w:basedOn w:val="1"/>
    <w:next w:val="9"/>
    <w:qFormat/>
    <w:uiPriority w:val="1"/>
    <w:pPr>
      <w:widowControl w:val="0"/>
      <w:spacing w:before="214"/>
      <w:ind w:left="120"/>
      <w:jc w:val="both"/>
    </w:pPr>
    <w:rPr>
      <w:rFonts w:ascii="仿宋_GB2312" w:hAnsi="仿宋_GB2312" w:eastAsia="仿宋_GB2312" w:cs="仿宋_GB2312"/>
      <w:kern w:val="2"/>
      <w:sz w:val="32"/>
      <w:szCs w:val="32"/>
      <w:lang w:val="zh-CN" w:eastAsia="zh-CN" w:bidi="zh-CN"/>
    </w:rPr>
  </w:style>
  <w:style w:type="paragraph" w:styleId="9">
    <w:name w:val="Title"/>
    <w:basedOn w:val="1"/>
    <w:next w:val="10"/>
    <w:qFormat/>
    <w:uiPriority w:val="0"/>
    <w:pPr>
      <w:jc w:val="center"/>
      <w:outlineLvl w:val="0"/>
    </w:pPr>
    <w:rPr>
      <w:rFonts w:ascii="方正小标宋_GBK" w:hAnsi="方正小标宋_GBK" w:eastAsia="方正小标宋_GBK" w:cs="方正小标宋_GBK"/>
      <w:sz w:val="44"/>
      <w:szCs w:val="44"/>
      <w:lang w:bidi="ar-SA"/>
    </w:rPr>
  </w:style>
  <w:style w:type="paragraph" w:styleId="10">
    <w:name w:val="Body Text Indent"/>
    <w:basedOn w:val="1"/>
    <w:next w:val="1"/>
    <w:qFormat/>
    <w:uiPriority w:val="0"/>
    <w:pPr>
      <w:ind w:firstLine="560"/>
    </w:pPr>
    <w:rPr>
      <w:rFonts w:eastAsia="仿宋_GB2312" w:cs="Times New Roman"/>
      <w:kern w:val="2"/>
      <w:szCs w:val="24"/>
    </w:rPr>
  </w:style>
  <w:style w:type="paragraph" w:styleId="11">
    <w:name w:val="Plain Text"/>
    <w:basedOn w:val="1"/>
    <w:qFormat/>
    <w:uiPriority w:val="0"/>
    <w:rPr>
      <w:rFonts w:hint="eastAsia" w:ascii="宋体" w:hAnsi="Courier New"/>
      <w:sz w:val="21"/>
    </w:rPr>
  </w:style>
  <w:style w:type="paragraph" w:styleId="12">
    <w:name w:val="Date"/>
    <w:basedOn w:val="1"/>
    <w:next w:val="1"/>
    <w:qFormat/>
    <w:uiPriority w:val="0"/>
    <w:pPr>
      <w:ind w:left="100" w:leftChars="2500"/>
    </w:pPr>
    <w:rPr>
      <w:rFonts w:ascii="仿宋_GB2312" w:eastAsia="仿宋_GB2312"/>
      <w:sz w:val="32"/>
    </w:rPr>
  </w:style>
  <w:style w:type="paragraph" w:styleId="13">
    <w:name w:val="footer"/>
    <w:basedOn w:val="1"/>
    <w:qFormat/>
    <w:uiPriority w:val="0"/>
    <w:pPr>
      <w:tabs>
        <w:tab w:val="center" w:pos="4153"/>
        <w:tab w:val="right" w:pos="8306"/>
      </w:tabs>
      <w:snapToGrid w:val="0"/>
      <w:jc w:val="left"/>
    </w:pPr>
    <w:rPr>
      <w:sz w:val="18"/>
    </w:rPr>
  </w:style>
  <w:style w:type="paragraph" w:styleId="14">
    <w:name w:val="envelope return"/>
    <w:basedOn w:val="1"/>
    <w:unhideWhenUsed/>
    <w:qFormat/>
    <w:uiPriority w:val="99"/>
    <w:pPr>
      <w:snapToGrid w:val="0"/>
    </w:pPr>
    <w:rPr>
      <w:rFonts w:ascii="Cambria" w:hAnsi="Cambria"/>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9">
    <w:name w:val="Strong"/>
    <w:basedOn w:val="18"/>
    <w:qFormat/>
    <w:uiPriority w:val="0"/>
    <w:rPr>
      <w:b/>
    </w:rPr>
  </w:style>
  <w:style w:type="character" w:styleId="20">
    <w:name w:val="Emphasis"/>
    <w:basedOn w:val="18"/>
    <w:qFormat/>
    <w:uiPriority w:val="0"/>
    <w:rPr>
      <w:i/>
    </w:rPr>
  </w:style>
  <w:style w:type="character" w:styleId="21">
    <w:name w:val="Hyperlink"/>
    <w:basedOn w:val="18"/>
    <w:qFormat/>
    <w:uiPriority w:val="0"/>
    <w:rPr>
      <w:color w:val="0000FF"/>
      <w:u w:val="single"/>
    </w:rPr>
  </w:style>
  <w:style w:type="paragraph" w:customStyle="1" w:styleId="22">
    <w:name w:val="Default"/>
    <w:qFormat/>
    <w:uiPriority w:val="0"/>
    <w:pPr>
      <w:widowControl w:val="0"/>
      <w:autoSpaceDE w:val="0"/>
      <w:autoSpaceDN w:val="0"/>
      <w:adjustRightInd w:val="0"/>
    </w:pPr>
    <w:rPr>
      <w:rFonts w:ascii="仿宋_GB2312" w:hAnsi="仿宋_GB2312" w:eastAsia="仿宋_GB2312" w:cs="Times New Roman"/>
      <w:color w:val="000000"/>
      <w:sz w:val="24"/>
      <w:szCs w:val="22"/>
      <w:lang w:val="en-US" w:eastAsia="zh-CN" w:bidi="ar-SA"/>
    </w:rPr>
  </w:style>
  <w:style w:type="paragraph" w:customStyle="1" w:styleId="23">
    <w:name w:val="正文缩进1"/>
    <w:basedOn w:val="1"/>
    <w:qFormat/>
    <w:uiPriority w:val="0"/>
    <w:pPr>
      <w:widowControl/>
      <w:ind w:firstLine="420"/>
      <w:jc w:val="left"/>
    </w:pPr>
    <w:rPr>
      <w:kern w:val="0"/>
      <w:szCs w:val="20"/>
    </w:rPr>
  </w:style>
  <w:style w:type="paragraph" w:customStyle="1" w:styleId="24">
    <w:name w:val="正文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5">
    <w:name w:val="正文 New New New New New New New New New New New New New New New New New New New New New New"/>
    <w:qFormat/>
    <w:uiPriority w:val="0"/>
    <w:pPr>
      <w:widowControl w:val="0"/>
      <w:jc w:val="both"/>
    </w:pPr>
    <w:rPr>
      <w:rFonts w:ascii="Calibri" w:hAnsi="Calibri" w:eastAsia="宋体" w:cs="黑体"/>
      <w:kern w:val="2"/>
      <w:sz w:val="21"/>
      <w:szCs w:val="22"/>
      <w:lang w:val="en-US" w:eastAsia="zh-CN" w:bidi="ar-SA"/>
    </w:rPr>
  </w:style>
  <w:style w:type="character" w:customStyle="1" w:styleId="26">
    <w:name w:val="NormalCharacter"/>
    <w:link w:val="1"/>
    <w:qFormat/>
    <w:uiPriority w:val="0"/>
    <w:rPr>
      <w:rFonts w:ascii="仿宋_GB2312" w:hAnsi="仿宋_GB2312" w:eastAsia="仿宋_GB2312" w:cstheme="minorBidi"/>
      <w:kern w:val="2"/>
      <w:sz w:val="32"/>
      <w:szCs w:val="24"/>
      <w:lang w:val="en-US" w:eastAsia="zh-CN" w:bidi="ar-SA"/>
    </w:rPr>
  </w:style>
  <w:style w:type="paragraph" w:customStyle="1" w:styleId="27">
    <w:name w:val="Heading1"/>
    <w:basedOn w:val="1"/>
    <w:next w:val="1"/>
    <w:qFormat/>
    <w:uiPriority w:val="0"/>
    <w:pPr>
      <w:spacing w:before="100" w:beforeAutospacing="1" w:after="100" w:afterAutospacing="1"/>
      <w:jc w:val="left"/>
      <w:textAlignment w:val="baseline"/>
    </w:pPr>
    <w:rPr>
      <w:rFonts w:ascii="宋体" w:hAnsi="宋体" w:eastAsia="宋体"/>
      <w:b/>
      <w:kern w:val="44"/>
      <w:sz w:val="48"/>
      <w:szCs w:val="48"/>
      <w:lang w:val="en-US" w:eastAsia="zh-CN"/>
    </w:rPr>
  </w:style>
  <w:style w:type="paragraph" w:customStyle="1" w:styleId="28">
    <w:name w:val="UserStyle_5"/>
    <w:basedOn w:val="29"/>
    <w:qFormat/>
    <w:uiPriority w:val="0"/>
    <w:pPr>
      <w:pBdr>
        <w:top w:val="none" w:color="000000" w:sz="0" w:space="1"/>
        <w:left w:val="none" w:color="000000" w:sz="0" w:space="4"/>
        <w:bottom w:val="none" w:color="000000" w:sz="0" w:space="1"/>
        <w:right w:val="none" w:color="000000" w:sz="0" w:space="4"/>
      </w:pBdr>
      <w:tabs>
        <w:tab w:val="center" w:pos="4153"/>
        <w:tab w:val="right" w:pos="8306"/>
      </w:tabs>
      <w:snapToGrid w:val="0"/>
      <w:spacing w:line="240" w:lineRule="auto"/>
      <w:jc w:val="both"/>
      <w:textAlignment w:val="baseline"/>
    </w:pPr>
    <w:rPr>
      <w:rFonts w:ascii="Times New Roman" w:hAnsi="Times New Roman" w:eastAsia="仿宋_GB2312"/>
      <w:kern w:val="2"/>
      <w:sz w:val="18"/>
      <w:szCs w:val="24"/>
      <w:lang w:val="en-US" w:eastAsia="zh-CN" w:bidi="ar-SA"/>
    </w:rPr>
  </w:style>
  <w:style w:type="paragraph" w:customStyle="1" w:styleId="29">
    <w:name w:val="UserStyle_2"/>
    <w:qFormat/>
    <w:uiPriority w:val="0"/>
    <w:pPr>
      <w:jc w:val="both"/>
      <w:textAlignment w:val="baseline"/>
    </w:pPr>
    <w:rPr>
      <w:rFonts w:ascii="Calibri" w:hAnsi="Calibri" w:eastAsia="仿宋_GB2312" w:cstheme="minorBidi"/>
      <w:kern w:val="2"/>
      <w:sz w:val="32"/>
      <w:szCs w:val="24"/>
      <w:lang w:val="en-US" w:eastAsia="zh-CN" w:bidi="ar-SA"/>
    </w:rPr>
  </w:style>
  <w:style w:type="paragraph" w:customStyle="1" w:styleId="30">
    <w:name w:val="UserStyle_3"/>
    <w:basedOn w:val="29"/>
    <w:qFormat/>
    <w:uiPriority w:val="0"/>
    <w:pPr>
      <w:tabs>
        <w:tab w:val="center" w:pos="4153"/>
        <w:tab w:val="right" w:pos="8306"/>
      </w:tabs>
      <w:snapToGrid w:val="0"/>
      <w:jc w:val="left"/>
      <w:textAlignment w:val="baseline"/>
    </w:pPr>
    <w:rPr>
      <w:rFonts w:ascii="Calibri" w:hAnsi="Calibri" w:eastAsia="仿宋_GB2312"/>
      <w:kern w:val="2"/>
      <w:sz w:val="18"/>
      <w:szCs w:val="24"/>
      <w:lang w:val="en-US" w:eastAsia="zh-CN" w:bidi="ar-SA"/>
    </w:rPr>
  </w:style>
  <w:style w:type="character" w:customStyle="1" w:styleId="31">
    <w:name w:val="UserStyle_0"/>
    <w:basedOn w:val="26"/>
    <w:link w:val="1"/>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3411</Words>
  <Characters>3493</Characters>
  <Lines>0</Lines>
  <Paragraphs>0</Paragraphs>
  <TotalTime>2</TotalTime>
  <ScaleCrop>false</ScaleCrop>
  <LinksUpToDate>false</LinksUpToDate>
  <CharactersWithSpaces>3528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2021-08-25T07:08:00Z</dcterms:created>
  <dc:creator>Administrator</dc:creator>
  <cp:lastModifiedBy>Administrator</cp:lastModifiedBy>
  <cp:lastPrinted>2022-08-20T10:00:00Z</cp:lastPrinted>
  <dcterms:modified xsi:type="dcterms:W3CDTF">2023-04-04T01:10:20Z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0327414FAA7449AD9C635A0853632EFE</vt:lpwstr>
  </property>
</Properties>
</file>