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r>
        <w:rPr>
          <w:rFonts w:hint="eastAsia"/>
          <w:sz w:val="44"/>
          <w:szCs w:val="44"/>
        </w:rPr>
        <w:t>优化营商环境，浈江人社局</w:t>
      </w:r>
    </w:p>
    <w:p>
      <w:pPr>
        <w:jc w:val="center"/>
        <w:rPr>
          <w:rFonts w:hint="eastAsia"/>
          <w:sz w:val="44"/>
          <w:szCs w:val="44"/>
        </w:rPr>
      </w:pPr>
      <w:bookmarkStart w:id="0" w:name="_GoBack"/>
      <w:bookmarkEnd w:id="0"/>
      <w:r>
        <w:rPr>
          <w:rFonts w:hint="eastAsia"/>
          <w:sz w:val="44"/>
          <w:szCs w:val="44"/>
        </w:rPr>
        <w:t>开展技能人才薪酬分配工作专项检查行动</w:t>
      </w:r>
    </w:p>
    <w:p>
      <w:pPr>
        <w:rPr>
          <w:rFonts w:hint="eastAsia" w:ascii="仿宋" w:hAnsi="仿宋" w:eastAsia="仿宋" w:cs="仿宋"/>
          <w:sz w:val="32"/>
          <w:szCs w:val="32"/>
        </w:rPr>
      </w:pPr>
    </w:p>
    <w:p>
      <w:pPr>
        <w:rPr>
          <w:rFonts w:hint="eastAsia" w:ascii="仿宋" w:hAnsi="仿宋" w:eastAsia="仿宋" w:cs="仿宋"/>
          <w:sz w:val="30"/>
          <w:szCs w:val="30"/>
        </w:rPr>
      </w:pPr>
      <w:r>
        <w:rPr>
          <w:rFonts w:hint="eastAsia" w:ascii="仿宋" w:hAnsi="仿宋" w:eastAsia="仿宋" w:cs="仿宋"/>
          <w:sz w:val="32"/>
          <w:szCs w:val="32"/>
          <w:lang w:val="en-US" w:eastAsia="zh-CN"/>
        </w:rPr>
        <w:t xml:space="preserve">    </w:t>
      </w:r>
      <w:r>
        <w:rPr>
          <w:rFonts w:hint="eastAsia" w:ascii="仿宋" w:hAnsi="仿宋" w:eastAsia="仿宋" w:cs="仿宋"/>
          <w:sz w:val="30"/>
          <w:szCs w:val="30"/>
        </w:rPr>
        <w:t>为进一步优化我区营商环境工作，畅通技能人才晋升发展机制，优化技能人才绩效考核机制，完善技能人才奖励激励机制。近日，浈江区人社局结合人社部印发的《技能人才薪酬分配指引》有关要求，开展专项检查活动，走访多家辖区重点企业，查看企业对技能人才薪酬分配工作的具体落实情况。</w:t>
      </w:r>
    </w:p>
    <w:p>
      <w:pP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专项检查活动过程中，浈江区人社局重点检查企业相关技能人才薪酬分配方案或制度、员工劳动合同和薪酬发放表等台账资料，确保技能人才薪酬分配工作落到实处。其中，韶关市中机重工有限责任公司通过优化技能人才薪酬分配体系，既避免了“吃大锅饭”现象，提升了技能人才的积极性，又保障了技能人才的薪资待遇。</w:t>
      </w:r>
    </w:p>
    <w:p>
      <w:pP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本次专项执法活动，浈江区人社局对发现尚未建立健全完善的技能人才薪酬分配方案或制度的2家企业，立即开展了工资分配指导服务，要求相关企业加快建立健全相关制度。</w:t>
      </w:r>
    </w:p>
    <w:p>
      <w:r>
        <w:rPr>
          <w:rFonts w:hint="eastAsia" w:ascii="仿宋" w:hAnsi="仿宋" w:eastAsia="仿宋" w:cs="仿宋"/>
          <w:sz w:val="30"/>
          <w:szCs w:val="30"/>
        </w:rPr>
        <w:t>合理的薪资待遇、充分的职业培训、可见的晋升空间，是技能人才成长壮大、企业留人的基础，也是优化营商环境的重要因素。下一步，我局继续加大检查力度，抓好宣传培训，引导企业落实《技能人才薪酬分配指引》，畅通职业发展和晋升途径，激发创造潜能，增强生产服务一线岗位对劳动者吸引力，持续优化营商环境 为企业保驾护航。</w:t>
      </w:r>
    </w:p>
    <w:sectPr>
      <w:pgSz w:w="11906" w:h="16838"/>
      <w:pgMar w:top="1440" w:right="1463" w:bottom="1440" w:left="1463"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3663D9"/>
    <w:rsid w:val="233663D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2023-04-02T03:14:00Z</dcterms:created>
  <dc:creator>Administrator</dc:creator>
  <cp:lastModifiedBy>Administrator</cp:lastModifiedBy>
  <dcterms:modified xsi:type="dcterms:W3CDTF">2023-04-02T03:16:34Z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2052-10.1.0.6030</vt:lpwstr>
  </property>
</Properties>
</file>