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154" w:right="1474" w:bottom="2041" w:left="1587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eastAsia="zh-CN" w:bidi="ar"/>
        </w:rPr>
        <w:t>浈江区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历史遗留废弃矿山认定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补充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公告表</w:t>
      </w: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647"/>
        <w:gridCol w:w="2802"/>
        <w:gridCol w:w="885"/>
        <w:gridCol w:w="1087"/>
        <w:gridCol w:w="1019"/>
        <w:gridCol w:w="2223"/>
        <w:gridCol w:w="1184"/>
        <w:gridCol w:w="14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tblHeader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矿山位置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采矿证号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图斑大类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图斑小类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图斑面积 （m</w:t>
            </w:r>
            <w:r>
              <w:rPr>
                <w:rStyle w:val="4"/>
                <w:rFonts w:hAnsi="宋体"/>
                <w:lang w:val="en-US" w:eastAsia="zh-CN" w:bidi="ar"/>
              </w:rPr>
              <w:t>2</w:t>
            </w:r>
            <w:r>
              <w:rPr>
                <w:rStyle w:val="5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中心经度（°）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中心纬度（°）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4402010830081001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广东省韶关市浈江区十里亭镇金凤坪村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金凤坪砖厂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4402040620007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15353.1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113.56417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4402010830081002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广东省韶关市浈江区十里亭镇金凤坪村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金凤坪砖厂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4402040620007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13424.18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113.565125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24.853132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4402010830084002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广东省韶关市浈江区新韶镇大陂村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田螺冲煤矿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10446.83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113.6259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24.817501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4402010830107001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广东省韶关市浈江区犁市镇群丰村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东犁砖厂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4402040620001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4262.93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113.531845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24.912786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4402010830108001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广东省韶关市浈江区乐园镇六合村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六合机砖厂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4402040040012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13020.81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113.547295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24.724672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4402010830108002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广东省韶关市浈江区乐园镇六合村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六合机砖厂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4064.95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113.548225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24.724592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4402010830109001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广东省韶关市浈江区新韶镇黄金村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田螺冲煤矿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22489.22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113.63184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24.827602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4402010830110002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广东省韶关市浈江区新韶镇大陂村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田螺冲煤矿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由政府承担治理恢复责任的政策性关闭矿山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11682.26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113.620605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24.81686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C4402002010107120077956001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广东省韶关市浈江区花坪镇奎塘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奎塘采石场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4402010620040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无法确认治理恢复责任主体的无主废弃矿山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10417.55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113.556305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25.033737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06692"/>
    <w:rsid w:val="38B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  <w:vertAlign w:val="superscript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2022-05-27T03:39:00Z</dcterms:created>
  <dc:creator>Administrator</dc:creator>
  <cp:lastModifiedBy>Administrator</cp:lastModifiedBy>
  <dcterms:modified xsi:type="dcterms:W3CDTF">2022-05-27T03:43:47Z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