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区九届人大</w:t>
      </w:r>
    </w:p>
    <w:p>
      <w:pPr>
        <w:rPr>
          <w:rFonts w:hint="eastAsia"/>
          <w:sz w:val="32"/>
          <w:szCs w:val="32"/>
        </w:rPr>
      </w:pPr>
      <w:r>
        <w:rPr>
          <w:rFonts w:hint="eastAsia"/>
          <w:sz w:val="32"/>
          <w:szCs w:val="32"/>
        </w:rPr>
        <w:t>六次会议文件（</w:t>
      </w:r>
      <w:r>
        <w:rPr>
          <w:rFonts w:hint="eastAsia"/>
          <w:sz w:val="32"/>
          <w:szCs w:val="32"/>
          <w:lang w:val="en-US" w:eastAsia="zh-CN"/>
        </w:rPr>
        <w:t>3</w:t>
      </w:r>
      <w:r>
        <w:rPr>
          <w:rFonts w:hint="eastAsia"/>
          <w:sz w:val="32"/>
          <w:szCs w:val="32"/>
        </w:rPr>
        <w:t>）</w:t>
      </w:r>
    </w:p>
    <w:p>
      <w:pPr>
        <w:spacing w:line="600" w:lineRule="exact"/>
        <w:jc w:val="center"/>
        <w:rPr>
          <w:rFonts w:hint="eastAsia" w:ascii="仿宋" w:hAnsi="仿宋" w:eastAsia="仿宋" w:cs="宋体"/>
          <w:b/>
          <w:sz w:val="44"/>
          <w:szCs w:val="44"/>
        </w:rPr>
      </w:pPr>
    </w:p>
    <w:p>
      <w:pPr>
        <w:spacing w:line="600" w:lineRule="exact"/>
        <w:jc w:val="center"/>
        <w:rPr>
          <w:rFonts w:hint="eastAsia" w:ascii="仿宋" w:hAnsi="仿宋" w:eastAsia="仿宋" w:cs="宋体"/>
          <w:b/>
          <w:sz w:val="44"/>
          <w:szCs w:val="44"/>
        </w:rPr>
      </w:pPr>
    </w:p>
    <w:p>
      <w:pPr>
        <w:spacing w:line="600" w:lineRule="exact"/>
        <w:jc w:val="center"/>
        <w:rPr>
          <w:rFonts w:ascii="仿宋" w:hAnsi="仿宋" w:eastAsia="仿宋" w:cs="宋体"/>
          <w:b/>
          <w:sz w:val="44"/>
          <w:szCs w:val="44"/>
        </w:rPr>
      </w:pPr>
      <w:r>
        <w:rPr>
          <w:rFonts w:hint="eastAsia" w:ascii="仿宋" w:hAnsi="仿宋" w:eastAsia="仿宋" w:cs="宋体"/>
          <w:b/>
          <w:sz w:val="44"/>
          <w:szCs w:val="44"/>
        </w:rPr>
        <w:t>韶关市浈江区</w:t>
      </w:r>
      <w:r>
        <w:rPr>
          <w:rFonts w:ascii="仿宋" w:hAnsi="仿宋" w:eastAsia="仿宋" w:cs="宋体"/>
          <w:b/>
          <w:sz w:val="44"/>
          <w:szCs w:val="44"/>
        </w:rPr>
        <w:t>2020年国民经济和社会发展计划执行情况与2021年计划</w:t>
      </w:r>
      <w:r>
        <w:rPr>
          <w:rFonts w:hint="eastAsia" w:ascii="仿宋" w:hAnsi="仿宋" w:eastAsia="仿宋" w:cs="宋体"/>
          <w:b/>
          <w:sz w:val="44"/>
          <w:szCs w:val="44"/>
        </w:rPr>
        <w:t>安排（</w:t>
      </w:r>
      <w:r>
        <w:rPr>
          <w:rFonts w:ascii="仿宋" w:hAnsi="仿宋" w:eastAsia="仿宋" w:cs="宋体"/>
          <w:b/>
          <w:sz w:val="44"/>
          <w:szCs w:val="44"/>
        </w:rPr>
        <w:t>草案</w:t>
      </w:r>
      <w:r>
        <w:rPr>
          <w:rFonts w:hint="eastAsia" w:ascii="仿宋" w:hAnsi="仿宋" w:eastAsia="仿宋" w:cs="宋体"/>
          <w:b/>
          <w:sz w:val="44"/>
          <w:szCs w:val="44"/>
        </w:rPr>
        <w:t>）</w:t>
      </w:r>
      <w:r>
        <w:rPr>
          <w:rFonts w:ascii="仿宋" w:hAnsi="仿宋" w:eastAsia="仿宋" w:cs="宋体"/>
          <w:b/>
          <w:sz w:val="44"/>
          <w:szCs w:val="44"/>
        </w:rPr>
        <w:t>的报告</w:t>
      </w:r>
    </w:p>
    <w:p>
      <w:pPr>
        <w:spacing w:line="600" w:lineRule="exact"/>
        <w:jc w:val="center"/>
        <w:rPr>
          <w:rFonts w:ascii="宋体" w:hAnsi="宋体" w:cs="宋体"/>
          <w:sz w:val="32"/>
        </w:rPr>
      </w:pPr>
    </w:p>
    <w:p>
      <w:pPr>
        <w:spacing w:line="600" w:lineRule="exact"/>
        <w:jc w:val="center"/>
        <w:rPr>
          <w:rFonts w:ascii="仿宋" w:hAnsi="仿宋" w:eastAsia="仿宋" w:cs="仿宋"/>
          <w:sz w:val="32"/>
        </w:rPr>
      </w:pPr>
      <w:r>
        <w:rPr>
          <w:rFonts w:hint="eastAsia" w:ascii="仿宋" w:hAnsi="仿宋" w:eastAsia="仿宋" w:cs="仿宋"/>
          <w:sz w:val="32"/>
        </w:rPr>
        <w:t>——2021年2月5日在韶关市浈江区第九届</w:t>
      </w:r>
    </w:p>
    <w:p>
      <w:pPr>
        <w:spacing w:line="600" w:lineRule="exact"/>
        <w:jc w:val="center"/>
        <w:rPr>
          <w:rFonts w:ascii="仿宋" w:hAnsi="仿宋" w:eastAsia="仿宋" w:cs="仿宋"/>
          <w:sz w:val="32"/>
        </w:rPr>
      </w:pPr>
      <w:r>
        <w:rPr>
          <w:rFonts w:hint="eastAsia" w:ascii="仿宋" w:hAnsi="仿宋" w:eastAsia="仿宋" w:cs="仿宋"/>
          <w:sz w:val="32"/>
        </w:rPr>
        <w:t>人民代表大会第六次会议上</w:t>
      </w:r>
    </w:p>
    <w:p>
      <w:pPr>
        <w:spacing w:line="600" w:lineRule="exact"/>
        <w:jc w:val="center"/>
        <w:rPr>
          <w:rFonts w:ascii="仿宋" w:hAnsi="仿宋" w:eastAsia="仿宋" w:cs="仿宋"/>
          <w:sz w:val="32"/>
        </w:rPr>
      </w:pPr>
      <w:r>
        <w:rPr>
          <w:rFonts w:hint="eastAsia" w:ascii="仿宋" w:hAnsi="仿宋" w:eastAsia="仿宋" w:cs="仿宋"/>
          <w:sz w:val="32"/>
        </w:rPr>
        <w:t>浈江区发展和改革局局长  曾大海</w:t>
      </w: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各位代表</w:t>
      </w:r>
      <w:r>
        <w:rPr>
          <w:rFonts w:ascii="仿宋" w:hAnsi="仿宋" w:eastAsia="仿宋" w:cs="仿宋"/>
          <w:kern w:val="0"/>
          <w:sz w:val="32"/>
          <w:szCs w:val="32"/>
        </w:rPr>
        <w:t>:</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受区人民政府委托，现将我区</w:t>
      </w:r>
      <w:r>
        <w:rPr>
          <w:rFonts w:ascii="仿宋" w:hAnsi="仿宋" w:eastAsia="仿宋" w:cs="仿宋"/>
          <w:kern w:val="0"/>
          <w:sz w:val="32"/>
          <w:szCs w:val="32"/>
        </w:rPr>
        <w:t xml:space="preserve"> 2020年国民经济和社会发展</w:t>
      </w:r>
      <w:r>
        <w:rPr>
          <w:rFonts w:hint="eastAsia" w:ascii="仿宋" w:hAnsi="仿宋" w:eastAsia="仿宋" w:cs="仿宋"/>
          <w:kern w:val="0"/>
          <w:sz w:val="32"/>
          <w:szCs w:val="32"/>
        </w:rPr>
        <w:t>计划执行情况与</w:t>
      </w:r>
      <w:r>
        <w:rPr>
          <w:rFonts w:ascii="仿宋" w:hAnsi="仿宋" w:eastAsia="仿宋" w:cs="仿宋"/>
          <w:kern w:val="0"/>
          <w:sz w:val="32"/>
          <w:szCs w:val="32"/>
        </w:rPr>
        <w:t xml:space="preserve"> 2021 年计划安排（草案）报告如下，请予</w:t>
      </w:r>
      <w:r>
        <w:rPr>
          <w:rFonts w:hint="eastAsia" w:ascii="仿宋" w:hAnsi="仿宋" w:eastAsia="仿宋" w:cs="仿宋"/>
          <w:kern w:val="0"/>
          <w:sz w:val="32"/>
          <w:szCs w:val="32"/>
        </w:rPr>
        <w:t>审议，并请各位政协委员和列席人员提出意见。</w:t>
      </w:r>
    </w:p>
    <w:p>
      <w:pPr>
        <w:widowControl/>
        <w:spacing w:line="60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一、</w:t>
      </w:r>
      <w:r>
        <w:rPr>
          <w:rFonts w:ascii="仿宋" w:hAnsi="仿宋" w:eastAsia="仿宋" w:cs="宋体"/>
          <w:b/>
          <w:kern w:val="0"/>
          <w:sz w:val="32"/>
          <w:szCs w:val="32"/>
        </w:rPr>
        <w:t>2020年国民经济和社会发展计划执行情况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2020年，在区委的坚强领导下，在区人大、区政协的监督和支持下，全区上下坚持以习近平新时代中国特色社会主义思想为指导，深入贯彻党的十九大和十九届二中、三中、四中、五中全会，省委十二届十一次、十二次全会，以及市委十二届十三次全会和区委九届十二次全会的精神，全面落实省委“一核一带一区”和市委争当北部生态发展区高质量排头兵的战略部署，克服错综复杂的外部环境和宏观经济下行的压力，统筹推进疫情防控和经济社会发展，锐意进取，经济和社会事业高质量发展取得了新成效。</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（一）经济指标呈低开高走态势</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受年初疫情影响，全区投资和消费受到一定程度的冲击，地区生产总值、固定资产投资、社会消费品零售总额等指标同比下降明显。随着疫情防控工作的稳步开展，复产复工有序推进，商贸物流、批发零售、文化旅游服务业步入正常运行轨道，大多数经济指标增长先后由负转正。2020年全区地区生产总值达到</w:t>
      </w:r>
      <w:r>
        <w:rPr>
          <w:rFonts w:ascii="仿宋" w:hAnsi="仿宋" w:eastAsia="仿宋" w:cs="仿宋"/>
          <w:kern w:val="0"/>
          <w:sz w:val="32"/>
          <w:szCs w:val="32"/>
        </w:rPr>
        <w:t>194.3</w:t>
      </w:r>
      <w:r>
        <w:rPr>
          <w:rFonts w:hint="eastAsia" w:ascii="仿宋" w:hAnsi="仿宋" w:eastAsia="仿宋" w:cs="仿宋"/>
          <w:kern w:val="0"/>
          <w:sz w:val="32"/>
          <w:szCs w:val="32"/>
        </w:rPr>
        <w:t>亿元，同比增长</w:t>
      </w:r>
      <w:r>
        <w:rPr>
          <w:rFonts w:ascii="仿宋" w:hAnsi="仿宋" w:eastAsia="仿宋" w:cs="仿宋"/>
          <w:kern w:val="0"/>
          <w:sz w:val="32"/>
          <w:szCs w:val="32"/>
        </w:rPr>
        <w:t>2.9%,固定资产投资</w:t>
      </w:r>
      <w:r>
        <w:rPr>
          <w:rFonts w:hint="eastAsia" w:ascii="仿宋" w:hAnsi="仿宋" w:eastAsia="仿宋" w:cs="仿宋"/>
          <w:kern w:val="0"/>
          <w:sz w:val="32"/>
          <w:szCs w:val="32"/>
        </w:rPr>
        <w:t>完成57</w:t>
      </w:r>
      <w:r>
        <w:rPr>
          <w:rFonts w:ascii="仿宋" w:hAnsi="仿宋" w:eastAsia="仿宋" w:cs="仿宋"/>
          <w:kern w:val="0"/>
          <w:sz w:val="32"/>
          <w:szCs w:val="32"/>
        </w:rPr>
        <w:t>.55</w:t>
      </w:r>
      <w:r>
        <w:rPr>
          <w:rFonts w:hint="eastAsia" w:ascii="仿宋" w:hAnsi="仿宋" w:eastAsia="仿宋" w:cs="仿宋"/>
          <w:kern w:val="0"/>
          <w:sz w:val="32"/>
          <w:szCs w:val="32"/>
        </w:rPr>
        <w:t>亿元，同比</w:t>
      </w:r>
      <w:r>
        <w:rPr>
          <w:rFonts w:ascii="仿宋" w:hAnsi="仿宋" w:eastAsia="仿宋" w:cs="仿宋"/>
          <w:kern w:val="0"/>
          <w:sz w:val="32"/>
          <w:szCs w:val="32"/>
        </w:rPr>
        <w:t>增长0.2%,工业增加</w:t>
      </w:r>
      <w:r>
        <w:rPr>
          <w:rFonts w:hint="eastAsia" w:ascii="仿宋" w:hAnsi="仿宋" w:eastAsia="仿宋" w:cs="仿宋"/>
          <w:kern w:val="0"/>
          <w:sz w:val="32"/>
          <w:szCs w:val="32"/>
        </w:rPr>
        <w:t>值完成32亿元，同比增长2.9</w:t>
      </w:r>
      <w:r>
        <w:rPr>
          <w:rFonts w:ascii="仿宋" w:hAnsi="仿宋" w:eastAsia="仿宋" w:cs="仿宋"/>
          <w:kern w:val="0"/>
          <w:sz w:val="32"/>
          <w:szCs w:val="32"/>
        </w:rPr>
        <w:t>%,社会消费品零售总额</w:t>
      </w:r>
      <w:r>
        <w:rPr>
          <w:rFonts w:hint="eastAsia" w:ascii="仿宋" w:hAnsi="仿宋" w:eastAsia="仿宋" w:cs="仿宋"/>
          <w:kern w:val="0"/>
          <w:sz w:val="32"/>
          <w:szCs w:val="32"/>
        </w:rPr>
        <w:t>完成</w:t>
      </w:r>
      <w:r>
        <w:rPr>
          <w:rFonts w:ascii="仿宋" w:hAnsi="仿宋" w:eastAsia="仿宋" w:cs="仿宋"/>
          <w:kern w:val="0"/>
          <w:sz w:val="32"/>
          <w:szCs w:val="32"/>
        </w:rPr>
        <w:t>115.53</w:t>
      </w:r>
      <w:r>
        <w:rPr>
          <w:rFonts w:hint="eastAsia" w:ascii="仿宋" w:hAnsi="仿宋" w:eastAsia="仿宋" w:cs="仿宋"/>
          <w:kern w:val="0"/>
          <w:sz w:val="32"/>
          <w:szCs w:val="32"/>
        </w:rPr>
        <w:t>亿元，同比下降6.6</w:t>
      </w:r>
      <w:r>
        <w:rPr>
          <w:rFonts w:ascii="仿宋" w:hAnsi="仿宋" w:eastAsia="仿宋" w:cs="仿宋"/>
          <w:kern w:val="0"/>
          <w:sz w:val="32"/>
          <w:szCs w:val="32"/>
        </w:rPr>
        <w:t>%,城乡居民人均可支</w:t>
      </w:r>
      <w:r>
        <w:rPr>
          <w:rFonts w:hint="eastAsia" w:ascii="仿宋" w:hAnsi="仿宋" w:eastAsia="仿宋" w:cs="仿宋"/>
          <w:kern w:val="0"/>
          <w:sz w:val="32"/>
          <w:szCs w:val="32"/>
        </w:rPr>
        <w:t>配收入增长</w:t>
      </w:r>
      <w:r>
        <w:rPr>
          <w:rFonts w:ascii="仿宋" w:hAnsi="仿宋" w:eastAsia="仿宋" w:cs="仿宋"/>
          <w:kern w:val="0"/>
          <w:sz w:val="32"/>
          <w:szCs w:val="32"/>
        </w:rPr>
        <w:t>6.0%,单位GDP能耗</w:t>
      </w:r>
      <w:r>
        <w:rPr>
          <w:rFonts w:hint="eastAsia" w:ascii="仿宋" w:hAnsi="仿宋" w:eastAsia="仿宋" w:cs="仿宋"/>
          <w:kern w:val="0"/>
          <w:sz w:val="32"/>
          <w:szCs w:val="32"/>
        </w:rPr>
        <w:t>预计</w:t>
      </w:r>
      <w:r>
        <w:rPr>
          <w:rFonts w:ascii="仿宋" w:hAnsi="仿宋" w:eastAsia="仿宋" w:cs="仿宋"/>
          <w:kern w:val="0"/>
          <w:sz w:val="32"/>
          <w:szCs w:val="32"/>
        </w:rPr>
        <w:t>下降2%</w:t>
      </w:r>
      <w:r>
        <w:rPr>
          <w:rFonts w:hint="eastAsia" w:ascii="仿宋" w:hAnsi="仿宋" w:eastAsia="仿宋" w:cs="仿宋"/>
          <w:kern w:val="0"/>
          <w:sz w:val="32"/>
          <w:szCs w:val="32"/>
        </w:rPr>
        <w:t>左右</w:t>
      </w:r>
      <w:r>
        <w:rPr>
          <w:rFonts w:ascii="仿宋" w:hAnsi="仿宋" w:eastAsia="仿宋" w:cs="仿宋"/>
          <w:kern w:val="0"/>
          <w:sz w:val="32"/>
          <w:szCs w:val="32"/>
        </w:rPr>
        <w:t>；地方财政</w:t>
      </w:r>
      <w:r>
        <w:rPr>
          <w:rFonts w:hint="eastAsia" w:ascii="仿宋" w:hAnsi="仿宋" w:eastAsia="仿宋" w:cs="仿宋"/>
          <w:kern w:val="0"/>
          <w:sz w:val="32"/>
          <w:szCs w:val="32"/>
        </w:rPr>
        <w:t>一般公共预算收入完成4.45</w:t>
      </w:r>
      <w:r>
        <w:rPr>
          <w:rFonts w:ascii="仿宋" w:hAnsi="仿宋" w:eastAsia="仿宋" w:cs="仿宋"/>
          <w:kern w:val="0"/>
          <w:sz w:val="32"/>
          <w:szCs w:val="32"/>
        </w:rPr>
        <w:t>亿元</w:t>
      </w:r>
      <w:r>
        <w:rPr>
          <w:rFonts w:hint="eastAsia" w:ascii="仿宋" w:hAnsi="仿宋" w:eastAsia="仿宋" w:cs="仿宋"/>
          <w:kern w:val="0"/>
          <w:sz w:val="32"/>
          <w:szCs w:val="32"/>
        </w:rPr>
        <w:t>，同比增长2.69%</w:t>
      </w:r>
      <w:r>
        <w:rPr>
          <w:rFonts w:ascii="仿宋" w:hAnsi="仿宋" w:eastAsia="仿宋" w:cs="仿宋"/>
          <w:kern w:val="0"/>
          <w:sz w:val="32"/>
          <w:szCs w:val="32"/>
        </w:rPr>
        <w:t>。</w:t>
      </w:r>
    </w:p>
    <w:p>
      <w:pPr>
        <w:rPr>
          <w:rFonts w:ascii="楷体" w:hAnsi="楷体" w:eastAsia="楷体" w:cs="仿宋"/>
          <w:kern w:val="0"/>
          <w:sz w:val="24"/>
          <w:szCs w:val="32"/>
        </w:rPr>
      </w:pPr>
      <w:r>
        <w:rPr>
          <w:rFonts w:hint="eastAsia" w:ascii="楷体" w:hAnsi="楷体" w:eastAsia="楷体" w:cs="仿宋"/>
          <w:kern w:val="0"/>
          <w:sz w:val="24"/>
          <w:szCs w:val="32"/>
        </w:rPr>
        <w:t>图1：2020年全区各项财经指标增加值</w:t>
      </w:r>
    </w:p>
    <w:tbl>
      <w:tblPr>
        <w:tblStyle w:val="6"/>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jc w:val="center"/>
              <w:rPr>
                <w:rFonts w:ascii="仿宋" w:hAnsi="仿宋" w:eastAsia="仿宋" w:cs="仿宋"/>
                <w:kern w:val="0"/>
                <w:sz w:val="32"/>
                <w:szCs w:val="32"/>
              </w:rPr>
            </w:pPr>
            <w: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pPr>
        <w:rPr>
          <w:rFonts w:ascii="楷体" w:hAnsi="楷体" w:eastAsia="楷体" w:cs="仿宋"/>
          <w:kern w:val="0"/>
          <w:szCs w:val="32"/>
        </w:rPr>
      </w:pPr>
      <w:r>
        <w:rPr>
          <w:rFonts w:hint="eastAsia" w:ascii="楷体" w:hAnsi="楷体" w:eastAsia="楷体" w:cs="仿宋"/>
          <w:kern w:val="0"/>
          <w:szCs w:val="32"/>
        </w:rPr>
        <w:t>数据来源：浈江区统计局</w:t>
      </w:r>
    </w:p>
    <w:p>
      <w:pPr>
        <w:ind w:firstLine="643" w:firstLineChars="200"/>
        <w:rPr>
          <w:rFonts w:ascii="仿宋" w:hAnsi="仿宋" w:eastAsia="仿宋" w:cs="仿宋"/>
          <w:b/>
          <w:kern w:val="0"/>
          <w:sz w:val="32"/>
          <w:szCs w:val="32"/>
        </w:rPr>
      </w:pPr>
    </w:p>
    <w:p>
      <w:pPr>
        <w:ind w:firstLine="643" w:firstLineChars="200"/>
        <w:rPr>
          <w:rFonts w:ascii="仿宋" w:hAnsi="仿宋" w:eastAsia="仿宋" w:cs="仿宋"/>
          <w:b/>
          <w:kern w:val="0"/>
          <w:sz w:val="32"/>
          <w:szCs w:val="32"/>
        </w:rPr>
      </w:pP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（二）三大产业协同拉动经济步入复苏轨道</w:t>
      </w:r>
    </w:p>
    <w:p>
      <w:pPr>
        <w:spacing w:line="600" w:lineRule="exact"/>
        <w:ind w:firstLine="643" w:firstLineChars="200"/>
        <w:rPr>
          <w:rFonts w:hint="eastAsia" w:ascii="仿宋_GB2312" w:eastAsia="仿宋_GB2312" w:cs="方正仿宋简体"/>
          <w:bCs/>
          <w:sz w:val="32"/>
          <w:szCs w:val="32"/>
        </w:rPr>
      </w:pPr>
      <w:r>
        <w:rPr>
          <w:rFonts w:hint="eastAsia" w:ascii="仿宋" w:hAnsi="仿宋" w:eastAsia="仿宋" w:cs="仿宋"/>
          <w:b/>
          <w:kern w:val="0"/>
          <w:sz w:val="32"/>
          <w:szCs w:val="32"/>
        </w:rPr>
        <w:t>农业生产平稳增长。</w:t>
      </w:r>
      <w:r>
        <w:rPr>
          <w:rFonts w:hint="eastAsia" w:ascii="仿宋" w:hAnsi="仿宋" w:eastAsia="仿宋" w:cs="仿宋"/>
          <w:kern w:val="0"/>
          <w:sz w:val="32"/>
          <w:szCs w:val="32"/>
        </w:rPr>
        <w:t>稳步推进农业现代化，坚持以农业供给侧结构性改革为主线，现代农业产供销体系逐渐完善，农业和二三产业融合发展趋势逐步显现，农业由增产向提质转变进程加快。新型农业经营主体逐渐壮大，全年全区产业化组织总数</w:t>
      </w:r>
      <w:r>
        <w:rPr>
          <w:rFonts w:ascii="仿宋" w:hAnsi="仿宋" w:eastAsia="仿宋" w:cs="仿宋"/>
          <w:kern w:val="0"/>
          <w:sz w:val="32"/>
          <w:szCs w:val="32"/>
        </w:rPr>
        <w:t>121</w:t>
      </w:r>
      <w:r>
        <w:rPr>
          <w:rFonts w:hint="eastAsia" w:ascii="仿宋" w:hAnsi="仿宋" w:eastAsia="仿宋" w:cs="仿宋"/>
          <w:kern w:val="0"/>
          <w:sz w:val="32"/>
          <w:szCs w:val="32"/>
        </w:rPr>
        <w:t>个（其中省级龙头企业</w:t>
      </w:r>
      <w:r>
        <w:rPr>
          <w:rFonts w:ascii="仿宋" w:hAnsi="仿宋" w:eastAsia="仿宋" w:cs="仿宋"/>
          <w:kern w:val="0"/>
          <w:sz w:val="32"/>
          <w:szCs w:val="32"/>
        </w:rPr>
        <w:t>7</w:t>
      </w:r>
      <w:r>
        <w:rPr>
          <w:rFonts w:hint="eastAsia" w:ascii="仿宋" w:hAnsi="仿宋" w:eastAsia="仿宋" w:cs="仿宋"/>
          <w:kern w:val="0"/>
          <w:sz w:val="32"/>
          <w:szCs w:val="32"/>
        </w:rPr>
        <w:t>家，市级龙头企业</w:t>
      </w:r>
      <w:r>
        <w:rPr>
          <w:rFonts w:ascii="仿宋" w:hAnsi="仿宋" w:eastAsia="仿宋" w:cs="仿宋"/>
          <w:kern w:val="0"/>
          <w:sz w:val="32"/>
          <w:szCs w:val="32"/>
        </w:rPr>
        <w:t>17</w:t>
      </w:r>
      <w:r>
        <w:rPr>
          <w:rFonts w:hint="eastAsia" w:ascii="仿宋" w:hAnsi="仿宋" w:eastAsia="仿宋" w:cs="仿宋"/>
          <w:kern w:val="0"/>
          <w:sz w:val="32"/>
          <w:szCs w:val="32"/>
        </w:rPr>
        <w:t>家）。现代农业产品体系逐渐丰富，“一镇一业”、“一村一品”项目建设成果颇丰，4镇（村）列入省级专业镇（村）行列</w:t>
      </w:r>
      <w:r>
        <w:rPr>
          <w:rFonts w:hint="eastAsia" w:ascii="仿宋" w:hAnsi="仿宋" w:eastAsia="仿宋" w:cs="方正仿宋简体"/>
          <w:bCs/>
          <w:sz w:val="32"/>
          <w:szCs w:val="32"/>
        </w:rPr>
        <w:t>。产业新业态</w:t>
      </w:r>
      <w:r>
        <w:rPr>
          <w:rFonts w:hint="eastAsia" w:ascii="仿宋" w:hAnsi="仿宋" w:eastAsia="仿宋" w:cs="仿宋"/>
          <w:kern w:val="0"/>
          <w:sz w:val="32"/>
          <w:szCs w:val="32"/>
        </w:rPr>
        <w:t>逐渐形成，与种植业、养殖业、屠宰加工业、冷链物流业配套发展的现代化生猪产业、线上线下双平台供销的兰花产业、与现代农业产业园建设相结合的油茶产业加速成型。第一产业全年实现增加值8.</w:t>
      </w:r>
      <w:r>
        <w:rPr>
          <w:rFonts w:ascii="仿宋" w:hAnsi="仿宋" w:eastAsia="仿宋" w:cs="仿宋"/>
          <w:kern w:val="0"/>
          <w:sz w:val="32"/>
          <w:szCs w:val="32"/>
        </w:rPr>
        <w:t>13</w:t>
      </w:r>
      <w:r>
        <w:rPr>
          <w:rFonts w:hint="eastAsia" w:ascii="仿宋" w:hAnsi="仿宋" w:eastAsia="仿宋" w:cs="仿宋"/>
          <w:kern w:val="0"/>
          <w:sz w:val="32"/>
          <w:szCs w:val="32"/>
        </w:rPr>
        <w:t>亿元，同比增长3%。</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工业生产逐月向好。</w:t>
      </w:r>
      <w:r>
        <w:rPr>
          <w:rFonts w:hint="eastAsia" w:ascii="仿宋" w:hAnsi="仿宋" w:eastAsia="仿宋" w:cs="仿宋"/>
          <w:kern w:val="0"/>
          <w:sz w:val="32"/>
          <w:szCs w:val="32"/>
        </w:rPr>
        <w:t>年初新冠疫情对全区工业生产造成较大冲击。我区积极做好区内企业疫情防控排查，有效促进全区工业企业在最短时间内复工复产。同时，坚持把工业发展作为经济工作的重中之重来抓，坚持打造北部新型工业特色园区，发挥工业园区集聚发展新引擎功能。从工业指标全年变动情况来看，全区2月规模以上工业增加值同比降幅下探到16.</w:t>
      </w:r>
      <w:r>
        <w:rPr>
          <w:rFonts w:ascii="仿宋" w:hAnsi="仿宋" w:eastAsia="仿宋" w:cs="仿宋"/>
          <w:kern w:val="0"/>
          <w:sz w:val="32"/>
          <w:szCs w:val="32"/>
        </w:rPr>
        <w:t>5</w:t>
      </w:r>
      <w:r>
        <w:rPr>
          <w:rFonts w:hint="eastAsia" w:ascii="仿宋" w:hAnsi="仿宋" w:eastAsia="仿宋" w:cs="仿宋"/>
          <w:kern w:val="0"/>
          <w:sz w:val="32"/>
          <w:szCs w:val="32"/>
        </w:rPr>
        <w:t>%，此后降幅逐月收窄，自9月开始同比增速由负转正，全年实现规上工业增加值27.</w:t>
      </w:r>
      <w:r>
        <w:rPr>
          <w:rFonts w:ascii="仿宋" w:hAnsi="仿宋" w:eastAsia="仿宋" w:cs="仿宋"/>
          <w:kern w:val="0"/>
          <w:sz w:val="32"/>
          <w:szCs w:val="32"/>
        </w:rPr>
        <w:t>9</w:t>
      </w:r>
      <w:r>
        <w:rPr>
          <w:rFonts w:hint="eastAsia" w:ascii="仿宋" w:hAnsi="仿宋" w:eastAsia="仿宋" w:cs="仿宋"/>
          <w:kern w:val="0"/>
          <w:sz w:val="32"/>
          <w:szCs w:val="32"/>
        </w:rPr>
        <w:t>亿元，同比增长1.8%。</w:t>
      </w:r>
    </w:p>
    <w:p>
      <w:pPr>
        <w:rPr>
          <w:rFonts w:ascii="楷体" w:hAnsi="楷体" w:eastAsia="楷体" w:cs="仿宋"/>
          <w:kern w:val="0"/>
          <w:sz w:val="24"/>
          <w:szCs w:val="32"/>
        </w:rPr>
      </w:pPr>
    </w:p>
    <w:p>
      <w:pPr>
        <w:rPr>
          <w:rFonts w:ascii="楷体" w:hAnsi="楷体" w:eastAsia="楷体" w:cs="仿宋"/>
          <w:kern w:val="0"/>
          <w:sz w:val="24"/>
          <w:szCs w:val="32"/>
        </w:rPr>
      </w:pPr>
    </w:p>
    <w:p>
      <w:pPr>
        <w:rPr>
          <w:rFonts w:ascii="楷体" w:hAnsi="楷体" w:eastAsia="楷体" w:cs="仿宋"/>
          <w:kern w:val="0"/>
          <w:sz w:val="24"/>
          <w:szCs w:val="32"/>
        </w:rPr>
      </w:pPr>
      <w:r>
        <w:rPr>
          <w:rFonts w:hint="eastAsia" w:ascii="楷体" w:hAnsi="楷体" w:eastAsia="楷体" w:cs="仿宋"/>
          <w:kern w:val="0"/>
          <w:sz w:val="24"/>
          <w:szCs w:val="32"/>
        </w:rPr>
        <w:t>图2：2020年全区规上工业增加值及增长率</w:t>
      </w:r>
    </w:p>
    <w:tbl>
      <w:tblPr>
        <w:tblStyle w:val="6"/>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Pr>
          <w:p>
            <w:pPr>
              <w:jc w:val="center"/>
              <w:rPr>
                <w:rFonts w:ascii="仿宋" w:hAnsi="仿宋" w:eastAsia="仿宋" w:cs="仿宋"/>
                <w:kern w:val="0"/>
                <w:sz w:val="32"/>
                <w:szCs w:val="32"/>
              </w:rPr>
            </w:pPr>
            <w:r>
              <w:drawing>
                <wp:inline distT="0" distB="0" distL="0" distR="0">
                  <wp:extent cx="5026660" cy="24669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pPr>
        <w:rPr>
          <w:rFonts w:ascii="楷体" w:hAnsi="楷体" w:eastAsia="楷体" w:cs="仿宋"/>
          <w:kern w:val="0"/>
          <w:szCs w:val="32"/>
        </w:rPr>
      </w:pPr>
      <w:r>
        <w:rPr>
          <w:rFonts w:hint="eastAsia" w:ascii="楷体" w:hAnsi="楷体" w:eastAsia="楷体" w:cs="仿宋"/>
          <w:kern w:val="0"/>
          <w:szCs w:val="32"/>
        </w:rPr>
        <w:t>数据来源：浈江区统计局、工信局</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服务业结构性增长趋势明显。</w:t>
      </w:r>
      <w:r>
        <w:rPr>
          <w:rFonts w:hint="eastAsia" w:ascii="仿宋" w:hAnsi="仿宋" w:eastAsia="仿宋" w:cs="仿宋"/>
          <w:kern w:val="0"/>
          <w:sz w:val="32"/>
          <w:szCs w:val="32"/>
        </w:rPr>
        <w:t>房地产销售服务业、金融业和非营利性服务业表现亮眼，同比增长幅度分别为3.4%、4.7%和8.7%，三大行业合计拉动我区第三产业增加值上升4个百分点，成为维持全区服务业正增长的主要支柱。我区传统的运输仓储邮政业和批发零售业占全区服务业比重较大，受疫情冲击也大，同比降幅明显，直接造成我区全年社会消费品零售总额同比下降6.6%，其中：运输仓储邮政业营业额下降17.5%，批发零售业销售额下降6.2%。</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（三）固定资产投资和重点项目建设稳步回升</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固定资产投资额小幅上涨。</w:t>
      </w:r>
      <w:r>
        <w:rPr>
          <w:rFonts w:ascii="仿宋" w:hAnsi="仿宋" w:eastAsia="仿宋" w:cs="仿宋"/>
          <w:kern w:val="0"/>
          <w:sz w:val="32"/>
          <w:szCs w:val="32"/>
        </w:rPr>
        <w:t>2020</w:t>
      </w:r>
      <w:r>
        <w:rPr>
          <w:rFonts w:hint="eastAsia" w:ascii="仿宋" w:hAnsi="仿宋" w:eastAsia="仿宋" w:cs="仿宋"/>
          <w:kern w:val="0"/>
          <w:sz w:val="32"/>
          <w:szCs w:val="32"/>
        </w:rPr>
        <w:t>年全区固定资产投资小幅上升</w:t>
      </w:r>
      <w:r>
        <w:rPr>
          <w:rFonts w:ascii="仿宋" w:hAnsi="仿宋" w:eastAsia="仿宋" w:cs="仿宋"/>
          <w:kern w:val="0"/>
          <w:sz w:val="32"/>
          <w:szCs w:val="32"/>
        </w:rPr>
        <w:t>0.2</w:t>
      </w:r>
      <w:r>
        <w:rPr>
          <w:rFonts w:hint="eastAsia" w:ascii="仿宋" w:hAnsi="仿宋" w:eastAsia="仿宋" w:cs="仿宋"/>
          <w:kern w:val="0"/>
          <w:sz w:val="32"/>
          <w:szCs w:val="32"/>
        </w:rPr>
        <w:t>%，涨幅比上半年增加</w:t>
      </w:r>
      <w:r>
        <w:rPr>
          <w:rFonts w:ascii="仿宋" w:hAnsi="仿宋" w:eastAsia="仿宋" w:cs="仿宋"/>
          <w:kern w:val="0"/>
          <w:sz w:val="32"/>
          <w:szCs w:val="32"/>
        </w:rPr>
        <w:t>16.3</w:t>
      </w:r>
      <w:r>
        <w:rPr>
          <w:rFonts w:hint="eastAsia" w:ascii="仿宋" w:hAnsi="仿宋" w:eastAsia="仿宋" w:cs="仿宋"/>
          <w:kern w:val="0"/>
          <w:sz w:val="32"/>
          <w:szCs w:val="32"/>
        </w:rPr>
        <w:t>个百分点。投资结构分化凸显。房地产投资完成</w:t>
      </w:r>
      <w:r>
        <w:rPr>
          <w:rFonts w:ascii="仿宋" w:hAnsi="仿宋" w:eastAsia="仿宋" w:cs="仿宋"/>
          <w:kern w:val="0"/>
          <w:sz w:val="32"/>
          <w:szCs w:val="32"/>
        </w:rPr>
        <w:t>16.16亿元，同比负增长24.5%；项目投资完成40.93亿元，同比增长13.6%。</w:t>
      </w:r>
      <w:r>
        <w:rPr>
          <w:rFonts w:hint="eastAsia" w:ascii="仿宋" w:hAnsi="仿宋" w:eastAsia="仿宋" w:cs="仿宋"/>
          <w:kern w:val="0"/>
          <w:sz w:val="32"/>
          <w:szCs w:val="32"/>
        </w:rPr>
        <w:t>项目投资对全部固定资产投资的贡献巨大，是投资企稳的主要动力。</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重点项目持续推进。</w:t>
      </w:r>
      <w:r>
        <w:rPr>
          <w:rFonts w:hint="eastAsia" w:ascii="仿宋" w:hAnsi="仿宋" w:eastAsia="仿宋" w:cs="仿宋"/>
          <w:bCs/>
          <w:kern w:val="0"/>
          <w:sz w:val="32"/>
          <w:szCs w:val="32"/>
        </w:rPr>
        <w:t>我区</w:t>
      </w:r>
      <w:r>
        <w:rPr>
          <w:rFonts w:hint="eastAsia" w:ascii="仿宋" w:hAnsi="仿宋" w:eastAsia="仿宋" w:cs="仿宋"/>
          <w:kern w:val="0"/>
          <w:sz w:val="32"/>
          <w:szCs w:val="32"/>
        </w:rPr>
        <w:t>把重点项目作为推动经济社会高质量发展的重要引擎，通过强化区领导挂点分工等措施，有效地克服了疫情的不利影响，取得了较好的建设成效。</w:t>
      </w:r>
      <w:r>
        <w:rPr>
          <w:rFonts w:ascii="仿宋" w:hAnsi="仿宋" w:eastAsia="仿宋" w:cs="仿宋"/>
          <w:kern w:val="0"/>
          <w:sz w:val="32"/>
          <w:szCs w:val="32"/>
        </w:rPr>
        <w:t>2020年</w:t>
      </w:r>
      <w:r>
        <w:rPr>
          <w:rFonts w:hint="eastAsia" w:ascii="仿宋" w:hAnsi="仿宋" w:eastAsia="仿宋" w:cs="仿宋"/>
          <w:kern w:val="0"/>
          <w:sz w:val="32"/>
          <w:szCs w:val="32"/>
        </w:rPr>
        <w:t>全区</w:t>
      </w:r>
      <w:r>
        <w:rPr>
          <w:rFonts w:ascii="仿宋" w:hAnsi="仿宋" w:eastAsia="仿宋" w:cs="仿宋"/>
          <w:kern w:val="0"/>
          <w:sz w:val="32"/>
          <w:szCs w:val="32"/>
        </w:rPr>
        <w:t>牵头负责的15个市重点项目</w:t>
      </w:r>
      <w:r>
        <w:rPr>
          <w:rFonts w:hint="eastAsia" w:ascii="仿宋" w:hAnsi="仿宋" w:eastAsia="仿宋" w:cs="仿宋"/>
          <w:kern w:val="0"/>
          <w:sz w:val="32"/>
          <w:szCs w:val="32"/>
        </w:rPr>
        <w:t>年内</w:t>
      </w:r>
      <w:r>
        <w:rPr>
          <w:rFonts w:ascii="仿宋" w:hAnsi="仿宋" w:eastAsia="仿宋" w:cs="仿宋"/>
          <w:kern w:val="0"/>
          <w:sz w:val="32"/>
          <w:szCs w:val="32"/>
        </w:rPr>
        <w:t>已全部开工，开工率达100%</w:t>
      </w:r>
      <w:r>
        <w:rPr>
          <w:rFonts w:hint="eastAsia" w:ascii="仿宋" w:hAnsi="仿宋" w:eastAsia="仿宋" w:cs="仿宋"/>
          <w:kern w:val="0"/>
          <w:sz w:val="32"/>
          <w:szCs w:val="32"/>
        </w:rPr>
        <w:t>；全年</w:t>
      </w:r>
      <w:r>
        <w:rPr>
          <w:rFonts w:ascii="仿宋" w:hAnsi="仿宋" w:eastAsia="仿宋" w:cs="仿宋"/>
          <w:kern w:val="0"/>
          <w:sz w:val="32"/>
          <w:szCs w:val="32"/>
        </w:rPr>
        <w:t>完成投资</w:t>
      </w:r>
      <w:r>
        <w:rPr>
          <w:rFonts w:hint="eastAsia" w:ascii="仿宋" w:hAnsi="仿宋" w:eastAsia="仿宋" w:cs="仿宋"/>
          <w:kern w:val="0"/>
          <w:sz w:val="32"/>
          <w:szCs w:val="32"/>
        </w:rPr>
        <w:t>13.4</w:t>
      </w:r>
      <w:r>
        <w:rPr>
          <w:rFonts w:ascii="仿宋" w:hAnsi="仿宋" w:eastAsia="仿宋" w:cs="仿宋"/>
          <w:kern w:val="0"/>
          <w:sz w:val="32"/>
          <w:szCs w:val="32"/>
        </w:rPr>
        <w:t>亿元，占年度计划投资的</w:t>
      </w:r>
      <w:r>
        <w:rPr>
          <w:rFonts w:hint="eastAsia" w:ascii="仿宋" w:hAnsi="仿宋" w:eastAsia="仿宋" w:cs="仿宋"/>
          <w:kern w:val="0"/>
          <w:sz w:val="32"/>
          <w:szCs w:val="32"/>
        </w:rPr>
        <w:t>91.3</w:t>
      </w:r>
      <w:r>
        <w:rPr>
          <w:rFonts w:ascii="仿宋" w:hAnsi="仿宋" w:eastAsia="仿宋" w:cs="仿宋"/>
          <w:kern w:val="0"/>
          <w:sz w:val="32"/>
          <w:szCs w:val="32"/>
        </w:rPr>
        <w:t>%。全区2020年安排</w:t>
      </w:r>
      <w:r>
        <w:rPr>
          <w:rFonts w:hint="eastAsia" w:ascii="仿宋" w:hAnsi="仿宋" w:eastAsia="仿宋" w:cs="仿宋"/>
          <w:kern w:val="0"/>
          <w:sz w:val="32"/>
          <w:szCs w:val="32"/>
        </w:rPr>
        <w:t>的</w:t>
      </w:r>
      <w:r>
        <w:rPr>
          <w:rFonts w:ascii="仿宋" w:hAnsi="仿宋" w:eastAsia="仿宋" w:cs="仿宋"/>
          <w:kern w:val="0"/>
          <w:sz w:val="32"/>
          <w:szCs w:val="32"/>
        </w:rPr>
        <w:t>55个区重点项目完成投资</w:t>
      </w:r>
      <w:r>
        <w:rPr>
          <w:rFonts w:hint="eastAsia" w:ascii="仿宋" w:hAnsi="仿宋" w:eastAsia="仿宋" w:cs="仿宋"/>
          <w:kern w:val="0"/>
          <w:sz w:val="32"/>
          <w:szCs w:val="32"/>
        </w:rPr>
        <w:t>32.54</w:t>
      </w:r>
      <w:r>
        <w:rPr>
          <w:rFonts w:ascii="仿宋" w:hAnsi="仿宋" w:eastAsia="仿宋" w:cs="仿宋"/>
          <w:kern w:val="0"/>
          <w:sz w:val="32"/>
          <w:szCs w:val="32"/>
        </w:rPr>
        <w:t>亿元，完成年度计划投资的</w:t>
      </w:r>
      <w:r>
        <w:rPr>
          <w:rFonts w:hint="eastAsia" w:ascii="仿宋" w:hAnsi="仿宋" w:eastAsia="仿宋" w:cs="仿宋"/>
          <w:kern w:val="0"/>
          <w:sz w:val="32"/>
          <w:szCs w:val="32"/>
        </w:rPr>
        <w:t>70.6</w:t>
      </w:r>
      <w:r>
        <w:rPr>
          <w:rFonts w:ascii="仿宋" w:hAnsi="仿宋" w:eastAsia="仿宋" w:cs="仿宋"/>
          <w:kern w:val="0"/>
          <w:sz w:val="32"/>
          <w:szCs w:val="32"/>
        </w:rPr>
        <w:t>%。其中已办理入库手续的有42个项目，区重点项目开工率为76.36%左右。</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项目谋划和资金争取成效显著。</w:t>
      </w:r>
      <w:r>
        <w:rPr>
          <w:rFonts w:hint="eastAsia" w:ascii="仿宋" w:hAnsi="仿宋" w:eastAsia="仿宋" w:cs="仿宋"/>
          <w:kern w:val="0"/>
          <w:sz w:val="32"/>
          <w:szCs w:val="32"/>
        </w:rPr>
        <w:t>积极谋划和申报地方政府专项债项目，成功争取</w:t>
      </w:r>
      <w:r>
        <w:rPr>
          <w:rFonts w:ascii="仿宋" w:hAnsi="仿宋" w:eastAsia="仿宋" w:cs="仿宋"/>
          <w:kern w:val="0"/>
          <w:sz w:val="32"/>
          <w:szCs w:val="32"/>
        </w:rPr>
        <w:t>2020</w:t>
      </w:r>
      <w:r>
        <w:rPr>
          <w:rFonts w:hint="eastAsia" w:ascii="仿宋" w:hAnsi="仿宋" w:eastAsia="仿宋" w:cs="仿宋"/>
          <w:kern w:val="0"/>
          <w:sz w:val="32"/>
          <w:szCs w:val="32"/>
        </w:rPr>
        <w:t>年专项债</w:t>
      </w:r>
      <w:r>
        <w:rPr>
          <w:rFonts w:ascii="仿宋" w:hAnsi="仿宋" w:eastAsia="仿宋" w:cs="仿宋"/>
          <w:kern w:val="0"/>
          <w:sz w:val="32"/>
          <w:szCs w:val="32"/>
        </w:rPr>
        <w:t>3.35</w:t>
      </w:r>
      <w:r>
        <w:rPr>
          <w:rFonts w:hint="eastAsia" w:ascii="仿宋" w:hAnsi="仿宋" w:eastAsia="仿宋" w:cs="仿宋"/>
          <w:kern w:val="0"/>
          <w:sz w:val="32"/>
          <w:szCs w:val="32"/>
        </w:rPr>
        <w:t>亿元，争取一般债项目金额</w:t>
      </w:r>
      <w:r>
        <w:rPr>
          <w:rFonts w:ascii="仿宋" w:hAnsi="仿宋" w:eastAsia="仿宋" w:cs="仿宋"/>
          <w:kern w:val="0"/>
          <w:sz w:val="32"/>
          <w:szCs w:val="32"/>
        </w:rPr>
        <w:t>1.71</w:t>
      </w:r>
      <w:r>
        <w:rPr>
          <w:rFonts w:hint="eastAsia" w:ascii="仿宋" w:hAnsi="仿宋" w:eastAsia="仿宋" w:cs="仿宋"/>
          <w:kern w:val="0"/>
          <w:sz w:val="32"/>
          <w:szCs w:val="32"/>
        </w:rPr>
        <w:t>亿元（含转贷资金），抗疫特别国债金额</w:t>
      </w:r>
      <w:r>
        <w:rPr>
          <w:rFonts w:ascii="仿宋" w:hAnsi="仿宋" w:eastAsia="仿宋" w:cs="仿宋"/>
          <w:kern w:val="0"/>
          <w:sz w:val="32"/>
          <w:szCs w:val="32"/>
        </w:rPr>
        <w:t>0.73</w:t>
      </w:r>
      <w:r>
        <w:rPr>
          <w:rFonts w:hint="eastAsia" w:ascii="仿宋" w:hAnsi="仿宋" w:eastAsia="仿宋" w:cs="仿宋"/>
          <w:kern w:val="0"/>
          <w:sz w:val="32"/>
          <w:szCs w:val="32"/>
        </w:rPr>
        <w:t>亿元，有力地推动了浈江区产业园基础设施、旧城区老旧小区改造、镇级污水处理厂及管网、全域自然村集中供水、基层医疗卫生补短板、教育文化等基础设施和民生项目建设。</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（四）园区建设和招商引资稳步推进</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浈江产业园区建设加快</w:t>
      </w:r>
      <w:r>
        <w:rPr>
          <w:rFonts w:hint="eastAsia" w:ascii="仿宋" w:hAnsi="仿宋" w:eastAsia="仿宋" w:cs="仿宋"/>
          <w:kern w:val="0"/>
          <w:sz w:val="32"/>
          <w:szCs w:val="32"/>
        </w:rPr>
        <w:t>。园区基础设施投入力度加大，园区聚集工业企业能力进一步增强。利用新增专项债资金推动园区基础设施建设，</w:t>
      </w:r>
      <w:r>
        <w:rPr>
          <w:rFonts w:ascii="仿宋" w:hAnsi="仿宋" w:eastAsia="仿宋" w:cs="仿宋"/>
          <w:kern w:val="0"/>
          <w:sz w:val="32"/>
          <w:szCs w:val="32"/>
        </w:rPr>
        <w:t>道路、排水</w:t>
      </w:r>
      <w:r>
        <w:rPr>
          <w:rFonts w:hint="eastAsia" w:ascii="仿宋" w:hAnsi="仿宋" w:eastAsia="仿宋" w:cs="仿宋"/>
          <w:kern w:val="0"/>
          <w:sz w:val="32"/>
          <w:szCs w:val="32"/>
        </w:rPr>
        <w:t>排污</w:t>
      </w:r>
      <w:r>
        <w:rPr>
          <w:rFonts w:ascii="仿宋" w:hAnsi="仿宋" w:eastAsia="仿宋" w:cs="仿宋"/>
          <w:kern w:val="0"/>
          <w:sz w:val="32"/>
          <w:szCs w:val="32"/>
        </w:rPr>
        <w:t>、道路边坡防护、</w:t>
      </w:r>
      <w:r>
        <w:rPr>
          <w:rFonts w:hint="eastAsia" w:ascii="仿宋" w:hAnsi="仿宋" w:eastAsia="仿宋" w:cs="仿宋"/>
          <w:kern w:val="0"/>
          <w:sz w:val="32"/>
          <w:szCs w:val="32"/>
        </w:rPr>
        <w:t>电力等工程于年内顺利完工；并启动了</w:t>
      </w:r>
      <w:r>
        <w:rPr>
          <w:rFonts w:ascii="仿宋" w:hAnsi="仿宋" w:eastAsia="仿宋" w:cs="仿宋"/>
          <w:kern w:val="0"/>
          <w:sz w:val="32"/>
          <w:szCs w:val="32"/>
        </w:rPr>
        <w:t>总投资2.1亿</w:t>
      </w:r>
      <w:r>
        <w:rPr>
          <w:rFonts w:hint="eastAsia" w:ascii="仿宋" w:hAnsi="仿宋" w:eastAsia="仿宋" w:cs="仿宋"/>
          <w:kern w:val="0"/>
          <w:sz w:val="32"/>
          <w:szCs w:val="32"/>
        </w:rPr>
        <w:t>元的寮浈共建浈江产业园标准厂房一期项目建设</w:t>
      </w:r>
      <w:r>
        <w:rPr>
          <w:rFonts w:ascii="仿宋" w:hAnsi="仿宋" w:eastAsia="仿宋" w:cs="仿宋"/>
          <w:kern w:val="0"/>
          <w:sz w:val="32"/>
          <w:szCs w:val="32"/>
        </w:rPr>
        <w:t>。</w:t>
      </w:r>
      <w:r>
        <w:rPr>
          <w:rFonts w:hint="eastAsia" w:ascii="仿宋" w:hAnsi="仿宋" w:eastAsia="仿宋" w:cs="仿宋"/>
          <w:b/>
          <w:kern w:val="0"/>
          <w:sz w:val="32"/>
          <w:szCs w:val="32"/>
        </w:rPr>
        <w:t>园区外重点企业保持正常运转</w:t>
      </w:r>
      <w:r>
        <w:rPr>
          <w:rFonts w:hint="eastAsia" w:ascii="仿宋" w:hAnsi="仿宋" w:eastAsia="仿宋" w:cs="仿宋"/>
          <w:kern w:val="0"/>
          <w:sz w:val="32"/>
          <w:szCs w:val="32"/>
        </w:rPr>
        <w:t>。做好韶关冶炼厂、韶铸集团等企业服务工作。积极开展企业倍增计划，加速扩大制造业规模，全年“倍增计划”试点企业总量达到</w:t>
      </w:r>
      <w:r>
        <w:rPr>
          <w:rFonts w:ascii="仿宋" w:hAnsi="仿宋" w:eastAsia="仿宋" w:cs="仿宋"/>
          <w:kern w:val="0"/>
          <w:sz w:val="32"/>
          <w:szCs w:val="32"/>
        </w:rPr>
        <w:t>12</w:t>
      </w:r>
      <w:r>
        <w:rPr>
          <w:rFonts w:hint="eastAsia" w:ascii="仿宋" w:hAnsi="仿宋" w:eastAsia="仿宋" w:cs="仿宋"/>
          <w:kern w:val="0"/>
          <w:sz w:val="32"/>
          <w:szCs w:val="32"/>
        </w:rPr>
        <w:t>家。同时，做好规上企业培育工作，成功培育了</w:t>
      </w:r>
      <w:r>
        <w:rPr>
          <w:rFonts w:ascii="仿宋" w:hAnsi="仿宋" w:eastAsia="仿宋" w:cs="仿宋"/>
          <w:kern w:val="0"/>
          <w:sz w:val="32"/>
          <w:szCs w:val="32"/>
        </w:rPr>
        <w:t>6</w:t>
      </w:r>
      <w:r>
        <w:rPr>
          <w:rFonts w:hint="eastAsia" w:ascii="仿宋" w:hAnsi="仿宋" w:eastAsia="仿宋" w:cs="仿宋"/>
          <w:kern w:val="0"/>
          <w:sz w:val="32"/>
          <w:szCs w:val="32"/>
        </w:rPr>
        <w:t>家规上工业企业。</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招商引资有新进展。</w:t>
      </w:r>
      <w:r>
        <w:rPr>
          <w:rFonts w:hint="eastAsia" w:ascii="仿宋" w:hAnsi="仿宋" w:eastAsia="仿宋" w:cs="仿宋"/>
          <w:kern w:val="0"/>
          <w:sz w:val="32"/>
          <w:szCs w:val="32"/>
        </w:rPr>
        <w:t>充分发挥寮浈指挥部专业招商团队作用，不断加大招商引资力度。成功举办了“韶关市重点项目开工、竣工（浈江区分会场）活动”，进行了项目集中签约，与国粤电力、海大集团等企业签约引进9个新建项目。</w:t>
      </w:r>
      <w:r>
        <w:rPr>
          <w:rFonts w:ascii="仿宋" w:hAnsi="仿宋" w:eastAsia="仿宋" w:cs="仿宋"/>
          <w:kern w:val="0"/>
          <w:sz w:val="32"/>
          <w:szCs w:val="32"/>
        </w:rPr>
        <w:t>2020</w:t>
      </w:r>
      <w:r>
        <w:rPr>
          <w:rFonts w:hint="eastAsia" w:ascii="仿宋" w:hAnsi="仿宋" w:eastAsia="仿宋" w:cs="仿宋"/>
          <w:kern w:val="0"/>
          <w:sz w:val="32"/>
          <w:szCs w:val="32"/>
        </w:rPr>
        <w:t>年，全区招商项目总投资额达</w:t>
      </w:r>
      <w:r>
        <w:rPr>
          <w:rFonts w:ascii="仿宋" w:hAnsi="仿宋" w:eastAsia="仿宋" w:cs="仿宋"/>
          <w:kern w:val="0"/>
          <w:sz w:val="32"/>
          <w:szCs w:val="32"/>
        </w:rPr>
        <w:t>13.1</w:t>
      </w:r>
      <w:r>
        <w:rPr>
          <w:rFonts w:hint="eastAsia" w:ascii="仿宋" w:hAnsi="仿宋" w:eastAsia="仿宋" w:cs="仿宋"/>
          <w:kern w:val="0"/>
          <w:sz w:val="32"/>
          <w:szCs w:val="32"/>
        </w:rPr>
        <w:t>亿元。</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（五）生态环境不断好转，绿色发展成果明显</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2020年，完成碳汇林工程造林760亩、省级森林碳汇林抚育2520亩。森林防火工作实现森林火情零火灾。开展了野生动物交易线索调查摸底和集中清查行动，全面杜绝了非法野生动物使用行为</w:t>
      </w:r>
      <w:r>
        <w:rPr>
          <w:rFonts w:ascii="仿宋" w:hAnsi="仿宋" w:eastAsia="仿宋" w:cs="仿宋"/>
          <w:kern w:val="0"/>
          <w:sz w:val="32"/>
          <w:szCs w:val="32"/>
        </w:rPr>
        <w:t>。</w:t>
      </w:r>
      <w:r>
        <w:rPr>
          <w:rFonts w:hint="eastAsia" w:ascii="仿宋" w:hAnsi="仿宋" w:eastAsia="仿宋" w:cs="仿宋"/>
          <w:kern w:val="0"/>
          <w:sz w:val="32"/>
          <w:szCs w:val="32"/>
        </w:rPr>
        <w:t>防治污染</w:t>
      </w:r>
      <w:r>
        <w:rPr>
          <w:rFonts w:ascii="仿宋" w:hAnsi="仿宋" w:eastAsia="仿宋" w:cs="仿宋"/>
          <w:kern w:val="0"/>
          <w:sz w:val="32"/>
          <w:szCs w:val="32"/>
        </w:rPr>
        <w:t>“三大”战役</w:t>
      </w:r>
      <w:r>
        <w:rPr>
          <w:rFonts w:hint="eastAsia" w:ascii="仿宋" w:hAnsi="仿宋" w:eastAsia="仿宋" w:cs="仿宋"/>
          <w:kern w:val="0"/>
          <w:sz w:val="32"/>
          <w:szCs w:val="32"/>
        </w:rPr>
        <w:t>战果显著</w:t>
      </w:r>
      <w:r>
        <w:rPr>
          <w:rFonts w:ascii="仿宋" w:hAnsi="仿宋" w:eastAsia="仿宋" w:cs="仿宋"/>
          <w:kern w:val="0"/>
          <w:sz w:val="32"/>
          <w:szCs w:val="32"/>
        </w:rPr>
        <w:t>。</w:t>
      </w:r>
      <w:r>
        <w:rPr>
          <w:rFonts w:hint="eastAsia" w:ascii="仿宋" w:hAnsi="仿宋" w:eastAsia="仿宋" w:cs="仿宋"/>
          <w:kern w:val="0"/>
          <w:sz w:val="32"/>
          <w:szCs w:val="32"/>
        </w:rPr>
        <w:t>持续打好打赢蓝天保卫战。落实重点行业重点企业vocs排放污染治理，完成了燃煤锅炉淘汰任务，大力开展</w:t>
      </w:r>
      <w:r>
        <w:rPr>
          <w:rFonts w:hint="eastAsia" w:ascii="仿宋" w:hAnsi="仿宋" w:eastAsia="仿宋" w:cs="仿宋"/>
          <w:bCs/>
          <w:kern w:val="0"/>
          <w:sz w:val="32"/>
          <w:szCs w:val="32"/>
        </w:rPr>
        <w:t>露天焚烧管控，加强污染</w:t>
      </w:r>
      <w:r>
        <w:rPr>
          <w:rFonts w:hint="eastAsia" w:ascii="仿宋" w:hAnsi="仿宋" w:eastAsia="仿宋" w:cs="仿宋"/>
          <w:kern w:val="0"/>
          <w:sz w:val="32"/>
          <w:szCs w:val="32"/>
        </w:rPr>
        <w:t>天气应对巡查，确保了重污染天气情况下我区AQI指数达标</w:t>
      </w:r>
      <w:r>
        <w:rPr>
          <w:rFonts w:ascii="仿宋" w:hAnsi="仿宋" w:eastAsia="仿宋" w:cs="仿宋"/>
          <w:kern w:val="0"/>
          <w:sz w:val="32"/>
          <w:szCs w:val="32"/>
        </w:rPr>
        <w:t>。</w:t>
      </w:r>
      <w:r>
        <w:rPr>
          <w:rFonts w:hint="eastAsia" w:ascii="仿宋" w:hAnsi="仿宋" w:eastAsia="仿宋" w:cs="仿宋"/>
          <w:kern w:val="0"/>
          <w:sz w:val="32"/>
          <w:szCs w:val="32"/>
        </w:rPr>
        <w:t>持续打好碧水攻坚战。建立了入河排污口台账，完善了入河排污口清单和入河排污口数据库。市区冷水坑、大陂河水环境治理持续推进，有效防控了城市黑臭水体。严格落实“河长制”，较好地保护了辖区水体环境。继续打好净土防御战。以土壤污染综合防治先行区建设为契机，积极推进渣料堆场情况卫星遥感排查、危险废物专项检查等工作，有效地保障了土壤安全达标</w:t>
      </w:r>
      <w:r>
        <w:rPr>
          <w:rFonts w:ascii="仿宋" w:hAnsi="仿宋" w:eastAsia="仿宋" w:cs="仿宋"/>
          <w:kern w:val="0"/>
          <w:sz w:val="32"/>
          <w:szCs w:val="32"/>
        </w:rPr>
        <w:t>。</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（六）坚持以人民为中心，群众获得感进一步增强</w:t>
      </w:r>
    </w:p>
    <w:p>
      <w:pPr>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保就业工作扎实有效。</w:t>
      </w:r>
      <w:r>
        <w:rPr>
          <w:rFonts w:hint="eastAsia" w:ascii="仿宋" w:hAnsi="仿宋" w:eastAsia="仿宋" w:cs="仿宋"/>
          <w:bCs/>
          <w:kern w:val="0"/>
          <w:sz w:val="32"/>
          <w:szCs w:val="32"/>
        </w:rPr>
        <w:t>完成城镇新增就业</w:t>
      </w:r>
      <w:r>
        <w:rPr>
          <w:rFonts w:ascii="仿宋" w:hAnsi="仿宋" w:eastAsia="仿宋" w:cs="仿宋"/>
          <w:bCs/>
          <w:kern w:val="0"/>
          <w:sz w:val="32"/>
          <w:szCs w:val="32"/>
        </w:rPr>
        <w:t>3309</w:t>
      </w:r>
      <w:r>
        <w:rPr>
          <w:rFonts w:hint="eastAsia" w:ascii="仿宋" w:hAnsi="仿宋" w:eastAsia="仿宋" w:cs="仿宋"/>
          <w:bCs/>
          <w:kern w:val="0"/>
          <w:sz w:val="32"/>
          <w:szCs w:val="32"/>
        </w:rPr>
        <w:t>人，为年度目标任务的</w:t>
      </w:r>
      <w:r>
        <w:rPr>
          <w:rFonts w:ascii="仿宋" w:hAnsi="仿宋" w:eastAsia="仿宋" w:cs="仿宋"/>
          <w:bCs/>
          <w:kern w:val="0"/>
          <w:sz w:val="32"/>
          <w:szCs w:val="32"/>
        </w:rPr>
        <w:t>100.27</w:t>
      </w:r>
      <w:r>
        <w:rPr>
          <w:rFonts w:hint="eastAsia" w:ascii="仿宋" w:hAnsi="仿宋" w:eastAsia="仿宋" w:cs="仿宋"/>
          <w:bCs/>
          <w:kern w:val="0"/>
          <w:sz w:val="32"/>
          <w:szCs w:val="32"/>
        </w:rPr>
        <w:t>%；城镇失业人员再就业人数</w:t>
      </w:r>
      <w:r>
        <w:rPr>
          <w:rFonts w:ascii="仿宋" w:hAnsi="仿宋" w:eastAsia="仿宋" w:cs="仿宋"/>
          <w:bCs/>
          <w:kern w:val="0"/>
          <w:sz w:val="32"/>
          <w:szCs w:val="32"/>
        </w:rPr>
        <w:t>2911</w:t>
      </w:r>
      <w:r>
        <w:rPr>
          <w:rFonts w:hint="eastAsia" w:ascii="仿宋" w:hAnsi="仿宋" w:eastAsia="仿宋" w:cs="仿宋"/>
          <w:bCs/>
          <w:kern w:val="0"/>
          <w:sz w:val="32"/>
          <w:szCs w:val="32"/>
        </w:rPr>
        <w:t>人，为目标任务的</w:t>
      </w:r>
      <w:r>
        <w:rPr>
          <w:rFonts w:ascii="仿宋" w:hAnsi="仿宋" w:eastAsia="仿宋" w:cs="仿宋"/>
          <w:bCs/>
          <w:kern w:val="0"/>
          <w:sz w:val="32"/>
          <w:szCs w:val="32"/>
        </w:rPr>
        <w:t>100.37</w:t>
      </w:r>
      <w:r>
        <w:rPr>
          <w:rFonts w:hint="eastAsia" w:ascii="仿宋" w:hAnsi="仿宋" w:eastAsia="仿宋" w:cs="仿宋"/>
          <w:bCs/>
          <w:kern w:val="0"/>
          <w:sz w:val="32"/>
          <w:szCs w:val="32"/>
        </w:rPr>
        <w:t>%；其中就业困难人员实现再就业</w:t>
      </w:r>
      <w:r>
        <w:rPr>
          <w:rFonts w:ascii="仿宋" w:hAnsi="仿宋" w:eastAsia="仿宋" w:cs="仿宋"/>
          <w:bCs/>
          <w:kern w:val="0"/>
          <w:sz w:val="32"/>
          <w:szCs w:val="32"/>
        </w:rPr>
        <w:t>354</w:t>
      </w:r>
      <w:r>
        <w:rPr>
          <w:rFonts w:hint="eastAsia" w:ascii="仿宋" w:hAnsi="仿宋" w:eastAsia="仿宋" w:cs="仿宋"/>
          <w:bCs/>
          <w:kern w:val="0"/>
          <w:sz w:val="32"/>
          <w:szCs w:val="32"/>
        </w:rPr>
        <w:t>人，为目标任务的</w:t>
      </w:r>
      <w:r>
        <w:rPr>
          <w:rFonts w:ascii="仿宋" w:hAnsi="仿宋" w:eastAsia="仿宋" w:cs="仿宋"/>
          <w:bCs/>
          <w:kern w:val="0"/>
          <w:sz w:val="32"/>
          <w:szCs w:val="32"/>
        </w:rPr>
        <w:t>101.14</w:t>
      </w:r>
      <w:r>
        <w:rPr>
          <w:rFonts w:hint="eastAsia" w:ascii="仿宋" w:hAnsi="仿宋" w:eastAsia="仿宋" w:cs="仿宋"/>
          <w:bCs/>
          <w:kern w:val="0"/>
          <w:sz w:val="32"/>
          <w:szCs w:val="32"/>
        </w:rPr>
        <w:t>%；促进创业人数</w:t>
      </w:r>
      <w:r>
        <w:rPr>
          <w:rFonts w:ascii="仿宋" w:hAnsi="仿宋" w:eastAsia="仿宋" w:cs="仿宋"/>
          <w:bCs/>
          <w:kern w:val="0"/>
          <w:sz w:val="32"/>
          <w:szCs w:val="32"/>
        </w:rPr>
        <w:t>190</w:t>
      </w:r>
      <w:r>
        <w:rPr>
          <w:rFonts w:hint="eastAsia" w:ascii="仿宋" w:hAnsi="仿宋" w:eastAsia="仿宋" w:cs="仿宋"/>
          <w:bCs/>
          <w:kern w:val="0"/>
          <w:sz w:val="32"/>
          <w:szCs w:val="32"/>
        </w:rPr>
        <w:t>人，为目标任务的</w:t>
      </w:r>
      <w:r>
        <w:rPr>
          <w:rFonts w:ascii="仿宋" w:hAnsi="仿宋" w:eastAsia="仿宋" w:cs="仿宋"/>
          <w:bCs/>
          <w:kern w:val="0"/>
          <w:sz w:val="32"/>
          <w:szCs w:val="32"/>
        </w:rPr>
        <w:t>100</w:t>
      </w:r>
      <w:r>
        <w:rPr>
          <w:rFonts w:hint="eastAsia" w:ascii="仿宋" w:hAnsi="仿宋" w:eastAsia="仿宋" w:cs="仿宋"/>
          <w:bCs/>
          <w:kern w:val="0"/>
          <w:sz w:val="32"/>
          <w:szCs w:val="32"/>
        </w:rPr>
        <w:t>%；城镇登记失业率为</w:t>
      </w:r>
      <w:r>
        <w:rPr>
          <w:rFonts w:ascii="仿宋" w:hAnsi="仿宋" w:eastAsia="仿宋" w:cs="仿宋"/>
          <w:bCs/>
          <w:kern w:val="0"/>
          <w:sz w:val="32"/>
          <w:szCs w:val="32"/>
        </w:rPr>
        <w:t>2.43</w:t>
      </w:r>
      <w:r>
        <w:rPr>
          <w:rFonts w:hint="eastAsia" w:ascii="仿宋" w:hAnsi="仿宋" w:eastAsia="仿宋" w:cs="仿宋"/>
          <w:bCs/>
          <w:kern w:val="0"/>
          <w:sz w:val="32"/>
          <w:szCs w:val="32"/>
        </w:rPr>
        <w:t>%，达到市要求的控制在3.5%之内。</w:t>
      </w:r>
    </w:p>
    <w:p>
      <w:pPr>
        <w:ind w:firstLine="643" w:firstLineChars="200"/>
        <w:rPr>
          <w:rFonts w:ascii="仿宋" w:hAnsi="仿宋" w:eastAsia="仿宋" w:cs="仿宋"/>
          <w:bCs/>
          <w:kern w:val="0"/>
          <w:sz w:val="32"/>
          <w:szCs w:val="32"/>
        </w:rPr>
      </w:pPr>
      <w:r>
        <w:rPr>
          <w:rFonts w:hint="eastAsia" w:ascii="仿宋" w:hAnsi="仿宋" w:eastAsia="仿宋" w:cs="仿宋"/>
          <w:b/>
          <w:bCs/>
          <w:kern w:val="0"/>
          <w:sz w:val="32"/>
          <w:szCs w:val="32"/>
        </w:rPr>
        <w:t>疫情防控取得阶段性成果。</w:t>
      </w:r>
      <w:r>
        <w:rPr>
          <w:rFonts w:hint="eastAsia" w:ascii="仿宋" w:hAnsi="仿宋" w:eastAsia="仿宋" w:cs="仿宋"/>
          <w:bCs/>
          <w:kern w:val="0"/>
          <w:sz w:val="32"/>
          <w:szCs w:val="32"/>
        </w:rPr>
        <w:t>全力做好疫情防控工作，织密扎牢疫情防控网络，累计排查人员约</w:t>
      </w:r>
      <w:r>
        <w:rPr>
          <w:rFonts w:ascii="仿宋" w:hAnsi="仿宋" w:eastAsia="仿宋" w:cs="仿宋"/>
          <w:bCs/>
          <w:kern w:val="0"/>
          <w:sz w:val="32"/>
          <w:szCs w:val="32"/>
        </w:rPr>
        <w:t>80</w:t>
      </w:r>
      <w:r>
        <w:rPr>
          <w:rFonts w:hint="eastAsia" w:ascii="仿宋" w:hAnsi="仿宋" w:eastAsia="仿宋" w:cs="仿宋"/>
          <w:bCs/>
          <w:kern w:val="0"/>
          <w:sz w:val="32"/>
          <w:szCs w:val="32"/>
        </w:rPr>
        <w:t>万人，累计重点人群核酸检测超过</w:t>
      </w:r>
      <w:r>
        <w:rPr>
          <w:rFonts w:ascii="仿宋" w:hAnsi="仿宋" w:eastAsia="仿宋" w:cs="仿宋"/>
          <w:bCs/>
          <w:kern w:val="0"/>
          <w:sz w:val="32"/>
          <w:szCs w:val="32"/>
        </w:rPr>
        <w:t>6000</w:t>
      </w:r>
      <w:r>
        <w:rPr>
          <w:rFonts w:hint="eastAsia" w:ascii="仿宋" w:hAnsi="仿宋" w:eastAsia="仿宋" w:cs="仿宋"/>
          <w:bCs/>
          <w:kern w:val="0"/>
          <w:sz w:val="32"/>
          <w:szCs w:val="32"/>
        </w:rPr>
        <w:t>人份，取得了防控疫情的阶段性胜利。卫生设施建设扎实推进，投入近</w:t>
      </w:r>
      <w:r>
        <w:rPr>
          <w:rFonts w:ascii="仿宋" w:hAnsi="仿宋" w:eastAsia="仿宋" w:cs="仿宋"/>
          <w:bCs/>
          <w:kern w:val="0"/>
          <w:sz w:val="32"/>
          <w:szCs w:val="32"/>
        </w:rPr>
        <w:t>700</w:t>
      </w:r>
      <w:r>
        <w:rPr>
          <w:rFonts w:hint="eastAsia" w:ascii="仿宋" w:hAnsi="仿宋" w:eastAsia="仿宋" w:cs="仿宋"/>
          <w:bCs/>
          <w:kern w:val="0"/>
          <w:sz w:val="32"/>
          <w:szCs w:val="32"/>
        </w:rPr>
        <w:t>万元开展</w:t>
      </w:r>
      <w:r>
        <w:rPr>
          <w:rFonts w:ascii="仿宋" w:hAnsi="仿宋" w:eastAsia="仿宋" w:cs="仿宋"/>
          <w:bCs/>
          <w:kern w:val="0"/>
          <w:sz w:val="32"/>
          <w:szCs w:val="32"/>
        </w:rPr>
        <w:t>6</w:t>
      </w:r>
      <w:r>
        <w:rPr>
          <w:rFonts w:hint="eastAsia" w:ascii="仿宋" w:hAnsi="仿宋" w:eastAsia="仿宋" w:cs="仿宋"/>
          <w:bCs/>
          <w:kern w:val="0"/>
          <w:sz w:val="32"/>
          <w:szCs w:val="32"/>
        </w:rPr>
        <w:t>家基层医疗单位能力提升工程建设，投入近</w:t>
      </w:r>
      <w:r>
        <w:rPr>
          <w:rFonts w:ascii="仿宋" w:hAnsi="仿宋" w:eastAsia="仿宋" w:cs="仿宋"/>
          <w:bCs/>
          <w:kern w:val="0"/>
          <w:sz w:val="32"/>
          <w:szCs w:val="32"/>
        </w:rPr>
        <w:t>600</w:t>
      </w:r>
      <w:r>
        <w:rPr>
          <w:rFonts w:hint="eastAsia" w:ascii="仿宋" w:hAnsi="仿宋" w:eastAsia="仿宋" w:cs="仿宋"/>
          <w:bCs/>
          <w:kern w:val="0"/>
          <w:sz w:val="32"/>
          <w:szCs w:val="32"/>
        </w:rPr>
        <w:t>万推进</w:t>
      </w:r>
      <w:r>
        <w:rPr>
          <w:rFonts w:ascii="仿宋" w:hAnsi="仿宋" w:eastAsia="仿宋" w:cs="仿宋"/>
          <w:bCs/>
          <w:kern w:val="0"/>
          <w:sz w:val="32"/>
          <w:szCs w:val="32"/>
        </w:rPr>
        <w:t>3</w:t>
      </w:r>
      <w:r>
        <w:rPr>
          <w:rFonts w:hint="eastAsia" w:ascii="仿宋" w:hAnsi="仿宋" w:eastAsia="仿宋" w:cs="仿宋"/>
          <w:bCs/>
          <w:kern w:val="0"/>
          <w:sz w:val="32"/>
          <w:szCs w:val="32"/>
        </w:rPr>
        <w:t>家医疗机构修缮改造工程，投入约</w:t>
      </w:r>
      <w:r>
        <w:rPr>
          <w:rFonts w:ascii="仿宋" w:hAnsi="仿宋" w:eastAsia="仿宋" w:cs="仿宋"/>
          <w:bCs/>
          <w:kern w:val="0"/>
          <w:sz w:val="32"/>
          <w:szCs w:val="32"/>
        </w:rPr>
        <w:t>650</w:t>
      </w:r>
      <w:r>
        <w:rPr>
          <w:rFonts w:hint="eastAsia" w:ascii="仿宋" w:hAnsi="仿宋" w:eastAsia="仿宋" w:cs="仿宋"/>
          <w:bCs/>
          <w:kern w:val="0"/>
          <w:sz w:val="32"/>
          <w:szCs w:val="32"/>
        </w:rPr>
        <w:t>万元为基层卫生机构购置了一批医疗设备和救护车</w:t>
      </w:r>
      <w:r>
        <w:rPr>
          <w:rFonts w:ascii="仿宋" w:hAnsi="仿宋" w:eastAsia="仿宋" w:cs="仿宋"/>
          <w:bCs/>
          <w:kern w:val="0"/>
          <w:sz w:val="32"/>
          <w:szCs w:val="32"/>
        </w:rPr>
        <w:t>5</w:t>
      </w:r>
      <w:r>
        <w:rPr>
          <w:rFonts w:hint="eastAsia" w:ascii="仿宋" w:hAnsi="仿宋" w:eastAsia="仿宋" w:cs="仿宋"/>
          <w:bCs/>
          <w:kern w:val="0"/>
          <w:sz w:val="32"/>
          <w:szCs w:val="32"/>
        </w:rPr>
        <w:t>台，投入约</w:t>
      </w:r>
      <w:r>
        <w:rPr>
          <w:rFonts w:ascii="仿宋" w:hAnsi="仿宋" w:eastAsia="仿宋" w:cs="仿宋"/>
          <w:bCs/>
          <w:kern w:val="0"/>
          <w:sz w:val="32"/>
          <w:szCs w:val="32"/>
        </w:rPr>
        <w:t>50</w:t>
      </w:r>
      <w:r>
        <w:rPr>
          <w:rFonts w:hint="eastAsia" w:ascii="仿宋" w:hAnsi="仿宋" w:eastAsia="仿宋" w:cs="仿宋"/>
          <w:bCs/>
          <w:kern w:val="0"/>
          <w:sz w:val="32"/>
          <w:szCs w:val="32"/>
        </w:rPr>
        <w:t>万元开展</w:t>
      </w:r>
      <w:r>
        <w:rPr>
          <w:rFonts w:ascii="仿宋" w:hAnsi="仿宋" w:eastAsia="仿宋" w:cs="仿宋"/>
          <w:bCs/>
          <w:kern w:val="0"/>
          <w:sz w:val="32"/>
          <w:szCs w:val="32"/>
        </w:rPr>
        <w:t>8</w:t>
      </w:r>
      <w:r>
        <w:rPr>
          <w:rFonts w:hint="eastAsia" w:ascii="仿宋" w:hAnsi="仿宋" w:eastAsia="仿宋" w:cs="仿宋"/>
          <w:bCs/>
          <w:kern w:val="0"/>
          <w:sz w:val="32"/>
          <w:szCs w:val="32"/>
        </w:rPr>
        <w:t>家预防接种门诊标准化建设项目，极大地提高了全区卫生公共服务能力。</w:t>
      </w:r>
    </w:p>
    <w:p>
      <w:pPr>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教育工作成果丰硕。</w:t>
      </w:r>
      <w:r>
        <w:rPr>
          <w:rFonts w:hint="eastAsia" w:ascii="仿宋" w:hAnsi="仿宋" w:eastAsia="仿宋" w:cs="仿宋"/>
          <w:bCs/>
          <w:kern w:val="0"/>
          <w:sz w:val="32"/>
          <w:szCs w:val="32"/>
        </w:rPr>
        <w:t>做到了疫情期间停课不停学，</w:t>
      </w:r>
      <w:r>
        <w:rPr>
          <w:rFonts w:hint="eastAsia" w:ascii="仿宋" w:hAnsi="仿宋" w:eastAsia="仿宋" w:cs="仿宋"/>
          <w:kern w:val="0"/>
          <w:sz w:val="32"/>
          <w:szCs w:val="32"/>
        </w:rPr>
        <w:t>全区</w:t>
      </w:r>
      <w:r>
        <w:rPr>
          <w:rFonts w:ascii="仿宋" w:hAnsi="仿宋" w:eastAsia="仿宋" w:cs="仿宋"/>
          <w:kern w:val="0"/>
          <w:sz w:val="32"/>
          <w:szCs w:val="32"/>
        </w:rPr>
        <w:t>36000</w:t>
      </w:r>
      <w:r>
        <w:rPr>
          <w:rFonts w:hint="eastAsia" w:ascii="仿宋" w:hAnsi="仿宋" w:eastAsia="仿宋" w:cs="仿宋"/>
          <w:kern w:val="0"/>
          <w:sz w:val="32"/>
          <w:szCs w:val="32"/>
        </w:rPr>
        <w:t>多名中小学生全部参加了线上教育，实现了</w:t>
      </w:r>
      <w:r>
        <w:rPr>
          <w:rFonts w:ascii="仿宋" w:hAnsi="仿宋" w:eastAsia="仿宋" w:cs="仿宋"/>
          <w:kern w:val="0"/>
          <w:sz w:val="32"/>
          <w:szCs w:val="32"/>
        </w:rPr>
        <w:t>100%</w:t>
      </w:r>
      <w:r>
        <w:rPr>
          <w:rFonts w:hint="eastAsia" w:ascii="仿宋" w:hAnsi="仿宋" w:eastAsia="仿宋" w:cs="仿宋"/>
          <w:kern w:val="0"/>
          <w:sz w:val="32"/>
          <w:szCs w:val="32"/>
        </w:rPr>
        <w:t>参与。学校建设继续推进，投入资金近3000万元新建乐园镇中心幼儿园和改建红玫幼儿园，已在2020年9月份正式开园；执信幼儿园建设也正式开始动工。</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社会治理和法治建设取得新成效。</w:t>
      </w:r>
      <w:r>
        <w:rPr>
          <w:rFonts w:hint="eastAsia" w:ascii="仿宋" w:hAnsi="仿宋" w:eastAsia="仿宋" w:cs="仿宋"/>
          <w:kern w:val="0"/>
          <w:sz w:val="32"/>
          <w:szCs w:val="32"/>
        </w:rPr>
        <w:t>持续深入开展“扫黑除恶”专项斗争，严厉打击了各类违法犯罪行为，平安浈江建设战果显著。刑事治安警情数同比下降27.1%，八类严重刑事案件同比下降65.1%。排查调处各类矛盾纠纷2188宗，调解成功率99.58%，及时把矛盾化解在基层，解决在萌芽状态。安全生产形势稳定。</w:t>
      </w:r>
      <w:r>
        <w:rPr>
          <w:rFonts w:hint="eastAsia" w:ascii="仿宋" w:hAnsi="仿宋" w:eastAsia="仿宋" w:cs="仿宋"/>
          <w:bCs/>
          <w:kern w:val="0"/>
          <w:sz w:val="32"/>
          <w:szCs w:val="32"/>
        </w:rPr>
        <w:t>大力开展安全隐患排查专项整治，落实安全生产领导干部“一岗双责”职责，抓好四小场所等人员密集区域的消防隐患排查专项整治；同时，抓好食品药品安全监管，防止了重特大安全事故的发生。依法治区深入推进，法治政府示范创建工作有效开展。</w:t>
      </w:r>
      <w:r>
        <w:rPr>
          <w:rFonts w:ascii="仿宋" w:hAnsi="仿宋" w:eastAsia="仿宋" w:cs="仿宋"/>
          <w:bCs/>
          <w:kern w:val="0"/>
          <w:sz w:val="32"/>
          <w:szCs w:val="32"/>
        </w:rPr>
        <w:t>乡镇街道体制改革</w:t>
      </w:r>
      <w:r>
        <w:rPr>
          <w:rFonts w:hint="eastAsia" w:ascii="仿宋" w:hAnsi="仿宋" w:eastAsia="仿宋" w:cs="仿宋"/>
          <w:bCs/>
          <w:kern w:val="0"/>
          <w:sz w:val="32"/>
          <w:szCs w:val="32"/>
        </w:rPr>
        <w:t>稳步推进，</w:t>
      </w:r>
      <w:r>
        <w:rPr>
          <w:rFonts w:ascii="仿宋" w:hAnsi="仿宋" w:eastAsia="仿宋" w:cs="仿宋"/>
          <w:bCs/>
          <w:kern w:val="0"/>
          <w:sz w:val="32"/>
          <w:szCs w:val="32"/>
        </w:rPr>
        <w:t>完善</w:t>
      </w:r>
      <w:r>
        <w:rPr>
          <w:rFonts w:hint="eastAsia" w:ascii="仿宋" w:hAnsi="仿宋" w:eastAsia="仿宋" w:cs="仿宋"/>
          <w:bCs/>
          <w:kern w:val="0"/>
          <w:sz w:val="32"/>
          <w:szCs w:val="32"/>
        </w:rPr>
        <w:t>了</w:t>
      </w:r>
      <w:r>
        <w:rPr>
          <w:rFonts w:ascii="仿宋" w:hAnsi="仿宋" w:eastAsia="仿宋" w:cs="仿宋"/>
          <w:bCs/>
          <w:kern w:val="0"/>
          <w:sz w:val="32"/>
          <w:szCs w:val="32"/>
        </w:rPr>
        <w:t>基层治理体系。</w:t>
      </w:r>
    </w:p>
    <w:p>
      <w:pPr>
        <w:widowControl/>
        <w:spacing w:line="60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二、</w:t>
      </w:r>
      <w:r>
        <w:rPr>
          <w:rFonts w:ascii="仿宋" w:hAnsi="仿宋" w:eastAsia="仿宋" w:cs="宋体"/>
          <w:b/>
          <w:kern w:val="0"/>
          <w:sz w:val="32"/>
          <w:szCs w:val="32"/>
        </w:rPr>
        <w:t>2021年国民经济和社会发展计划安排</w:t>
      </w:r>
    </w:p>
    <w:p>
      <w:pPr>
        <w:widowControl/>
        <w:spacing w:line="600" w:lineRule="exact"/>
        <w:ind w:left="741" w:leftChars="200" w:hanging="321" w:hangingChars="100"/>
        <w:jc w:val="left"/>
        <w:rPr>
          <w:rFonts w:ascii="仿宋" w:hAnsi="仿宋" w:eastAsia="仿宋" w:cs="宋体"/>
          <w:b/>
          <w:kern w:val="0"/>
          <w:sz w:val="32"/>
          <w:szCs w:val="32"/>
        </w:rPr>
      </w:pPr>
      <w:r>
        <w:rPr>
          <w:rFonts w:hint="eastAsia" w:ascii="仿宋" w:hAnsi="仿宋" w:eastAsia="仿宋" w:cs="宋体"/>
          <w:b/>
          <w:kern w:val="0"/>
          <w:sz w:val="32"/>
          <w:szCs w:val="32"/>
        </w:rPr>
        <w:t>（一）</w:t>
      </w:r>
      <w:r>
        <w:rPr>
          <w:rFonts w:ascii="仿宋" w:hAnsi="仿宋" w:eastAsia="仿宋" w:cs="宋体"/>
          <w:b/>
          <w:kern w:val="0"/>
          <w:sz w:val="32"/>
          <w:szCs w:val="32"/>
        </w:rPr>
        <w:t>2021年经济社会发展形势判断</w:t>
      </w:r>
    </w:p>
    <w:p>
      <w:pPr>
        <w:ind w:firstLine="640" w:firstLineChars="200"/>
        <w:rPr>
          <w:rFonts w:ascii="仿宋" w:hAnsi="仿宋" w:eastAsia="仿宋" w:cs="仿宋"/>
          <w:kern w:val="0"/>
          <w:sz w:val="32"/>
          <w:szCs w:val="32"/>
        </w:rPr>
      </w:pPr>
      <w:r>
        <w:rPr>
          <w:rFonts w:ascii="仿宋" w:hAnsi="仿宋" w:eastAsia="仿宋" w:cs="仿宋"/>
          <w:kern w:val="0"/>
          <w:sz w:val="32"/>
          <w:szCs w:val="32"/>
        </w:rPr>
        <w:t>2021年是全面</w:t>
      </w:r>
      <w:r>
        <w:rPr>
          <w:rFonts w:hint="eastAsia" w:ascii="仿宋" w:hAnsi="仿宋" w:eastAsia="仿宋" w:cs="仿宋"/>
          <w:kern w:val="0"/>
          <w:sz w:val="32"/>
          <w:szCs w:val="32"/>
        </w:rPr>
        <w:t>建设社会主义现代化国家和实施“十四五”规划的开局之年</w:t>
      </w:r>
      <w:r>
        <w:rPr>
          <w:rFonts w:ascii="仿宋" w:hAnsi="仿宋" w:eastAsia="仿宋" w:cs="仿宋"/>
          <w:kern w:val="0"/>
          <w:sz w:val="32"/>
          <w:szCs w:val="32"/>
        </w:rPr>
        <w:t>，</w:t>
      </w:r>
      <w:r>
        <w:rPr>
          <w:rFonts w:hint="eastAsia" w:ascii="仿宋" w:hAnsi="仿宋" w:eastAsia="仿宋" w:cs="仿宋"/>
          <w:kern w:val="0"/>
          <w:sz w:val="32"/>
          <w:szCs w:val="32"/>
        </w:rPr>
        <w:t>也是中国共产党建党100周年，我国经济已由高速增长阶段转向高质量发展阶段，正处在转变发展方式、优化经济结构、转换增长动力的攻关期。我省深入贯彻落实习近平总书记对广东重要讲话、重要指示批示精神，将构建“一核一带一区”区域发展格局纳入“</w:t>
      </w:r>
      <w:r>
        <w:rPr>
          <w:rFonts w:ascii="仿宋" w:hAnsi="仿宋" w:eastAsia="仿宋" w:cs="仿宋"/>
          <w:kern w:val="0"/>
          <w:sz w:val="32"/>
          <w:szCs w:val="32"/>
        </w:rPr>
        <w:t>1+1+9”工作部署全力推进实施，不断加大政策、资金、项目等方面工作力度。</w:t>
      </w:r>
      <w:r>
        <w:rPr>
          <w:rFonts w:hint="eastAsia" w:ascii="仿宋" w:hAnsi="仿宋" w:eastAsia="仿宋" w:cs="仿宋"/>
          <w:kern w:val="0"/>
          <w:sz w:val="32"/>
          <w:szCs w:val="32"/>
        </w:rPr>
        <w:t>我市将立足于争当北部生态发展区高质量发展排头兵，实施一系列生态优先、绿色发展的新举措，有望加快形成与粤港澳大湾区融合发展的新格局。全区虽面临着基础设施建设滞后、区级财政资金保障水平不高等问题，但作为市辖区之一，是全市的政治、经济、文化、商贸和信息中心，仍具有明显的区位优势，加之韶关增强中心城区辐射引领能力的政策支持，将进一步增强我区经济社会发展的内生动力，助推全区经济社会持续健康发展。</w:t>
      </w:r>
    </w:p>
    <w:p>
      <w:pPr>
        <w:widowControl/>
        <w:spacing w:line="600" w:lineRule="exact"/>
        <w:ind w:left="741" w:leftChars="200" w:hanging="321" w:hangingChars="100"/>
        <w:jc w:val="left"/>
        <w:rPr>
          <w:rFonts w:ascii="仿宋" w:hAnsi="仿宋" w:eastAsia="仿宋" w:cs="宋体"/>
          <w:b/>
          <w:kern w:val="0"/>
          <w:sz w:val="32"/>
          <w:szCs w:val="32"/>
        </w:rPr>
      </w:pPr>
      <w:r>
        <w:rPr>
          <w:rFonts w:hint="eastAsia" w:ascii="仿宋" w:hAnsi="仿宋" w:eastAsia="仿宋" w:cs="宋体"/>
          <w:b/>
          <w:kern w:val="0"/>
          <w:sz w:val="32"/>
          <w:szCs w:val="32"/>
        </w:rPr>
        <w:t>（二）</w:t>
      </w:r>
      <w:r>
        <w:rPr>
          <w:rFonts w:ascii="仿宋" w:hAnsi="仿宋" w:eastAsia="仿宋" w:cs="宋体"/>
          <w:b/>
          <w:kern w:val="0"/>
          <w:sz w:val="32"/>
          <w:szCs w:val="32"/>
        </w:rPr>
        <w:t>2021年经济社会发展总体思路</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以习近平新时代中国特色社会主义思想为指导，紧扣全面建设社会主义现代化的总目标，坚持创新、协调、绿色、开放、共享的新发展理念，按照十九大和十九届二中、三中、四中、五中全会和中央经济工作会议精神，全面落实省委“一核一带一区”和市委争当北部生态发展区高质量发展排头兵的战略部署，紧紧围绕区委“十四五”规划建议和“十四五”规划纲要制定的战略目标，在继续做好疫情常态化防控的基础上，进一步推进经济社会高质量发展，努力为开启全面建设社会主义现代化</w:t>
      </w:r>
      <w:r>
        <w:rPr>
          <w:rFonts w:hint="eastAsia" w:ascii="仿宋" w:hAnsi="仿宋" w:eastAsia="仿宋" w:cs="仿宋"/>
          <w:kern w:val="0"/>
          <w:sz w:val="32"/>
          <w:szCs w:val="32"/>
          <w:lang w:eastAsia="zh-CN"/>
        </w:rPr>
        <w:t>国家</w:t>
      </w:r>
      <w:r>
        <w:rPr>
          <w:rFonts w:hint="eastAsia" w:ascii="仿宋" w:hAnsi="仿宋" w:eastAsia="仿宋" w:cs="仿宋"/>
          <w:kern w:val="0"/>
          <w:sz w:val="32"/>
          <w:szCs w:val="32"/>
        </w:rPr>
        <w:t>新征程开好头、起好步。</w:t>
      </w:r>
    </w:p>
    <w:p>
      <w:pPr>
        <w:widowControl/>
        <w:spacing w:line="600" w:lineRule="exact"/>
        <w:ind w:left="741" w:leftChars="200" w:hanging="321" w:hangingChars="100"/>
        <w:jc w:val="left"/>
        <w:rPr>
          <w:rFonts w:ascii="仿宋" w:hAnsi="仿宋" w:eastAsia="仿宋" w:cs="宋体"/>
          <w:b/>
          <w:kern w:val="0"/>
          <w:sz w:val="32"/>
          <w:szCs w:val="32"/>
        </w:rPr>
      </w:pPr>
      <w:r>
        <w:rPr>
          <w:rFonts w:hint="eastAsia" w:ascii="仿宋" w:hAnsi="仿宋" w:eastAsia="仿宋" w:cs="宋体"/>
          <w:b/>
          <w:kern w:val="0"/>
          <w:sz w:val="32"/>
          <w:szCs w:val="32"/>
        </w:rPr>
        <w:t>（三）</w:t>
      </w:r>
      <w:r>
        <w:rPr>
          <w:rFonts w:ascii="仿宋" w:hAnsi="仿宋" w:eastAsia="仿宋" w:cs="宋体"/>
          <w:b/>
          <w:kern w:val="0"/>
          <w:sz w:val="32"/>
          <w:szCs w:val="32"/>
        </w:rPr>
        <w:t>2021年经济社会发展预期目标</w:t>
      </w:r>
    </w:p>
    <w:p>
      <w:pPr>
        <w:ind w:firstLine="640" w:firstLineChars="200"/>
        <w:rPr>
          <w:rFonts w:ascii="仿宋" w:hAnsi="仿宋" w:eastAsia="仿宋" w:cs="宋体"/>
          <w:kern w:val="0"/>
          <w:sz w:val="32"/>
        </w:rPr>
      </w:pPr>
      <w:r>
        <w:rPr>
          <w:rFonts w:hint="eastAsia" w:ascii="仿宋" w:hAnsi="仿宋" w:eastAsia="仿宋" w:cs="宋体"/>
          <w:kern w:val="0"/>
          <w:sz w:val="32"/>
        </w:rPr>
        <w:t>根据以上总体要求和区委“十四五”规划建议和“十四五”规划纲要的战略部署，结合我区当前实际，2021年全区国民经济和社会发展主要预期目标建议安排为：</w:t>
      </w:r>
    </w:p>
    <w:p>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——国内生产总值增长6%，其中，第一产业增长4</w:t>
      </w:r>
      <w:r>
        <w:rPr>
          <w:rFonts w:ascii="仿宋" w:hAnsi="仿宋" w:eastAsia="仿宋" w:cs="仿宋"/>
          <w:kern w:val="0"/>
          <w:sz w:val="32"/>
          <w:szCs w:val="32"/>
        </w:rPr>
        <w:t>.5</w:t>
      </w:r>
      <w:r>
        <w:rPr>
          <w:rFonts w:hint="eastAsia" w:ascii="仿宋" w:hAnsi="仿宋" w:eastAsia="仿宋" w:cs="仿宋"/>
          <w:kern w:val="0"/>
          <w:sz w:val="32"/>
          <w:szCs w:val="32"/>
        </w:rPr>
        <w:t>%，第二产业增长6.5%，第三产业增长6%；</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——人均国内生产总值增长5.8%；</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——工业增加值增长9%，建筑业增加值增长</w:t>
      </w:r>
      <w:r>
        <w:rPr>
          <w:rFonts w:ascii="仿宋" w:hAnsi="仿宋" w:eastAsia="仿宋" w:cs="仿宋"/>
          <w:kern w:val="0"/>
          <w:sz w:val="32"/>
          <w:szCs w:val="32"/>
        </w:rPr>
        <w:t>3</w:t>
      </w:r>
      <w:r>
        <w:rPr>
          <w:rFonts w:hint="eastAsia" w:ascii="仿宋" w:hAnsi="仿宋" w:eastAsia="仿宋" w:cs="仿宋"/>
          <w:kern w:val="0"/>
          <w:sz w:val="32"/>
          <w:szCs w:val="32"/>
        </w:rPr>
        <w:t>%；</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——固定资产投资增长10%；</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——社会消费品零售总额增长7%；</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——地方财政一般公共预算收入增长6%；</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——外贸进出口增长5%；</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——城乡居民人均可支配收入增长7%；</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——城镇登记失业率控制在3.5%以内；</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——人口自然增长率控制在8‰以内；</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——生态环境和节能减排指标完成市下达的目标任务。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2021年，全区重点项目建设计划安排</w:t>
      </w:r>
      <w:r>
        <w:rPr>
          <w:rFonts w:ascii="仿宋" w:hAnsi="仿宋" w:eastAsia="仿宋" w:cs="仿宋"/>
          <w:kern w:val="0"/>
          <w:sz w:val="32"/>
          <w:szCs w:val="32"/>
        </w:rPr>
        <w:t>48</w:t>
      </w:r>
      <w:r>
        <w:rPr>
          <w:rFonts w:hint="eastAsia" w:ascii="仿宋" w:hAnsi="仿宋" w:eastAsia="仿宋" w:cs="仿宋"/>
          <w:kern w:val="0"/>
          <w:sz w:val="32"/>
          <w:szCs w:val="32"/>
        </w:rPr>
        <w:t>个项目，总投资</w:t>
      </w:r>
      <w:r>
        <w:rPr>
          <w:rFonts w:ascii="仿宋" w:hAnsi="仿宋" w:eastAsia="仿宋" w:cs="仿宋"/>
          <w:kern w:val="0"/>
          <w:sz w:val="32"/>
          <w:szCs w:val="32"/>
        </w:rPr>
        <w:t>252.76</w:t>
      </w:r>
      <w:r>
        <w:rPr>
          <w:rFonts w:hint="eastAsia" w:ascii="仿宋" w:hAnsi="仿宋" w:eastAsia="仿宋" w:cs="仿宋"/>
          <w:kern w:val="0"/>
          <w:sz w:val="32"/>
          <w:szCs w:val="32"/>
        </w:rPr>
        <w:t>亿元，年度计划投资</w:t>
      </w:r>
      <w:r>
        <w:rPr>
          <w:rFonts w:ascii="仿宋" w:hAnsi="仿宋" w:eastAsia="仿宋" w:cs="仿宋"/>
          <w:kern w:val="0"/>
          <w:sz w:val="32"/>
          <w:szCs w:val="32"/>
        </w:rPr>
        <w:t>48.03</w:t>
      </w:r>
      <w:r>
        <w:rPr>
          <w:rFonts w:hint="eastAsia" w:ascii="仿宋" w:hAnsi="仿宋" w:eastAsia="仿宋" w:cs="仿宋"/>
          <w:kern w:val="0"/>
          <w:sz w:val="32"/>
          <w:szCs w:val="32"/>
        </w:rPr>
        <w:t>亿元。安排开展前期工作的预备项目33个，估算总投资162</w:t>
      </w:r>
      <w:r>
        <w:rPr>
          <w:rFonts w:ascii="仿宋" w:hAnsi="仿宋" w:eastAsia="仿宋" w:cs="仿宋"/>
          <w:kern w:val="0"/>
          <w:sz w:val="32"/>
          <w:szCs w:val="32"/>
        </w:rPr>
        <w:t>.</w:t>
      </w:r>
      <w:r>
        <w:rPr>
          <w:rFonts w:hint="eastAsia" w:ascii="仿宋" w:hAnsi="仿宋" w:eastAsia="仿宋" w:cs="仿宋"/>
          <w:kern w:val="0"/>
          <w:sz w:val="32"/>
          <w:szCs w:val="32"/>
          <w:lang w:val="en-US" w:eastAsia="zh-CN"/>
        </w:rPr>
        <w:t>8</w:t>
      </w:r>
      <w:r>
        <w:rPr>
          <w:rFonts w:ascii="仿宋" w:hAnsi="仿宋" w:eastAsia="仿宋" w:cs="仿宋"/>
          <w:kern w:val="0"/>
          <w:sz w:val="32"/>
          <w:szCs w:val="32"/>
        </w:rPr>
        <w:t>1</w:t>
      </w:r>
      <w:r>
        <w:rPr>
          <w:rFonts w:hint="eastAsia" w:ascii="仿宋" w:hAnsi="仿宋" w:eastAsia="仿宋" w:cs="仿宋"/>
          <w:kern w:val="0"/>
          <w:sz w:val="32"/>
          <w:szCs w:val="32"/>
        </w:rPr>
        <w:t>亿元。</w:t>
      </w:r>
    </w:p>
    <w:p>
      <w:pPr>
        <w:widowControl/>
        <w:spacing w:line="600" w:lineRule="exact"/>
        <w:ind w:left="741" w:leftChars="200" w:hanging="321" w:hangingChars="100"/>
        <w:jc w:val="left"/>
        <w:rPr>
          <w:rFonts w:ascii="仿宋" w:hAnsi="仿宋" w:eastAsia="仿宋" w:cs="宋体"/>
          <w:b/>
          <w:kern w:val="0"/>
          <w:sz w:val="32"/>
          <w:szCs w:val="32"/>
        </w:rPr>
      </w:pPr>
      <w:r>
        <w:rPr>
          <w:rFonts w:hint="eastAsia" w:ascii="仿宋" w:hAnsi="仿宋" w:eastAsia="仿宋" w:cs="宋体"/>
          <w:b/>
          <w:kern w:val="0"/>
          <w:sz w:val="32"/>
          <w:szCs w:val="32"/>
        </w:rPr>
        <w:t>三、</w:t>
      </w:r>
      <w:r>
        <w:rPr>
          <w:rFonts w:ascii="仿宋" w:hAnsi="仿宋" w:eastAsia="仿宋" w:cs="宋体"/>
          <w:b/>
          <w:kern w:val="0"/>
          <w:sz w:val="32"/>
          <w:szCs w:val="32"/>
        </w:rPr>
        <w:t>2021年国民经济和社会发展主要任务</w:t>
      </w:r>
      <w:r>
        <w:rPr>
          <w:rFonts w:hint="eastAsia" w:ascii="仿宋" w:hAnsi="仿宋" w:eastAsia="仿宋" w:cs="宋体"/>
          <w:b/>
          <w:kern w:val="0"/>
          <w:sz w:val="32"/>
          <w:szCs w:val="32"/>
        </w:rPr>
        <w:t>和举措</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（一）全力筑牢粤北生态屏障</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全面加强生态环境保护。</w:t>
      </w:r>
      <w:r>
        <w:rPr>
          <w:rFonts w:hint="eastAsia" w:ascii="仿宋" w:hAnsi="仿宋" w:eastAsia="仿宋" w:cs="仿宋"/>
          <w:kern w:val="0"/>
          <w:sz w:val="32"/>
          <w:szCs w:val="32"/>
        </w:rPr>
        <w:t>加大大气污染整治力度，实施大气重点治理工程。持续改善水环境质量，落实水环境问题整改，强化饮用水源保护。落实河长制，加强河道清漂整治，强化“三条红线”管理，完善防洪减灾体系。</w:t>
      </w:r>
      <w:r>
        <w:rPr>
          <w:rFonts w:hint="eastAsia" w:ascii="仿宋" w:hAnsi="仿宋" w:eastAsia="仿宋" w:cs="仿宋"/>
          <w:b/>
          <w:kern w:val="0"/>
          <w:sz w:val="32"/>
          <w:szCs w:val="32"/>
        </w:rPr>
        <w:t>加强生态环境建设。</w:t>
      </w:r>
      <w:r>
        <w:rPr>
          <w:rFonts w:hint="eastAsia" w:ascii="仿宋" w:hAnsi="仿宋" w:eastAsia="仿宋" w:cs="仿宋"/>
          <w:kern w:val="0"/>
          <w:sz w:val="32"/>
          <w:szCs w:val="32"/>
        </w:rPr>
        <w:t>做好全域国家森林城市创建和广东南岭国家公园建设工作，持续推进造林绿化，重点抓好碳汇造林、绿美古树乡村建设，确保森林覆盖率达到任务目标。强化森林资源保护管理，严格执行林地保护利用规划。强化森林防火工作和有害生物监测防控和检疫工作。</w:t>
      </w:r>
      <w:r>
        <w:rPr>
          <w:rFonts w:hint="eastAsia" w:ascii="仿宋" w:hAnsi="仿宋" w:eastAsia="仿宋" w:cs="仿宋"/>
          <w:b/>
          <w:color w:val="000000" w:themeColor="text1"/>
          <w:kern w:val="0"/>
          <w:sz w:val="32"/>
          <w:szCs w:val="32"/>
        </w:rPr>
        <w:t>统筹推进山水林田湖草生态修复。</w:t>
      </w:r>
      <w:r>
        <w:rPr>
          <w:rFonts w:hint="eastAsia" w:ascii="仿宋" w:hAnsi="仿宋" w:eastAsia="仿宋" w:cs="仿宋"/>
          <w:color w:val="000000" w:themeColor="text1"/>
          <w:kern w:val="0"/>
          <w:sz w:val="32"/>
          <w:szCs w:val="32"/>
        </w:rPr>
        <w:t>将山水林田湖草生态修复工作列为本年度重点工作，综合运用土地、生态环境、财税等政策，积极开展矿山治理及土壤修复、生态系统与生物多样性保护、流域水环境保护和提升管理能力等修复工程，形成生态保护修复的长效机制。</w:t>
      </w:r>
      <w:r>
        <w:rPr>
          <w:rFonts w:hint="eastAsia" w:ascii="仿宋" w:hAnsi="仿宋" w:eastAsia="仿宋" w:cs="仿宋"/>
          <w:b/>
          <w:kern w:val="0"/>
          <w:sz w:val="32"/>
          <w:szCs w:val="32"/>
        </w:rPr>
        <w:t>加大节能减排力度。</w:t>
      </w:r>
      <w:r>
        <w:rPr>
          <w:rFonts w:hint="eastAsia" w:ascii="仿宋" w:hAnsi="仿宋" w:eastAsia="仿宋" w:cs="仿宋"/>
          <w:kern w:val="0"/>
          <w:sz w:val="32"/>
          <w:szCs w:val="32"/>
        </w:rPr>
        <w:t>强化重点用能单位节能管理，落实用能单位“百千万”行动，加强公共机构节能，推广应用节能环保技术，加大固废处理及循环经济的建设力度，形成全社会节能降耗意识，确保各项节能减排指标控制在市下达的总量指标内，有效改善生态环境。</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（二）进一步推进浈江产业园工业主战场建设</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继续完善园区基础设施建设。</w:t>
      </w:r>
      <w:r>
        <w:rPr>
          <w:rFonts w:hint="eastAsia" w:ascii="仿宋" w:hAnsi="仿宋" w:eastAsia="仿宋" w:cs="仿宋"/>
          <w:kern w:val="0"/>
          <w:sz w:val="32"/>
          <w:szCs w:val="32"/>
        </w:rPr>
        <w:t>大力争取地方政府专项债券等各类资金投入，加快完成新建园区道路、排水、排污等配套设施项目建设。</w:t>
      </w:r>
      <w:bookmarkStart w:id="0" w:name="_Toc29282455"/>
      <w:r>
        <w:rPr>
          <w:rFonts w:hint="eastAsia" w:ascii="仿宋" w:hAnsi="仿宋" w:eastAsia="仿宋" w:cs="仿宋"/>
          <w:kern w:val="0"/>
          <w:sz w:val="32"/>
          <w:szCs w:val="32"/>
        </w:rPr>
        <w:t>推动寮浈共建浈江产业园标准厂房建设，加快建成103亩用地的标准厂房一期项目，力争年内实现引进工业企业进驻。</w:t>
      </w:r>
      <w:r>
        <w:rPr>
          <w:rFonts w:hint="eastAsia" w:ascii="仿宋" w:hAnsi="仿宋" w:eastAsia="仿宋" w:cs="仿宋"/>
          <w:b/>
          <w:kern w:val="0"/>
          <w:sz w:val="32"/>
          <w:szCs w:val="32"/>
        </w:rPr>
        <w:t>提升园区综合配套服务水平</w:t>
      </w:r>
      <w:bookmarkEnd w:id="0"/>
      <w:r>
        <w:rPr>
          <w:rFonts w:hint="eastAsia" w:ascii="仿宋" w:hAnsi="仿宋" w:eastAsia="仿宋" w:cs="仿宋"/>
          <w:b/>
          <w:kern w:val="0"/>
          <w:sz w:val="32"/>
          <w:szCs w:val="32"/>
        </w:rPr>
        <w:t>。</w:t>
      </w:r>
      <w:r>
        <w:rPr>
          <w:rFonts w:hint="eastAsia" w:ascii="仿宋" w:hAnsi="仿宋" w:eastAsia="仿宋" w:cs="仿宋"/>
          <w:kern w:val="0"/>
          <w:sz w:val="32"/>
          <w:szCs w:val="32"/>
        </w:rPr>
        <w:t>在园内规划建设住宿、饮食、娱乐和物流等配套设施，积极争取上级部门增加园区公交车班次等市政服务设施，提高服务和保障进驻企业能力。围绕重点企业培植产业发展。支持国粤电力二期项目完成落地建设手续；推动比亚迪继续扩大产能，引入上下游链条实现协同发展；扶持中机重工按照广州集团公司部署进一步扩能增效，促进园区形成机械装备、热电联供、先进装备制造等主导产业。</w:t>
      </w:r>
      <w:r>
        <w:rPr>
          <w:rFonts w:hint="eastAsia" w:ascii="仿宋" w:hAnsi="仿宋" w:eastAsia="仿宋" w:cs="仿宋"/>
          <w:b/>
          <w:kern w:val="0"/>
          <w:sz w:val="32"/>
          <w:szCs w:val="32"/>
        </w:rPr>
        <w:t>继续扶持园区外重点企业发展。</w:t>
      </w:r>
      <w:r>
        <w:rPr>
          <w:rFonts w:hint="eastAsia" w:ascii="仿宋" w:hAnsi="仿宋" w:eastAsia="仿宋" w:cs="仿宋"/>
          <w:kern w:val="0"/>
          <w:sz w:val="32"/>
          <w:szCs w:val="32"/>
        </w:rPr>
        <w:t>支持韶冶有色金属新型功能材料绿色制造基地建设，打造传统产业绿色发展改造示范点；扶持韶铸留在浈江产能继续正常运转，成为企业外迁后进一步扩大规模的重要补充。</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（三）努力建设东部新兴商住商贸文旅融合发展新城</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充分发挥东部教育资源优势。</w:t>
      </w:r>
      <w:r>
        <w:rPr>
          <w:rFonts w:hint="eastAsia" w:ascii="仿宋" w:hAnsi="仿宋" w:eastAsia="仿宋" w:cs="仿宋"/>
          <w:kern w:val="0"/>
          <w:sz w:val="32"/>
          <w:szCs w:val="32"/>
        </w:rPr>
        <w:t>重点支持韶关学院发挥韶关唯一本科教育学院的优势地位，打造高质量、高水平的粤北创新中心。推动韶关技师学院、韶关中等职业技术学校、南方技师学院等职业院校面向为大湾区产业配套，以直接为周边华南装备园、莞韶产业园、浈江区产业园、韶关高新区等产业园提供实用技术创新服务为导向，为大湾区产业配套提供一线创新技术和人才为最终目的，打造成为东环片创新创业区的重要创新输出节点。</w:t>
      </w:r>
      <w:r>
        <w:rPr>
          <w:rFonts w:hint="eastAsia" w:ascii="仿宋" w:hAnsi="仿宋" w:eastAsia="仿宋" w:cs="仿宋"/>
          <w:b/>
          <w:kern w:val="0"/>
          <w:sz w:val="32"/>
          <w:szCs w:val="32"/>
        </w:rPr>
        <w:t>促进韶关商务创新中心发展。</w:t>
      </w:r>
      <w:r>
        <w:rPr>
          <w:rFonts w:hint="eastAsia" w:ascii="仿宋" w:hAnsi="仿宋" w:eastAsia="仿宋" w:cs="仿宋"/>
          <w:kern w:val="0"/>
          <w:sz w:val="32"/>
          <w:szCs w:val="32"/>
        </w:rPr>
        <w:t>以鑫金汇已有的智汇小镇韶关商务创新中心为平台，以即将建成启用的城市会客厅为展示窗口，突出创新、创意、创业三大主题，发展设计创新、电商创业、文化创意、会展会议等核心产业，建设宜商、宜业、宜居、宜闲的创客产业生态圈。</w:t>
      </w:r>
      <w:r>
        <w:rPr>
          <w:rFonts w:hint="eastAsia" w:ascii="仿宋" w:hAnsi="仿宋" w:eastAsia="仿宋" w:cs="仿宋"/>
          <w:b/>
          <w:kern w:val="0"/>
          <w:sz w:val="32"/>
          <w:szCs w:val="32"/>
        </w:rPr>
        <w:t>推进东环线商贸物流带建设。</w:t>
      </w:r>
      <w:r>
        <w:rPr>
          <w:rFonts w:hint="eastAsia" w:ascii="仿宋" w:hAnsi="仿宋" w:eastAsia="仿宋" w:cs="仿宋"/>
          <w:kern w:val="0"/>
          <w:sz w:val="32"/>
          <w:szCs w:val="32"/>
        </w:rPr>
        <w:t>以现有的鑫金汇建材家居广场、华南农产品交易中心和在建的新供销天韶冷链物流园三大商贸物流平台为依托，推进东环线商贸经济带打造成为我市建材家居和果蔬农产品交易中心。</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（四）大力扶持传统服务业发展</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建设南部现代汽贸服务产业一体化发展专业集聚区。</w:t>
      </w:r>
      <w:r>
        <w:rPr>
          <w:rFonts w:hint="eastAsia" w:ascii="仿宋" w:hAnsi="仿宋" w:eastAsia="仿宋" w:cs="仿宋"/>
          <w:kern w:val="0"/>
          <w:sz w:val="32"/>
          <w:szCs w:val="32"/>
        </w:rPr>
        <w:t>立足南郊片区现有汽车贸易产业优势，在汽车销售的基础上扩展汽车保养专业服务，延伸汽车文化、驾乘体验、结伴出游等休闲体验新业态；进一步完善汽车贸易服务体系，建立选车、购车、选号、上牌、缴税、检测、年审等一站式全链条服务平台，打造成全市汽车贸易、服务、体验专业集聚区、行业旗舰和行业巨头。</w:t>
      </w:r>
      <w:r>
        <w:rPr>
          <w:rFonts w:hint="eastAsia" w:ascii="仿宋" w:hAnsi="仿宋" w:eastAsia="仿宋" w:cs="仿宋"/>
          <w:b/>
          <w:kern w:val="0"/>
          <w:sz w:val="32"/>
          <w:szCs w:val="32"/>
        </w:rPr>
        <w:t>加快重点服务类项目建设。</w:t>
      </w:r>
      <w:r>
        <w:rPr>
          <w:rFonts w:hint="eastAsia" w:ascii="仿宋" w:hAnsi="仿宋" w:eastAsia="仿宋" w:cs="仿宋"/>
          <w:kern w:val="0"/>
          <w:sz w:val="32"/>
          <w:szCs w:val="32"/>
        </w:rPr>
        <w:t>推动中烟物流基地加快建设进度，尽快建成卷烟物流配送中心。争取星港城和投资大厦尽快启动建设，培育新的服务业增长点。</w:t>
      </w:r>
      <w:r>
        <w:rPr>
          <w:rFonts w:hint="eastAsia" w:ascii="仿宋" w:hAnsi="仿宋" w:eastAsia="仿宋" w:cs="仿宋"/>
          <w:b/>
          <w:kern w:val="0"/>
          <w:sz w:val="32"/>
          <w:szCs w:val="32"/>
        </w:rPr>
        <w:t>巩固和提升现有的特色批发市场。</w:t>
      </w:r>
      <w:r>
        <w:rPr>
          <w:rFonts w:hint="eastAsia" w:ascii="仿宋" w:hAnsi="仿宋" w:eastAsia="仿宋" w:cs="仿宋"/>
          <w:kern w:val="0"/>
          <w:sz w:val="32"/>
          <w:szCs w:val="32"/>
        </w:rPr>
        <w:t>继续支持站南路传统小商品批发一条街运营，保持批发街经营特色。配合四通市场启动搬迁，为站南路批发街提档升质营造有利的周边环境。促进耕进市场提升档次水平，引导场内商家与东环线商贸物流带协同发展，成为东环线商贸物流枢纽的重要补充。</w:t>
      </w:r>
    </w:p>
    <w:p>
      <w:pPr>
        <w:widowControl/>
        <w:spacing w:line="60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（五）推动城市历史文化旅游休闲产业发展</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大力挖掘城市历史文化旅游资源。</w:t>
      </w:r>
      <w:r>
        <w:rPr>
          <w:rFonts w:hint="eastAsia" w:ascii="仿宋" w:hAnsi="仿宋" w:eastAsia="仿宋" w:cs="仿宋"/>
          <w:bCs/>
          <w:kern w:val="0"/>
          <w:sz w:val="32"/>
          <w:szCs w:val="32"/>
        </w:rPr>
        <w:t>进一步提高</w:t>
      </w:r>
      <w:r>
        <w:rPr>
          <w:rFonts w:hint="eastAsia" w:ascii="仿宋" w:hAnsi="仿宋" w:eastAsia="仿宋" w:cs="仿宋"/>
          <w:kern w:val="0"/>
          <w:sz w:val="32"/>
          <w:szCs w:val="32"/>
        </w:rPr>
        <w:t>风采楼、韶府学宫、广富新街等历史遗存影响力，</w:t>
      </w:r>
      <w:r>
        <w:rPr>
          <w:rFonts w:hint="eastAsia" w:ascii="仿宋" w:hAnsi="仿宋" w:eastAsia="仿宋" w:cs="仿宋"/>
          <w:bCs/>
          <w:kern w:val="0"/>
          <w:sz w:val="32"/>
          <w:szCs w:val="32"/>
        </w:rPr>
        <w:t>提升风度路步行街和</w:t>
      </w:r>
      <w:r>
        <w:rPr>
          <w:rFonts w:hint="eastAsia" w:ascii="仿宋" w:hAnsi="仿宋" w:eastAsia="仿宋" w:cs="仿宋"/>
          <w:kern w:val="0"/>
          <w:sz w:val="32"/>
          <w:szCs w:val="32"/>
        </w:rPr>
        <w:t>百年东街旅游吸引力，增添市区文化旅游底蕴。</w:t>
      </w:r>
      <w:r>
        <w:rPr>
          <w:rFonts w:hint="eastAsia" w:ascii="仿宋" w:hAnsi="仿宋" w:eastAsia="仿宋" w:cs="仿宋"/>
          <w:b/>
          <w:kern w:val="0"/>
          <w:sz w:val="32"/>
          <w:szCs w:val="32"/>
        </w:rPr>
        <w:t>不断推进市区旅游服务设施建设。</w:t>
      </w:r>
      <w:r>
        <w:rPr>
          <w:rFonts w:hint="eastAsia" w:ascii="仿宋" w:hAnsi="仿宋" w:eastAsia="仿宋" w:cs="仿宋"/>
          <w:kern w:val="0"/>
          <w:sz w:val="32"/>
          <w:szCs w:val="32"/>
        </w:rPr>
        <w:t>增强大型购物综合体、星级酒店、大型饭店等企业的服务能力，加快快捷酒店、民宿、文旅产品创客等小微企业落地。</w:t>
      </w:r>
      <w:r>
        <w:rPr>
          <w:rFonts w:hint="eastAsia" w:ascii="仿宋" w:hAnsi="仿宋" w:eastAsia="仿宋" w:cs="仿宋"/>
          <w:b/>
          <w:kern w:val="0"/>
          <w:sz w:val="32"/>
          <w:szCs w:val="32"/>
        </w:rPr>
        <w:t>促进历史文化资源与旅游资源结合。</w:t>
      </w:r>
      <w:r>
        <w:rPr>
          <w:rFonts w:hint="eastAsia" w:ascii="仿宋" w:hAnsi="仿宋" w:eastAsia="仿宋" w:cs="仿宋"/>
          <w:kern w:val="0"/>
          <w:sz w:val="32"/>
          <w:szCs w:val="32"/>
        </w:rPr>
        <w:t>提升端午龙舟赛、丹霞山生态徒步游、半程马拉松、“我们的节日”等一系列文体旅游活动影响力，推动文旅体融合发展。</w:t>
      </w:r>
      <w:r>
        <w:rPr>
          <w:rFonts w:hint="eastAsia" w:ascii="仿宋" w:hAnsi="仿宋" w:eastAsia="仿宋" w:cs="仿宋"/>
          <w:b/>
          <w:kern w:val="0"/>
          <w:sz w:val="32"/>
          <w:szCs w:val="32"/>
        </w:rPr>
        <w:t>积极挖掘生态旅游潜力。</w:t>
      </w:r>
      <w:r>
        <w:rPr>
          <w:rFonts w:hint="eastAsia" w:ascii="仿宋" w:hAnsi="仿宋" w:eastAsia="仿宋" w:cs="仿宋"/>
          <w:kern w:val="0"/>
          <w:sz w:val="32"/>
          <w:szCs w:val="32"/>
        </w:rPr>
        <w:t>面向粤港澳大湾区，以“莲花山森林公园”、“虾稻连作现代农业观光园”、“三雄开心农场”、“茶花森林公园”特色旅游景点为支撑，构建具有生态观光、养生休闲、户外探险于一体的粤港澳大湾区生态旅游后花园。以“阅丹公路”为主线，以黄竹驿站和沿线景观提升为节点，结合村庄特色，规划布局环丹片区旅游经济带。</w:t>
      </w:r>
      <w:r>
        <w:rPr>
          <w:rFonts w:hint="eastAsia" w:ascii="仿宋" w:hAnsi="仿宋" w:eastAsia="仿宋" w:cs="仿宋"/>
          <w:b/>
          <w:kern w:val="0"/>
          <w:sz w:val="32"/>
          <w:szCs w:val="32"/>
        </w:rPr>
        <w:t>大力开发红色旅游资源。</w:t>
      </w:r>
      <w:r>
        <w:rPr>
          <w:rFonts w:hint="eastAsia" w:ascii="仿宋" w:hAnsi="仿宋" w:eastAsia="仿宋" w:cs="仿宋"/>
          <w:kern w:val="0"/>
          <w:sz w:val="32"/>
          <w:szCs w:val="32"/>
        </w:rPr>
        <w:t>以南昌起义部队革命活动旧址（犁市当铺）、省委旧址、北伐纪念馆等红色景点和粤北华南教育历史研学大村基地“游、学、研”项目为牵引，丰富我区历史文化和红色旅游内涵。</w:t>
      </w:r>
      <w:r>
        <w:rPr>
          <w:rFonts w:hint="eastAsia" w:ascii="仿宋" w:hAnsi="仿宋" w:eastAsia="仿宋" w:cs="仿宋"/>
          <w:b/>
          <w:kern w:val="0"/>
          <w:sz w:val="32"/>
          <w:szCs w:val="32"/>
        </w:rPr>
        <w:t>深度挖掘乡村旅游资源。</w:t>
      </w:r>
      <w:r>
        <w:rPr>
          <w:rFonts w:hint="eastAsia" w:ascii="仿宋" w:hAnsi="仿宋" w:eastAsia="仿宋" w:cs="仿宋"/>
          <w:kern w:val="0"/>
          <w:sz w:val="32"/>
          <w:szCs w:val="32"/>
        </w:rPr>
        <w:t>积极推进福湾体育小镇项目建设，打造乡村旅游和小众体育特色景点。</w:t>
      </w:r>
      <w:r>
        <w:rPr>
          <w:rFonts w:hint="eastAsia" w:ascii="仿宋" w:hAnsi="仿宋" w:eastAsia="仿宋" w:cs="仿宋"/>
          <w:bCs/>
          <w:kern w:val="0"/>
          <w:sz w:val="32"/>
          <w:szCs w:val="32"/>
        </w:rPr>
        <w:t>继续开展</w:t>
      </w:r>
      <w:r>
        <w:rPr>
          <w:rFonts w:hint="eastAsia" w:ascii="仿宋" w:hAnsi="仿宋" w:eastAsia="仿宋" w:cs="仿宋"/>
          <w:kern w:val="0"/>
          <w:sz w:val="32"/>
          <w:szCs w:val="32"/>
        </w:rPr>
        <w:t>农民丰收节、樱花节、茶花节等旅游节庆活动，提高浈江乡村旅游活跃度。</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（六）推进韶关老城小区更新改造和微改造</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稳步推进老旧小区改造。</w:t>
      </w:r>
      <w:r>
        <w:rPr>
          <w:rFonts w:hint="eastAsia" w:ascii="仿宋" w:hAnsi="仿宋" w:eastAsia="仿宋" w:cs="仿宋"/>
          <w:bCs/>
          <w:kern w:val="0"/>
          <w:sz w:val="32"/>
          <w:szCs w:val="32"/>
        </w:rPr>
        <w:t>按照因地制宜、精准施策原则，</w:t>
      </w:r>
      <w:r>
        <w:rPr>
          <w:rFonts w:hint="eastAsia" w:ascii="仿宋" w:hAnsi="仿宋" w:eastAsia="仿宋" w:cs="仿宋"/>
          <w:kern w:val="0"/>
          <w:sz w:val="32"/>
          <w:szCs w:val="32"/>
        </w:rPr>
        <w:t>对小区市政配套设施、小区环境、建筑物本体、公共服务设施等按实际需要进行改造，特别是小岛片区的城市更新与微改造工作，力争启动小岛片区打造城市更新与微改造示范区工作。</w:t>
      </w:r>
      <w:r>
        <w:rPr>
          <w:rFonts w:hint="eastAsia" w:ascii="仿宋" w:hAnsi="仿宋" w:eastAsia="仿宋" w:cs="仿宋"/>
          <w:bCs/>
          <w:kern w:val="0"/>
          <w:sz w:val="32"/>
          <w:szCs w:val="32"/>
        </w:rPr>
        <w:t>对无法通过微改造实现更新的老旧小区，</w:t>
      </w:r>
      <w:r>
        <w:rPr>
          <w:rFonts w:hint="eastAsia" w:ascii="仿宋" w:hAnsi="仿宋" w:eastAsia="仿宋" w:cs="仿宋"/>
          <w:kern w:val="0"/>
          <w:sz w:val="32"/>
          <w:szCs w:val="32"/>
        </w:rPr>
        <w:t>积极争取政策支持，以推进“三旧”改造的方式实现老旧小区更新目标，加快星港城、鸿源众力等“三旧”改造项目落地。</w:t>
      </w:r>
      <w:r>
        <w:rPr>
          <w:rFonts w:hint="eastAsia" w:ascii="仿宋" w:hAnsi="仿宋" w:eastAsia="仿宋" w:cs="仿宋"/>
          <w:b/>
          <w:bCs/>
          <w:kern w:val="0"/>
          <w:sz w:val="32"/>
          <w:szCs w:val="32"/>
        </w:rPr>
        <w:t>加快城市基础设施建设步伐。</w:t>
      </w:r>
      <w:r>
        <w:rPr>
          <w:rFonts w:hint="eastAsia" w:ascii="仿宋" w:hAnsi="仿宋" w:eastAsia="仿宋" w:cs="仿宋"/>
          <w:kern w:val="0"/>
          <w:sz w:val="32"/>
          <w:szCs w:val="32"/>
        </w:rPr>
        <w:t>切实抓好城市主干道沿线、城乡结合部、背街小巷的风貌改造提升，加大对浈江区主次干道下水道清疏整治力度，推进浈江大道、大学路等道路整治提升工程，逐步改善城市道路沿线风貌。加强城市公共服务设施建设，进一步完善交通设施、“适老化”设施、农贸市场、公共厕所、停车场、汽车充电设施、垃圾中转站等设施改造和新建。积极配合做好韶州医院、职业健康技术学院等重点公共项目建设，增强东部片区城市功能。</w:t>
      </w:r>
    </w:p>
    <w:p>
      <w:pPr>
        <w:widowControl/>
        <w:spacing w:line="600" w:lineRule="exact"/>
        <w:ind w:firstLine="643" w:firstLineChars="200"/>
        <w:jc w:val="left"/>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（七）推进营商环境综合改革</w:t>
      </w:r>
    </w:p>
    <w:p>
      <w:pPr>
        <w:widowControl/>
        <w:spacing w:line="60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深入推进放管服改革和数字政府建设。</w:t>
      </w:r>
      <w:r>
        <w:rPr>
          <w:rFonts w:hint="eastAsia" w:ascii="仿宋" w:hAnsi="仿宋" w:eastAsia="仿宋" w:cs="仿宋"/>
          <w:kern w:val="0"/>
          <w:sz w:val="32"/>
          <w:szCs w:val="32"/>
        </w:rPr>
        <w:t>落实“马上办”提速措施，开展企业登记便利化服务。实行登记注册审核合一，简化审核手续。推进“智慧浈江”项目建设，提高政府数字管理水平。开展“智慧浈江”大数据中心、智慧城市运营指挥中心建设及其配套设施的建设，实现感知网络全域覆盖。</w:t>
      </w:r>
      <w:r>
        <w:rPr>
          <w:rFonts w:hint="eastAsia" w:ascii="仿宋" w:hAnsi="仿宋" w:eastAsia="仿宋" w:cs="仿宋"/>
          <w:b/>
          <w:color w:val="000000" w:themeColor="text1"/>
          <w:kern w:val="0"/>
          <w:sz w:val="32"/>
          <w:szCs w:val="32"/>
        </w:rPr>
        <w:t>积极落实上级减税降费政策。</w:t>
      </w:r>
      <w:r>
        <w:rPr>
          <w:rFonts w:hint="eastAsia" w:ascii="仿宋" w:hAnsi="仿宋" w:eastAsia="仿宋" w:cs="仿宋"/>
          <w:color w:val="000000" w:themeColor="text1"/>
          <w:kern w:val="0"/>
          <w:sz w:val="32"/>
          <w:szCs w:val="32"/>
        </w:rPr>
        <w:t>继续贯彻落实广东省“民营经济十条”，激励企业做大做强，推动一批优质企业加快壮大规模、提升效益，促进中小“双创”企业快速发展，降低生产经营成本。</w:t>
      </w:r>
      <w:r>
        <w:rPr>
          <w:rFonts w:hint="eastAsia" w:ascii="仿宋" w:hAnsi="仿宋" w:eastAsia="仿宋" w:cs="仿宋"/>
          <w:b/>
          <w:kern w:val="0"/>
          <w:sz w:val="32"/>
          <w:szCs w:val="32"/>
        </w:rPr>
        <w:t>促进金融更好服务实体经济。</w:t>
      </w:r>
      <w:r>
        <w:rPr>
          <w:rFonts w:hint="eastAsia" w:ascii="仿宋" w:hAnsi="仿宋" w:eastAsia="仿宋" w:cs="仿宋"/>
          <w:kern w:val="0"/>
          <w:sz w:val="32"/>
          <w:szCs w:val="32"/>
        </w:rPr>
        <w:t>统筹有关专项资金，推动政银企联动，由资金池提供转贷周转资金，着力缓解企业融资难题。鼓励银行在风险可控的前提下，在贷款利率基础上下调利率，降低企业融资成本。创新企业融资金融工具，提倡供应链金融，鼓励企业通过应收账款融资。</w:t>
      </w:r>
      <w:r>
        <w:rPr>
          <w:rFonts w:hint="eastAsia" w:ascii="仿宋" w:hAnsi="仿宋" w:eastAsia="仿宋" w:cs="仿宋"/>
          <w:b/>
          <w:kern w:val="0"/>
          <w:sz w:val="32"/>
          <w:szCs w:val="32"/>
        </w:rPr>
        <w:t>完善信用体系建设。</w:t>
      </w:r>
      <w:r>
        <w:rPr>
          <w:rFonts w:hint="eastAsia" w:ascii="仿宋" w:hAnsi="仿宋" w:eastAsia="仿宋" w:cs="仿宋"/>
          <w:kern w:val="0"/>
          <w:sz w:val="32"/>
          <w:szCs w:val="32"/>
        </w:rPr>
        <w:t>按照“抽查事项清单”，开展“双随机、一公开”监管工作。加强网络市场监管，开展“守合同重信用”公示活动。加强行政审批中介服务收费监管，切实降低企业成本。组织查处不正当竞争违法行为，加强反不正当竞争普法宣传和典型案例宣传。</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（八）深入实施乡村振兴战略</w:t>
      </w:r>
    </w:p>
    <w:p>
      <w:pPr>
        <w:widowControl/>
        <w:spacing w:line="600" w:lineRule="exact"/>
        <w:ind w:firstLine="643" w:firstLineChars="200"/>
        <w:jc w:val="left"/>
        <w:rPr>
          <w:rFonts w:ascii="仿宋" w:hAnsi="仿宋" w:eastAsia="仿宋" w:cs="仿宋"/>
          <w:color w:val="FF0000"/>
          <w:kern w:val="0"/>
          <w:sz w:val="32"/>
          <w:szCs w:val="32"/>
        </w:rPr>
      </w:pPr>
      <w:r>
        <w:rPr>
          <w:rFonts w:hint="eastAsia" w:ascii="仿宋" w:hAnsi="仿宋" w:eastAsia="仿宋" w:cs="仿宋"/>
          <w:b/>
          <w:kern w:val="0"/>
          <w:sz w:val="32"/>
          <w:szCs w:val="32"/>
        </w:rPr>
        <w:t>推进农业产业化发展。</w:t>
      </w:r>
      <w:r>
        <w:rPr>
          <w:rFonts w:hint="eastAsia" w:ascii="仿宋" w:hAnsi="仿宋" w:eastAsia="仿宋" w:cs="仿宋"/>
          <w:kern w:val="0"/>
          <w:sz w:val="32"/>
          <w:szCs w:val="32"/>
        </w:rPr>
        <w:t>大力支持新型农业经营主体发展为新型农业经营主体，提供服务增强农户脱贫致富能力，为农业供给侧结构性改革和乡村振兴发展提供产业支撑。大力打造兰花特色产业、规范生猪保供项目建设。</w:t>
      </w:r>
      <w:r>
        <w:rPr>
          <w:rFonts w:hint="eastAsia" w:ascii="仿宋" w:hAnsi="仿宋" w:eastAsia="仿宋" w:cs="仿宋"/>
          <w:b/>
          <w:kern w:val="0"/>
          <w:sz w:val="32"/>
          <w:szCs w:val="32"/>
        </w:rPr>
        <w:t>推进生态宜居美丽农村建设。</w:t>
      </w:r>
      <w:r>
        <w:rPr>
          <w:rFonts w:hint="eastAsia" w:ascii="仿宋" w:hAnsi="仿宋" w:eastAsia="仿宋" w:cs="仿宋"/>
          <w:kern w:val="0"/>
          <w:sz w:val="32"/>
          <w:szCs w:val="32"/>
        </w:rPr>
        <w:t>继续推进环丹片区农村人居环境综合整治启动浈江区全域农村人居环境综合整治项目，对尚未列入计划的我区村庄进行农村人居环境整治，实现全区农村人居环境整治的全覆盖，切实地提高村民的辛福感。提高土地资源利用效率，实现拆后土地利用效益最大化，实现新农村建设的规</w:t>
      </w:r>
      <w:r>
        <w:rPr>
          <w:rFonts w:hint="eastAsia" w:ascii="仿宋" w:hAnsi="仿宋" w:eastAsia="仿宋" w:cs="仿宋"/>
          <w:kern w:val="0"/>
          <w:sz w:val="32"/>
          <w:szCs w:val="32"/>
          <w:lang w:eastAsia="zh-CN"/>
        </w:rPr>
        <w:t>范</w:t>
      </w:r>
      <w:r>
        <w:rPr>
          <w:rFonts w:hint="eastAsia" w:ascii="仿宋" w:hAnsi="仿宋" w:eastAsia="仿宋" w:cs="仿宋"/>
          <w:kern w:val="0"/>
          <w:sz w:val="32"/>
          <w:szCs w:val="32"/>
        </w:rPr>
        <w:t>化、科学化和城乡一体化。</w:t>
      </w:r>
      <w:r>
        <w:rPr>
          <w:rFonts w:hint="eastAsia" w:ascii="仿宋" w:hAnsi="仿宋" w:eastAsia="仿宋" w:cs="仿宋"/>
          <w:b/>
          <w:color w:val="000000" w:themeColor="text1"/>
          <w:kern w:val="0"/>
          <w:sz w:val="32"/>
          <w:szCs w:val="32"/>
        </w:rPr>
        <w:t>提升乡村基本公共服务水平。</w:t>
      </w:r>
      <w:r>
        <w:rPr>
          <w:rFonts w:hint="eastAsia" w:ascii="仿宋" w:hAnsi="仿宋" w:eastAsia="仿宋" w:cs="仿宋"/>
          <w:color w:val="000000" w:themeColor="text1"/>
          <w:kern w:val="0"/>
          <w:sz w:val="32"/>
          <w:szCs w:val="32"/>
        </w:rPr>
        <w:t>统筹城乡公共服务体系建设，</w:t>
      </w:r>
      <w:bookmarkStart w:id="1" w:name="_GoBack"/>
      <w:bookmarkEnd w:id="1"/>
      <w:r>
        <w:rPr>
          <w:rFonts w:hint="eastAsia" w:ascii="仿宋" w:hAnsi="仿宋" w:eastAsia="仿宋" w:cs="仿宋"/>
          <w:color w:val="000000" w:themeColor="text1"/>
          <w:kern w:val="0"/>
          <w:sz w:val="32"/>
          <w:szCs w:val="32"/>
        </w:rPr>
        <w:t>促进公共教育、医疗卫生、社会保障等资源向农村倾斜，实现优质公共服务资源在城乡间共享。</w:t>
      </w:r>
      <w:r>
        <w:rPr>
          <w:rFonts w:hint="eastAsia" w:ascii="仿宋" w:hAnsi="仿宋" w:eastAsia="仿宋" w:cs="仿宋"/>
          <w:b/>
          <w:bCs/>
          <w:color w:val="000000" w:themeColor="text1"/>
          <w:kern w:val="0"/>
          <w:sz w:val="32"/>
          <w:szCs w:val="32"/>
        </w:rPr>
        <w:t>巩固脱贫攻坚成果。</w:t>
      </w:r>
      <w:r>
        <w:rPr>
          <w:rFonts w:hint="eastAsia" w:ascii="仿宋" w:hAnsi="仿宋" w:eastAsia="仿宋" w:cs="仿宋"/>
          <w:color w:val="000000" w:themeColor="text1"/>
          <w:kern w:val="0"/>
          <w:sz w:val="32"/>
          <w:szCs w:val="32"/>
        </w:rPr>
        <w:t>通过农业产业扶贫项目，强化涉农资金统筹整合，确保贫困户、贫困村持续稳定脱贫。</w:t>
      </w:r>
    </w:p>
    <w:p>
      <w:pPr>
        <w:widowControl/>
        <w:spacing w:line="600" w:lineRule="exac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（九）着力做好民生保障工作</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深入实施就业优先战略。</w:t>
      </w:r>
      <w:r>
        <w:rPr>
          <w:rFonts w:hint="eastAsia" w:ascii="仿宋" w:hAnsi="仿宋" w:eastAsia="仿宋" w:cs="仿宋"/>
          <w:kern w:val="0"/>
          <w:sz w:val="32"/>
          <w:szCs w:val="32"/>
        </w:rPr>
        <w:t>实施更加积极的就业创业政策，千方百计稳定和扩大就业。坚持把促进就业放在各项的工作优先位置，以产业发展带动充分就业，同时加强优化公共就业服务供给。</w:t>
      </w:r>
      <w:r>
        <w:rPr>
          <w:rFonts w:hint="eastAsia" w:ascii="仿宋" w:hAnsi="仿宋" w:eastAsia="仿宋" w:cs="仿宋"/>
          <w:bCs/>
          <w:kern w:val="0"/>
          <w:sz w:val="32"/>
          <w:szCs w:val="32"/>
        </w:rPr>
        <w:t>年内城镇新增就业</w:t>
      </w:r>
      <w:r>
        <w:rPr>
          <w:rFonts w:ascii="仿宋" w:hAnsi="仿宋" w:eastAsia="仿宋" w:cs="仿宋"/>
          <w:bCs/>
          <w:kern w:val="0"/>
          <w:sz w:val="32"/>
          <w:szCs w:val="32"/>
        </w:rPr>
        <w:t>3300</w:t>
      </w:r>
      <w:r>
        <w:rPr>
          <w:rFonts w:hint="eastAsia" w:ascii="仿宋" w:hAnsi="仿宋" w:eastAsia="仿宋" w:cs="仿宋"/>
          <w:bCs/>
          <w:kern w:val="0"/>
          <w:sz w:val="32"/>
          <w:szCs w:val="32"/>
        </w:rPr>
        <w:t>人，城镇失业人员再就业人数</w:t>
      </w:r>
      <w:r>
        <w:rPr>
          <w:rFonts w:ascii="仿宋" w:hAnsi="仿宋" w:eastAsia="仿宋" w:cs="仿宋"/>
          <w:bCs/>
          <w:kern w:val="0"/>
          <w:sz w:val="32"/>
          <w:szCs w:val="32"/>
        </w:rPr>
        <w:t>2900</w:t>
      </w:r>
      <w:r>
        <w:rPr>
          <w:rFonts w:hint="eastAsia" w:ascii="仿宋" w:hAnsi="仿宋" w:eastAsia="仿宋" w:cs="仿宋"/>
          <w:bCs/>
          <w:kern w:val="0"/>
          <w:sz w:val="32"/>
          <w:szCs w:val="32"/>
        </w:rPr>
        <w:t>人，促进创业人数</w:t>
      </w:r>
      <w:r>
        <w:rPr>
          <w:rFonts w:ascii="仿宋" w:hAnsi="仿宋" w:eastAsia="仿宋" w:cs="仿宋"/>
          <w:bCs/>
          <w:kern w:val="0"/>
          <w:sz w:val="32"/>
          <w:szCs w:val="32"/>
        </w:rPr>
        <w:t>190</w:t>
      </w:r>
      <w:r>
        <w:rPr>
          <w:rFonts w:hint="eastAsia" w:ascii="仿宋" w:hAnsi="仿宋" w:eastAsia="仿宋" w:cs="仿宋"/>
          <w:bCs/>
          <w:kern w:val="0"/>
          <w:sz w:val="32"/>
          <w:szCs w:val="32"/>
        </w:rPr>
        <w:t>人。</w:t>
      </w:r>
      <w:r>
        <w:rPr>
          <w:rFonts w:hint="eastAsia" w:ascii="仿宋" w:hAnsi="仿宋" w:eastAsia="仿宋" w:cs="仿宋"/>
          <w:b/>
          <w:kern w:val="0"/>
          <w:sz w:val="32"/>
          <w:szCs w:val="32"/>
        </w:rPr>
        <w:t>大力发展教育事业。</w:t>
      </w:r>
      <w:r>
        <w:rPr>
          <w:rFonts w:hint="eastAsia" w:ascii="仿宋" w:hAnsi="仿宋" w:eastAsia="仿宋" w:cs="仿宋"/>
          <w:bCs/>
          <w:kern w:val="0"/>
          <w:sz w:val="32"/>
          <w:szCs w:val="32"/>
        </w:rPr>
        <w:t>以高质量完成政府履行教育职责考核为契机，积极发展各类教育，全面提高教育教学质量，全面提高办学水平和条件。继续推进学校建设，争取启动建设腊石小学和重建韶冶实验学校；大力发展公办幼儿园，充分利用中小学布局调整后的富余校舍和其他资源新建、改建一批幼儿园，争取完成金葵幼儿园（暂命名）建设和执信幼儿园迁建工作。</w:t>
      </w:r>
      <w:r>
        <w:rPr>
          <w:rFonts w:hint="eastAsia" w:ascii="仿宋" w:hAnsi="仿宋" w:eastAsia="仿宋" w:cs="仿宋"/>
          <w:b/>
          <w:kern w:val="0"/>
          <w:sz w:val="32"/>
          <w:szCs w:val="32"/>
        </w:rPr>
        <w:t>进一步提高公共文化服务水平。</w:t>
      </w:r>
      <w:r>
        <w:rPr>
          <w:rFonts w:hint="eastAsia" w:ascii="仿宋" w:hAnsi="仿宋" w:eastAsia="仿宋" w:cs="仿宋"/>
          <w:kern w:val="0"/>
          <w:sz w:val="32"/>
          <w:szCs w:val="32"/>
        </w:rPr>
        <w:t>大力推进文化场馆达标建设，进一步完善区文化馆、图书馆、博物馆三馆等文化基础设施建设和管理工作，带动文化产业发展。加快推进基层文体广场建设，满足群众文化体育需求。推进镇办文化站的改造升级工作。举办各类文化活动，</w:t>
      </w:r>
      <w:r>
        <w:rPr>
          <w:rFonts w:hint="eastAsia" w:ascii="仿宋" w:hAnsi="仿宋" w:eastAsia="仿宋" w:cs="仿宋"/>
          <w:bCs/>
          <w:kern w:val="0"/>
          <w:sz w:val="32"/>
          <w:szCs w:val="32"/>
        </w:rPr>
        <w:t>不断供给丰富多彩的文化产品</w:t>
      </w:r>
      <w:r>
        <w:rPr>
          <w:rFonts w:hint="eastAsia" w:ascii="仿宋" w:hAnsi="仿宋" w:eastAsia="仿宋" w:cs="仿宋"/>
          <w:kern w:val="0"/>
          <w:sz w:val="32"/>
          <w:szCs w:val="32"/>
        </w:rPr>
        <w:t>，活跃群众文化生活。</w:t>
      </w:r>
      <w:r>
        <w:rPr>
          <w:rFonts w:hint="eastAsia" w:ascii="仿宋" w:hAnsi="仿宋" w:eastAsia="仿宋" w:cs="仿宋"/>
          <w:b/>
          <w:kern w:val="0"/>
          <w:sz w:val="32"/>
          <w:szCs w:val="32"/>
        </w:rPr>
        <w:t>促进健康事业发展。</w:t>
      </w:r>
      <w:r>
        <w:rPr>
          <w:rFonts w:hint="eastAsia" w:ascii="仿宋" w:hAnsi="仿宋" w:eastAsia="仿宋" w:cs="仿宋"/>
          <w:kern w:val="0"/>
          <w:sz w:val="32"/>
          <w:szCs w:val="32"/>
        </w:rPr>
        <w:t>加大专业人才引进力度，促进基本公共卫生服务水平显著提升。做好疫情常态防控工作，完成基层医疗机构加挂镇级疾控中心机构建设，加大基层医务人员培训，提高基层卫生站服务能力。加快养老服务体系建设，推进福利院、民办养老机构，农村幸福院和养老服务信息平台建设。</w:t>
      </w:r>
      <w:r>
        <w:rPr>
          <w:rFonts w:hint="eastAsia" w:ascii="仿宋" w:hAnsi="仿宋" w:eastAsia="仿宋" w:cs="仿宋"/>
          <w:bCs/>
          <w:kern w:val="0"/>
          <w:sz w:val="32"/>
          <w:szCs w:val="32"/>
        </w:rPr>
        <w:t>继续开展好体育活动和体育场所维护工作，</w:t>
      </w:r>
      <w:r>
        <w:rPr>
          <w:rFonts w:hint="eastAsia" w:ascii="仿宋" w:hAnsi="仿宋" w:eastAsia="仿宋" w:cs="仿宋"/>
          <w:kern w:val="0"/>
          <w:sz w:val="32"/>
          <w:szCs w:val="32"/>
        </w:rPr>
        <w:t>活跃群众体育和青少年体育。</w:t>
      </w: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（十）进一步提高依法治区水平和社会治理能力</w:t>
      </w:r>
    </w:p>
    <w:p>
      <w:pPr>
        <w:ind w:firstLine="643" w:firstLineChars="200"/>
        <w:rPr>
          <w:rFonts w:ascii="仿宋" w:hAnsi="仿宋" w:eastAsia="仿宋" w:cs="仿宋"/>
          <w:kern w:val="0"/>
          <w:sz w:val="32"/>
          <w:szCs w:val="32"/>
        </w:rPr>
      </w:pPr>
      <w:r>
        <w:rPr>
          <w:rFonts w:hint="eastAsia" w:ascii="仿宋" w:hAnsi="仿宋" w:eastAsia="仿宋" w:cs="仿宋"/>
          <w:b/>
          <w:kern w:val="0"/>
          <w:sz w:val="32"/>
          <w:szCs w:val="32"/>
        </w:rPr>
        <w:t>深入推进法治政府建设。</w:t>
      </w:r>
      <w:r>
        <w:rPr>
          <w:rFonts w:hint="eastAsia" w:ascii="仿宋" w:hAnsi="仿宋" w:eastAsia="仿宋" w:cs="仿宋"/>
          <w:bCs/>
          <w:kern w:val="0"/>
          <w:sz w:val="32"/>
          <w:szCs w:val="32"/>
        </w:rPr>
        <w:t>推进法治政府建设领域重点工作，</w:t>
      </w:r>
      <w:r>
        <w:rPr>
          <w:rFonts w:hint="eastAsia" w:ascii="仿宋" w:hAnsi="仿宋" w:eastAsia="仿宋" w:cs="仿宋"/>
          <w:kern w:val="0"/>
          <w:sz w:val="32"/>
          <w:szCs w:val="32"/>
        </w:rPr>
        <w:t>开展优化营商环境专项检查，加强法治督察，做好法治考评。</w:t>
      </w:r>
      <w:r>
        <w:rPr>
          <w:rFonts w:hint="eastAsia" w:ascii="仿宋" w:hAnsi="仿宋" w:eastAsia="仿宋" w:cs="仿宋"/>
          <w:bCs/>
          <w:kern w:val="0"/>
          <w:sz w:val="32"/>
          <w:szCs w:val="32"/>
        </w:rPr>
        <w:t>推进行政决策科学化、民主化、法治化。</w:t>
      </w:r>
      <w:r>
        <w:rPr>
          <w:rFonts w:hint="eastAsia" w:ascii="仿宋" w:hAnsi="仿宋" w:eastAsia="仿宋" w:cs="仿宋"/>
          <w:b/>
          <w:kern w:val="0"/>
          <w:sz w:val="32"/>
          <w:szCs w:val="32"/>
        </w:rPr>
        <w:t>推进平安浈江建设。</w:t>
      </w:r>
      <w:r>
        <w:rPr>
          <w:rFonts w:ascii="仿宋" w:hAnsi="仿宋" w:eastAsia="仿宋" w:cs="仿宋"/>
          <w:kern w:val="0"/>
          <w:sz w:val="32"/>
          <w:szCs w:val="32"/>
        </w:rPr>
        <w:t>统筹推进维护政治安全、反恐防暴、网络安全、矛盾调处</w:t>
      </w:r>
      <w:r>
        <w:rPr>
          <w:rFonts w:hint="eastAsia" w:ascii="仿宋" w:hAnsi="仿宋" w:eastAsia="仿宋" w:cs="仿宋"/>
          <w:kern w:val="0"/>
          <w:sz w:val="32"/>
          <w:szCs w:val="32"/>
        </w:rPr>
        <w:t>。</w:t>
      </w:r>
      <w:r>
        <w:rPr>
          <w:rFonts w:ascii="仿宋" w:hAnsi="仿宋" w:eastAsia="仿宋" w:cs="仿宋"/>
          <w:kern w:val="0"/>
          <w:sz w:val="32"/>
          <w:szCs w:val="32"/>
        </w:rPr>
        <w:t>严打各类黑恶势力和严重暴力性犯罪，全力</w:t>
      </w:r>
      <w:r>
        <w:rPr>
          <w:rFonts w:hint="eastAsia" w:ascii="仿宋" w:hAnsi="仿宋" w:eastAsia="仿宋" w:cs="仿宋"/>
          <w:kern w:val="0"/>
          <w:sz w:val="32"/>
          <w:szCs w:val="32"/>
        </w:rPr>
        <w:t>推动“</w:t>
      </w:r>
      <w:r>
        <w:rPr>
          <w:rFonts w:ascii="仿宋" w:hAnsi="仿宋" w:eastAsia="仿宋" w:cs="仿宋"/>
          <w:kern w:val="0"/>
          <w:sz w:val="32"/>
          <w:szCs w:val="32"/>
        </w:rPr>
        <w:t>扫黑除恶</w:t>
      </w:r>
      <w:r>
        <w:rPr>
          <w:rFonts w:hint="eastAsia" w:ascii="仿宋" w:hAnsi="仿宋" w:eastAsia="仿宋" w:cs="仿宋"/>
          <w:kern w:val="0"/>
          <w:sz w:val="32"/>
          <w:szCs w:val="32"/>
        </w:rPr>
        <w:t>”</w:t>
      </w:r>
      <w:r>
        <w:rPr>
          <w:rFonts w:ascii="仿宋" w:hAnsi="仿宋" w:eastAsia="仿宋" w:cs="仿宋"/>
          <w:kern w:val="0"/>
          <w:sz w:val="32"/>
          <w:szCs w:val="32"/>
        </w:rPr>
        <w:t>专项斗争</w:t>
      </w:r>
      <w:r>
        <w:rPr>
          <w:rFonts w:hint="eastAsia" w:ascii="仿宋" w:hAnsi="仿宋" w:eastAsia="仿宋" w:cs="仿宋"/>
          <w:kern w:val="0"/>
          <w:sz w:val="32"/>
          <w:szCs w:val="32"/>
        </w:rPr>
        <w:t>常态化。</w:t>
      </w:r>
      <w:r>
        <w:rPr>
          <w:rFonts w:ascii="仿宋" w:hAnsi="仿宋" w:eastAsia="仿宋" w:cs="仿宋"/>
          <w:bCs/>
          <w:kern w:val="0"/>
          <w:sz w:val="32"/>
          <w:szCs w:val="32"/>
        </w:rPr>
        <w:t>不断创新基层社会治理</w:t>
      </w:r>
      <w:r>
        <w:rPr>
          <w:rFonts w:ascii="仿宋" w:hAnsi="仿宋" w:eastAsia="仿宋" w:cs="仿宋"/>
          <w:kern w:val="0"/>
          <w:sz w:val="32"/>
          <w:szCs w:val="32"/>
        </w:rPr>
        <w:t>，</w:t>
      </w:r>
      <w:r>
        <w:rPr>
          <w:rFonts w:hint="eastAsia" w:ascii="仿宋" w:hAnsi="仿宋" w:eastAsia="仿宋" w:cs="仿宋"/>
          <w:kern w:val="0"/>
          <w:sz w:val="32"/>
          <w:szCs w:val="32"/>
        </w:rPr>
        <w:t>继续完善社会治安防控体系建设，推进智慧新防控创新应用，全面推广铺开智感安防区建设。</w:t>
      </w:r>
      <w:r>
        <w:rPr>
          <w:rFonts w:hint="eastAsia" w:ascii="仿宋" w:hAnsi="仿宋" w:eastAsia="仿宋" w:cs="仿宋"/>
          <w:b/>
          <w:kern w:val="0"/>
          <w:sz w:val="32"/>
          <w:szCs w:val="32"/>
        </w:rPr>
        <w:t>着力防范化解重大安全风险。</w:t>
      </w:r>
      <w:r>
        <w:rPr>
          <w:rFonts w:hint="eastAsia" w:ascii="仿宋" w:hAnsi="仿宋" w:eastAsia="仿宋" w:cs="仿宋"/>
          <w:kern w:val="0"/>
          <w:sz w:val="32"/>
          <w:szCs w:val="32"/>
        </w:rPr>
        <w:t>深化安全责任体系建设，进一步压实企业主体责任，持续推进重点行业领域攻坚治理，强化风险隐患排查治理和双重预防机制建设，坚决防范遏制较大以上生产安全事故发生。加强食品安全监管，推动食品生产经营者建立健全食品安全追溯体系，深入推进食品小作坊规范提升行动。加强药品、化妆品、医疗器械安全监管</w:t>
      </w:r>
      <w:r>
        <w:rPr>
          <w:rFonts w:hint="eastAsia" w:ascii="仿宋" w:hAnsi="仿宋" w:eastAsia="仿宋" w:cs="仿宋"/>
          <w:bCs/>
          <w:kern w:val="0"/>
          <w:sz w:val="32"/>
          <w:szCs w:val="32"/>
        </w:rPr>
        <w:t>，切实保障公众用药用械用化安全有效。</w:t>
      </w:r>
    </w:p>
    <w:p>
      <w:pPr>
        <w:ind w:firstLine="640" w:firstLineChars="200"/>
        <w:rPr>
          <w:rFonts w:ascii="仿宋" w:hAnsi="仿宋" w:eastAsia="仿宋" w:cs="仿宋"/>
          <w:kern w:val="0"/>
          <w:sz w:val="32"/>
          <w:szCs w:val="32"/>
        </w:rPr>
      </w:pPr>
      <w:r>
        <w:rPr>
          <w:rFonts w:hint="eastAsia" w:ascii="仿宋" w:hAnsi="仿宋" w:eastAsia="仿宋" w:cs="宋体"/>
          <w:sz w:val="32"/>
        </w:rPr>
        <w:t>各位代表，</w:t>
      </w: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年是我</w:t>
      </w:r>
      <w:r>
        <w:rPr>
          <w:rFonts w:hint="eastAsia" w:ascii="仿宋" w:hAnsi="仿宋" w:eastAsia="仿宋"/>
          <w:sz w:val="32"/>
          <w:szCs w:val="32"/>
        </w:rPr>
        <w:t>区开始实施“十四五”规划、全面开启</w:t>
      </w:r>
      <w:r>
        <w:rPr>
          <w:rFonts w:ascii="仿宋" w:hAnsi="仿宋" w:eastAsia="仿宋"/>
          <w:sz w:val="32"/>
          <w:szCs w:val="32"/>
        </w:rPr>
        <w:t>建设社会主义现代化</w:t>
      </w:r>
      <w:r>
        <w:rPr>
          <w:rFonts w:hint="eastAsia" w:ascii="仿宋" w:hAnsi="仿宋" w:eastAsia="仿宋"/>
          <w:sz w:val="32"/>
          <w:szCs w:val="32"/>
          <w:lang w:eastAsia="zh-CN"/>
        </w:rPr>
        <w:t>国家</w:t>
      </w:r>
      <w:r>
        <w:rPr>
          <w:rFonts w:ascii="仿宋" w:hAnsi="仿宋" w:eastAsia="仿宋"/>
          <w:sz w:val="32"/>
          <w:szCs w:val="32"/>
        </w:rPr>
        <w:t>新征程</w:t>
      </w:r>
      <w:r>
        <w:rPr>
          <w:rFonts w:hint="eastAsia" w:ascii="仿宋" w:hAnsi="仿宋" w:eastAsia="仿宋"/>
          <w:sz w:val="32"/>
          <w:szCs w:val="32"/>
        </w:rPr>
        <w:t>的开局</w:t>
      </w:r>
      <w:r>
        <w:rPr>
          <w:rFonts w:ascii="仿宋" w:hAnsi="仿宋" w:eastAsia="仿宋"/>
          <w:sz w:val="32"/>
          <w:szCs w:val="32"/>
        </w:rPr>
        <w:t>之年，</w:t>
      </w:r>
      <w:r>
        <w:rPr>
          <w:rFonts w:hint="eastAsia" w:ascii="仿宋" w:hAnsi="仿宋" w:eastAsia="仿宋" w:cs="宋体"/>
          <w:sz w:val="32"/>
        </w:rPr>
        <w:t>我们将始终高举习近平新时代中国特色社会主义思想的伟大旗帜，在区委的领导下，自觉接受区人大和区政协监督，坚持生态优先、绿色发展，团结奋斗，锐意进取，努力创造浈江在韶关争当粤北生态发展区高质量发展排头兵中的新贡献！</w:t>
      </w:r>
    </w:p>
    <w:p>
      <w:pPr>
        <w:spacing w:line="600" w:lineRule="exact"/>
        <w:ind w:firstLine="640" w:firstLineChars="200"/>
        <w:rPr>
          <w:rFonts w:ascii="仿宋" w:hAnsi="仿宋" w:eastAsia="仿宋" w:cs="宋体"/>
          <w:sz w:val="32"/>
        </w:rPr>
      </w:pPr>
    </w:p>
    <w:p>
      <w:pPr>
        <w:spacing w:line="600" w:lineRule="exact"/>
        <w:ind w:firstLine="640" w:firstLineChars="200"/>
        <w:rPr>
          <w:rFonts w:ascii="仿宋" w:hAnsi="仿宋" w:eastAsia="仿宋" w:cs="宋体"/>
          <w:sz w:val="32"/>
        </w:rPr>
      </w:pPr>
      <w:r>
        <w:rPr>
          <w:rFonts w:hint="eastAsia" w:ascii="仿宋" w:hAnsi="仿宋" w:eastAsia="仿宋" w:cs="宋体"/>
          <w:sz w:val="32"/>
        </w:rPr>
        <w:t>附：1、韶关市浈江区2021年国民经济和社会发展主要</w:t>
      </w:r>
    </w:p>
    <w:p>
      <w:pPr>
        <w:spacing w:line="600" w:lineRule="exact"/>
        <w:ind w:left="567" w:leftChars="270" w:firstLine="640" w:firstLineChars="200"/>
        <w:rPr>
          <w:rFonts w:ascii="仿宋" w:hAnsi="仿宋" w:eastAsia="仿宋" w:cs="宋体"/>
          <w:sz w:val="32"/>
        </w:rPr>
      </w:pPr>
      <w:r>
        <w:rPr>
          <w:rFonts w:hint="eastAsia" w:ascii="仿宋" w:hAnsi="仿宋" w:eastAsia="仿宋" w:cs="宋体"/>
          <w:sz w:val="32"/>
        </w:rPr>
        <w:t>指标预期目标建议表（草案）</w:t>
      </w:r>
    </w:p>
    <w:p>
      <w:pPr>
        <w:spacing w:line="600" w:lineRule="exact"/>
        <w:ind w:firstLine="640" w:firstLineChars="200"/>
        <w:rPr>
          <w:rFonts w:ascii="仿宋" w:hAnsi="仿宋" w:eastAsia="仿宋" w:cs="宋体"/>
          <w:sz w:val="32"/>
        </w:rPr>
      </w:pPr>
      <w:r>
        <w:rPr>
          <w:rFonts w:hint="eastAsia" w:ascii="仿宋" w:hAnsi="仿宋" w:eastAsia="仿宋" w:cs="宋体"/>
          <w:sz w:val="32"/>
        </w:rPr>
        <w:t xml:space="preserve">    2、韶关市浈江区2021年重点建设项目规划表（草</w:t>
      </w:r>
    </w:p>
    <w:p>
      <w:pPr>
        <w:spacing w:line="600" w:lineRule="exact"/>
        <w:ind w:firstLine="1280" w:firstLineChars="400"/>
        <w:rPr>
          <w:rFonts w:ascii="仿宋" w:hAnsi="仿宋" w:eastAsia="仿宋" w:cs="宋体"/>
          <w:sz w:val="32"/>
        </w:rPr>
      </w:pPr>
      <w:r>
        <w:rPr>
          <w:rFonts w:hint="eastAsia" w:ascii="仿宋" w:hAnsi="仿宋" w:eastAsia="仿宋" w:cs="宋体"/>
          <w:sz w:val="32"/>
        </w:rPr>
        <w:t>案）</w:t>
      </w:r>
    </w:p>
    <w:p>
      <w:pPr>
        <w:spacing w:line="600" w:lineRule="exact"/>
        <w:ind w:firstLine="640" w:firstLineChars="200"/>
        <w:rPr>
          <w:rFonts w:ascii="仿宋" w:hAnsi="仿宋" w:eastAsia="仿宋" w:cs="宋体"/>
          <w:sz w:val="32"/>
        </w:rPr>
      </w:pPr>
      <w:r>
        <w:rPr>
          <w:rFonts w:hint="eastAsia" w:ascii="仿宋" w:hAnsi="仿宋" w:eastAsia="仿宋" w:cs="宋体"/>
          <w:sz w:val="32"/>
        </w:rPr>
        <w:t xml:space="preserve">   </w:t>
      </w:r>
      <w:r>
        <w:rPr>
          <w:rFonts w:ascii="仿宋" w:hAnsi="仿宋" w:eastAsia="仿宋" w:cs="宋体"/>
          <w:sz w:val="32"/>
        </w:rPr>
        <w:t xml:space="preserve"> </w:t>
      </w:r>
      <w:r>
        <w:rPr>
          <w:rFonts w:hint="eastAsia" w:ascii="仿宋" w:hAnsi="仿宋" w:eastAsia="仿宋" w:cs="宋体"/>
          <w:sz w:val="32"/>
        </w:rPr>
        <w:t>3、韶关市浈江区2021年重点前期项目规划表（草</w:t>
      </w:r>
    </w:p>
    <w:p>
      <w:pPr>
        <w:spacing w:line="600" w:lineRule="exact"/>
        <w:ind w:firstLine="1280" w:firstLineChars="400"/>
        <w:rPr>
          <w:rFonts w:ascii="仿宋" w:hAnsi="仿宋" w:eastAsia="仿宋" w:cs="宋体"/>
          <w:sz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宋体"/>
          <w:sz w:val="32"/>
        </w:rPr>
        <w:t>案）</w:t>
      </w:r>
    </w:p>
    <w:p>
      <w:pPr>
        <w:spacing w:line="400" w:lineRule="exact"/>
        <w:jc w:val="left"/>
        <w:textAlignment w:val="baseline"/>
        <w:rPr>
          <w:rFonts w:ascii="宋体" w:hAnsi="宋体" w:eastAsia="宋体" w:cs="Times New Roman"/>
          <w:color w:val="000000"/>
          <w:kern w:val="0"/>
          <w:sz w:val="24"/>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737034"/>
    </w:sdtPr>
    <w:sdtContent>
      <w:p>
        <w:pPr>
          <w:pStyle w:val="3"/>
          <w:jc w:val="cente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wYTdlNWY5Y2NiMmMyYzE0MWUzM2JmYzk4MzNkYWEifQ=="/>
  </w:docVars>
  <w:rsids>
    <w:rsidRoot w:val="002E277A"/>
    <w:rsid w:val="000006AF"/>
    <w:rsid w:val="00017136"/>
    <w:rsid w:val="00020DD7"/>
    <w:rsid w:val="00023DF2"/>
    <w:rsid w:val="0003324F"/>
    <w:rsid w:val="00057EE2"/>
    <w:rsid w:val="00067005"/>
    <w:rsid w:val="0007244B"/>
    <w:rsid w:val="00073217"/>
    <w:rsid w:val="00083836"/>
    <w:rsid w:val="00091D4C"/>
    <w:rsid w:val="00091FA8"/>
    <w:rsid w:val="00096551"/>
    <w:rsid w:val="0009722A"/>
    <w:rsid w:val="000A72E4"/>
    <w:rsid w:val="000B390D"/>
    <w:rsid w:val="000C2F80"/>
    <w:rsid w:val="000C5B29"/>
    <w:rsid w:val="000D1999"/>
    <w:rsid w:val="000E2357"/>
    <w:rsid w:val="000E59F1"/>
    <w:rsid w:val="000E623B"/>
    <w:rsid w:val="000E68F1"/>
    <w:rsid w:val="000F3678"/>
    <w:rsid w:val="000F76CB"/>
    <w:rsid w:val="00101AF4"/>
    <w:rsid w:val="00102FF6"/>
    <w:rsid w:val="001035C1"/>
    <w:rsid w:val="00110794"/>
    <w:rsid w:val="0011515E"/>
    <w:rsid w:val="0011781B"/>
    <w:rsid w:val="00123AF7"/>
    <w:rsid w:val="00125E0F"/>
    <w:rsid w:val="00126EDD"/>
    <w:rsid w:val="001320CB"/>
    <w:rsid w:val="0013302E"/>
    <w:rsid w:val="001369B4"/>
    <w:rsid w:val="00137196"/>
    <w:rsid w:val="00142B4B"/>
    <w:rsid w:val="00152665"/>
    <w:rsid w:val="0015277C"/>
    <w:rsid w:val="0015362F"/>
    <w:rsid w:val="001545D2"/>
    <w:rsid w:val="00161D14"/>
    <w:rsid w:val="001669EA"/>
    <w:rsid w:val="00166F31"/>
    <w:rsid w:val="00167330"/>
    <w:rsid w:val="00170F0A"/>
    <w:rsid w:val="00171E3D"/>
    <w:rsid w:val="00180F56"/>
    <w:rsid w:val="0018148F"/>
    <w:rsid w:val="001850E9"/>
    <w:rsid w:val="00195D6C"/>
    <w:rsid w:val="001967E7"/>
    <w:rsid w:val="00196B33"/>
    <w:rsid w:val="0019771A"/>
    <w:rsid w:val="001A0BF1"/>
    <w:rsid w:val="001A0FCF"/>
    <w:rsid w:val="001A10D5"/>
    <w:rsid w:val="001A6F4B"/>
    <w:rsid w:val="001A765C"/>
    <w:rsid w:val="001B0FD1"/>
    <w:rsid w:val="001B16B2"/>
    <w:rsid w:val="001B6A73"/>
    <w:rsid w:val="001C1102"/>
    <w:rsid w:val="001C5D98"/>
    <w:rsid w:val="001C6FB8"/>
    <w:rsid w:val="001C76F2"/>
    <w:rsid w:val="001C7A86"/>
    <w:rsid w:val="001D0DF3"/>
    <w:rsid w:val="001D442A"/>
    <w:rsid w:val="001D51CC"/>
    <w:rsid w:val="001E03D8"/>
    <w:rsid w:val="001E119F"/>
    <w:rsid w:val="001E4343"/>
    <w:rsid w:val="001F1F3E"/>
    <w:rsid w:val="001F251B"/>
    <w:rsid w:val="001F2C3C"/>
    <w:rsid w:val="001F2EFA"/>
    <w:rsid w:val="001F2F26"/>
    <w:rsid w:val="001F4A46"/>
    <w:rsid w:val="001F4A94"/>
    <w:rsid w:val="001F553B"/>
    <w:rsid w:val="00201784"/>
    <w:rsid w:val="00204339"/>
    <w:rsid w:val="00204F0C"/>
    <w:rsid w:val="00207C63"/>
    <w:rsid w:val="00212F4E"/>
    <w:rsid w:val="00213E92"/>
    <w:rsid w:val="0022536A"/>
    <w:rsid w:val="002340CC"/>
    <w:rsid w:val="002364AF"/>
    <w:rsid w:val="00236A06"/>
    <w:rsid w:val="00241494"/>
    <w:rsid w:val="002447CA"/>
    <w:rsid w:val="0024767A"/>
    <w:rsid w:val="002479CA"/>
    <w:rsid w:val="00253DB6"/>
    <w:rsid w:val="00256C5A"/>
    <w:rsid w:val="00257A64"/>
    <w:rsid w:val="0026234C"/>
    <w:rsid w:val="00267233"/>
    <w:rsid w:val="00282A60"/>
    <w:rsid w:val="00283FD2"/>
    <w:rsid w:val="002850A5"/>
    <w:rsid w:val="00287EA7"/>
    <w:rsid w:val="00293FF0"/>
    <w:rsid w:val="00294027"/>
    <w:rsid w:val="0029500E"/>
    <w:rsid w:val="002A0ECE"/>
    <w:rsid w:val="002A1C1C"/>
    <w:rsid w:val="002A4552"/>
    <w:rsid w:val="002B0D37"/>
    <w:rsid w:val="002B10F0"/>
    <w:rsid w:val="002B7C4E"/>
    <w:rsid w:val="002C1F4B"/>
    <w:rsid w:val="002C48BB"/>
    <w:rsid w:val="002C5580"/>
    <w:rsid w:val="002C5A69"/>
    <w:rsid w:val="002D2F58"/>
    <w:rsid w:val="002D621C"/>
    <w:rsid w:val="002D64D0"/>
    <w:rsid w:val="002E277A"/>
    <w:rsid w:val="002F609E"/>
    <w:rsid w:val="002F7554"/>
    <w:rsid w:val="00300F48"/>
    <w:rsid w:val="00301D90"/>
    <w:rsid w:val="00310EC9"/>
    <w:rsid w:val="00315F26"/>
    <w:rsid w:val="003214CF"/>
    <w:rsid w:val="0032620C"/>
    <w:rsid w:val="003348CD"/>
    <w:rsid w:val="00336B3B"/>
    <w:rsid w:val="00336D67"/>
    <w:rsid w:val="0034251E"/>
    <w:rsid w:val="0035791F"/>
    <w:rsid w:val="00362343"/>
    <w:rsid w:val="00372D5E"/>
    <w:rsid w:val="00373668"/>
    <w:rsid w:val="00383820"/>
    <w:rsid w:val="00385CA2"/>
    <w:rsid w:val="0039476F"/>
    <w:rsid w:val="00395F8B"/>
    <w:rsid w:val="003A4D64"/>
    <w:rsid w:val="003A54FF"/>
    <w:rsid w:val="003B0BE3"/>
    <w:rsid w:val="003B3F54"/>
    <w:rsid w:val="003B67EE"/>
    <w:rsid w:val="003B694D"/>
    <w:rsid w:val="003B7690"/>
    <w:rsid w:val="003C0513"/>
    <w:rsid w:val="003C34DC"/>
    <w:rsid w:val="003C399E"/>
    <w:rsid w:val="003C60CB"/>
    <w:rsid w:val="003D018D"/>
    <w:rsid w:val="003D4F2D"/>
    <w:rsid w:val="003E6866"/>
    <w:rsid w:val="003F65D1"/>
    <w:rsid w:val="0040630A"/>
    <w:rsid w:val="0041061A"/>
    <w:rsid w:val="00417030"/>
    <w:rsid w:val="0041719D"/>
    <w:rsid w:val="004211AB"/>
    <w:rsid w:val="00423EED"/>
    <w:rsid w:val="0042505B"/>
    <w:rsid w:val="00431944"/>
    <w:rsid w:val="0043371C"/>
    <w:rsid w:val="00437F35"/>
    <w:rsid w:val="0044419B"/>
    <w:rsid w:val="00451034"/>
    <w:rsid w:val="00451585"/>
    <w:rsid w:val="0045399C"/>
    <w:rsid w:val="004610C1"/>
    <w:rsid w:val="00461E4F"/>
    <w:rsid w:val="00462353"/>
    <w:rsid w:val="004641E0"/>
    <w:rsid w:val="004708CE"/>
    <w:rsid w:val="0048618A"/>
    <w:rsid w:val="00487539"/>
    <w:rsid w:val="0049381E"/>
    <w:rsid w:val="00496C87"/>
    <w:rsid w:val="004A0EF1"/>
    <w:rsid w:val="004A4CBF"/>
    <w:rsid w:val="004A54AF"/>
    <w:rsid w:val="004A612A"/>
    <w:rsid w:val="004A7CAC"/>
    <w:rsid w:val="004C2885"/>
    <w:rsid w:val="004C3F72"/>
    <w:rsid w:val="004C553B"/>
    <w:rsid w:val="004C6245"/>
    <w:rsid w:val="004D6473"/>
    <w:rsid w:val="004D6E4E"/>
    <w:rsid w:val="004E083C"/>
    <w:rsid w:val="004E2245"/>
    <w:rsid w:val="004E23F1"/>
    <w:rsid w:val="004E63E6"/>
    <w:rsid w:val="004F1FD7"/>
    <w:rsid w:val="004F4769"/>
    <w:rsid w:val="004F4ECA"/>
    <w:rsid w:val="004F5171"/>
    <w:rsid w:val="0050045B"/>
    <w:rsid w:val="005004A7"/>
    <w:rsid w:val="00503DEB"/>
    <w:rsid w:val="00505A74"/>
    <w:rsid w:val="00511296"/>
    <w:rsid w:val="0051177D"/>
    <w:rsid w:val="005126AA"/>
    <w:rsid w:val="00526082"/>
    <w:rsid w:val="00527F0D"/>
    <w:rsid w:val="00532AB3"/>
    <w:rsid w:val="00533AA7"/>
    <w:rsid w:val="00533B5A"/>
    <w:rsid w:val="00533EAE"/>
    <w:rsid w:val="005359A0"/>
    <w:rsid w:val="00541549"/>
    <w:rsid w:val="00541A1D"/>
    <w:rsid w:val="00547DA0"/>
    <w:rsid w:val="005500C2"/>
    <w:rsid w:val="005610AB"/>
    <w:rsid w:val="00564CD3"/>
    <w:rsid w:val="00565B38"/>
    <w:rsid w:val="00566607"/>
    <w:rsid w:val="00574A65"/>
    <w:rsid w:val="005847B6"/>
    <w:rsid w:val="0059274D"/>
    <w:rsid w:val="00593970"/>
    <w:rsid w:val="00594996"/>
    <w:rsid w:val="00596E94"/>
    <w:rsid w:val="00597A03"/>
    <w:rsid w:val="005A0D2F"/>
    <w:rsid w:val="005A3820"/>
    <w:rsid w:val="005A41AC"/>
    <w:rsid w:val="005C3960"/>
    <w:rsid w:val="005C561C"/>
    <w:rsid w:val="005C7916"/>
    <w:rsid w:val="005E0673"/>
    <w:rsid w:val="005E5CF9"/>
    <w:rsid w:val="005F0AB6"/>
    <w:rsid w:val="005F5812"/>
    <w:rsid w:val="005F6546"/>
    <w:rsid w:val="005F75AC"/>
    <w:rsid w:val="00604318"/>
    <w:rsid w:val="006076B1"/>
    <w:rsid w:val="00611154"/>
    <w:rsid w:val="00612B61"/>
    <w:rsid w:val="00614643"/>
    <w:rsid w:val="006177E9"/>
    <w:rsid w:val="00621682"/>
    <w:rsid w:val="006253F7"/>
    <w:rsid w:val="00633F46"/>
    <w:rsid w:val="00634930"/>
    <w:rsid w:val="00636BCC"/>
    <w:rsid w:val="00636D35"/>
    <w:rsid w:val="00657924"/>
    <w:rsid w:val="0066241F"/>
    <w:rsid w:val="00662673"/>
    <w:rsid w:val="00662804"/>
    <w:rsid w:val="006628BC"/>
    <w:rsid w:val="0066417E"/>
    <w:rsid w:val="00665F8F"/>
    <w:rsid w:val="0067508D"/>
    <w:rsid w:val="00681720"/>
    <w:rsid w:val="00681EFA"/>
    <w:rsid w:val="00683970"/>
    <w:rsid w:val="00685920"/>
    <w:rsid w:val="00685964"/>
    <w:rsid w:val="00686F5D"/>
    <w:rsid w:val="006906FC"/>
    <w:rsid w:val="006936C0"/>
    <w:rsid w:val="00695D4D"/>
    <w:rsid w:val="006A0B56"/>
    <w:rsid w:val="006A26D3"/>
    <w:rsid w:val="006A78CC"/>
    <w:rsid w:val="006B0BCB"/>
    <w:rsid w:val="006C22EA"/>
    <w:rsid w:val="006C4E14"/>
    <w:rsid w:val="006D448D"/>
    <w:rsid w:val="006E4DC3"/>
    <w:rsid w:val="006E7662"/>
    <w:rsid w:val="006E7F41"/>
    <w:rsid w:val="006F014B"/>
    <w:rsid w:val="0070022E"/>
    <w:rsid w:val="00704DFF"/>
    <w:rsid w:val="00716FA4"/>
    <w:rsid w:val="007233BF"/>
    <w:rsid w:val="0072518A"/>
    <w:rsid w:val="00725C5D"/>
    <w:rsid w:val="00730A67"/>
    <w:rsid w:val="00731998"/>
    <w:rsid w:val="00740302"/>
    <w:rsid w:val="00745C81"/>
    <w:rsid w:val="007479D4"/>
    <w:rsid w:val="00750574"/>
    <w:rsid w:val="007539CE"/>
    <w:rsid w:val="00754E23"/>
    <w:rsid w:val="007566F4"/>
    <w:rsid w:val="0077541B"/>
    <w:rsid w:val="00776B8A"/>
    <w:rsid w:val="00786C01"/>
    <w:rsid w:val="00796117"/>
    <w:rsid w:val="007962F6"/>
    <w:rsid w:val="00797F23"/>
    <w:rsid w:val="007A6335"/>
    <w:rsid w:val="007A730B"/>
    <w:rsid w:val="007A7DE2"/>
    <w:rsid w:val="007B04B9"/>
    <w:rsid w:val="007B71F0"/>
    <w:rsid w:val="007B7507"/>
    <w:rsid w:val="007C5B04"/>
    <w:rsid w:val="007D3F26"/>
    <w:rsid w:val="007D715E"/>
    <w:rsid w:val="007E1DCC"/>
    <w:rsid w:val="007E54E8"/>
    <w:rsid w:val="007E6CD0"/>
    <w:rsid w:val="007F3DEE"/>
    <w:rsid w:val="00801997"/>
    <w:rsid w:val="00803865"/>
    <w:rsid w:val="008075FB"/>
    <w:rsid w:val="0081049D"/>
    <w:rsid w:val="00820FAF"/>
    <w:rsid w:val="00833A87"/>
    <w:rsid w:val="00834235"/>
    <w:rsid w:val="008361F9"/>
    <w:rsid w:val="00840BA9"/>
    <w:rsid w:val="00844EA6"/>
    <w:rsid w:val="00844FBA"/>
    <w:rsid w:val="00862ADC"/>
    <w:rsid w:val="0086314E"/>
    <w:rsid w:val="0087150B"/>
    <w:rsid w:val="008742DC"/>
    <w:rsid w:val="00883599"/>
    <w:rsid w:val="008838B5"/>
    <w:rsid w:val="008905AE"/>
    <w:rsid w:val="0089413F"/>
    <w:rsid w:val="008A21C1"/>
    <w:rsid w:val="008B56F6"/>
    <w:rsid w:val="008C247B"/>
    <w:rsid w:val="008D5813"/>
    <w:rsid w:val="008E1B7E"/>
    <w:rsid w:val="008E3DCB"/>
    <w:rsid w:val="008E5BD9"/>
    <w:rsid w:val="008E63B4"/>
    <w:rsid w:val="008F1F73"/>
    <w:rsid w:val="008F27F3"/>
    <w:rsid w:val="0090004F"/>
    <w:rsid w:val="00900147"/>
    <w:rsid w:val="00912CE1"/>
    <w:rsid w:val="009246A6"/>
    <w:rsid w:val="0093173C"/>
    <w:rsid w:val="00932012"/>
    <w:rsid w:val="009331E3"/>
    <w:rsid w:val="0093701E"/>
    <w:rsid w:val="00947216"/>
    <w:rsid w:val="00950406"/>
    <w:rsid w:val="009505ED"/>
    <w:rsid w:val="00957434"/>
    <w:rsid w:val="009624B8"/>
    <w:rsid w:val="00964259"/>
    <w:rsid w:val="009730BA"/>
    <w:rsid w:val="00974B9A"/>
    <w:rsid w:val="009759C2"/>
    <w:rsid w:val="00992937"/>
    <w:rsid w:val="009972F0"/>
    <w:rsid w:val="009A0E49"/>
    <w:rsid w:val="009A42F0"/>
    <w:rsid w:val="009A46E4"/>
    <w:rsid w:val="009A6096"/>
    <w:rsid w:val="009A6BB1"/>
    <w:rsid w:val="009B2DFE"/>
    <w:rsid w:val="009B2E68"/>
    <w:rsid w:val="009B3B82"/>
    <w:rsid w:val="009B4487"/>
    <w:rsid w:val="009C1B1B"/>
    <w:rsid w:val="009D135B"/>
    <w:rsid w:val="009D560B"/>
    <w:rsid w:val="009D56EE"/>
    <w:rsid w:val="009D6BBC"/>
    <w:rsid w:val="009E00BD"/>
    <w:rsid w:val="009E4CDD"/>
    <w:rsid w:val="009E7782"/>
    <w:rsid w:val="009F0FB3"/>
    <w:rsid w:val="009F3C6A"/>
    <w:rsid w:val="00A022E8"/>
    <w:rsid w:val="00A04968"/>
    <w:rsid w:val="00A06170"/>
    <w:rsid w:val="00A07E56"/>
    <w:rsid w:val="00A11571"/>
    <w:rsid w:val="00A13732"/>
    <w:rsid w:val="00A13E56"/>
    <w:rsid w:val="00A20F7B"/>
    <w:rsid w:val="00A27177"/>
    <w:rsid w:val="00A30C64"/>
    <w:rsid w:val="00A31970"/>
    <w:rsid w:val="00A32BAD"/>
    <w:rsid w:val="00A460AF"/>
    <w:rsid w:val="00A46511"/>
    <w:rsid w:val="00A46C35"/>
    <w:rsid w:val="00A50F22"/>
    <w:rsid w:val="00A51114"/>
    <w:rsid w:val="00A55941"/>
    <w:rsid w:val="00A62DA4"/>
    <w:rsid w:val="00A63E7C"/>
    <w:rsid w:val="00A64405"/>
    <w:rsid w:val="00A66150"/>
    <w:rsid w:val="00A66186"/>
    <w:rsid w:val="00A67DA7"/>
    <w:rsid w:val="00A743B4"/>
    <w:rsid w:val="00A74669"/>
    <w:rsid w:val="00A92FC8"/>
    <w:rsid w:val="00A9423B"/>
    <w:rsid w:val="00A95D3E"/>
    <w:rsid w:val="00AA0796"/>
    <w:rsid w:val="00AA532F"/>
    <w:rsid w:val="00AA7A2D"/>
    <w:rsid w:val="00AB3722"/>
    <w:rsid w:val="00AB3A9F"/>
    <w:rsid w:val="00AC39FE"/>
    <w:rsid w:val="00AD0D3B"/>
    <w:rsid w:val="00AD586B"/>
    <w:rsid w:val="00AD79B1"/>
    <w:rsid w:val="00AE2DAE"/>
    <w:rsid w:val="00AE527C"/>
    <w:rsid w:val="00AE59EC"/>
    <w:rsid w:val="00AE7205"/>
    <w:rsid w:val="00AE7653"/>
    <w:rsid w:val="00B01EEF"/>
    <w:rsid w:val="00B06F6A"/>
    <w:rsid w:val="00B14FD7"/>
    <w:rsid w:val="00B16FCA"/>
    <w:rsid w:val="00B17F72"/>
    <w:rsid w:val="00B17FCF"/>
    <w:rsid w:val="00B30342"/>
    <w:rsid w:val="00B30D3B"/>
    <w:rsid w:val="00B37682"/>
    <w:rsid w:val="00B4152F"/>
    <w:rsid w:val="00B41DB0"/>
    <w:rsid w:val="00B422C0"/>
    <w:rsid w:val="00B509F6"/>
    <w:rsid w:val="00B50ADA"/>
    <w:rsid w:val="00B5188D"/>
    <w:rsid w:val="00B52D09"/>
    <w:rsid w:val="00B60566"/>
    <w:rsid w:val="00B64F38"/>
    <w:rsid w:val="00B65F1E"/>
    <w:rsid w:val="00B72E9C"/>
    <w:rsid w:val="00B801B8"/>
    <w:rsid w:val="00B8490B"/>
    <w:rsid w:val="00B91064"/>
    <w:rsid w:val="00B94F21"/>
    <w:rsid w:val="00BA0898"/>
    <w:rsid w:val="00BA0EC7"/>
    <w:rsid w:val="00BA4665"/>
    <w:rsid w:val="00BA47AB"/>
    <w:rsid w:val="00BA6B32"/>
    <w:rsid w:val="00BA6C61"/>
    <w:rsid w:val="00BA79D2"/>
    <w:rsid w:val="00BA7C85"/>
    <w:rsid w:val="00BB1DE5"/>
    <w:rsid w:val="00BC04CE"/>
    <w:rsid w:val="00BC107A"/>
    <w:rsid w:val="00BC27A8"/>
    <w:rsid w:val="00BD57E0"/>
    <w:rsid w:val="00BD5CF9"/>
    <w:rsid w:val="00BE348A"/>
    <w:rsid w:val="00BE4142"/>
    <w:rsid w:val="00BF08D8"/>
    <w:rsid w:val="00BF69E3"/>
    <w:rsid w:val="00C01D79"/>
    <w:rsid w:val="00C03A35"/>
    <w:rsid w:val="00C041A2"/>
    <w:rsid w:val="00C06782"/>
    <w:rsid w:val="00C10851"/>
    <w:rsid w:val="00C117E1"/>
    <w:rsid w:val="00C13F99"/>
    <w:rsid w:val="00C14603"/>
    <w:rsid w:val="00C1622A"/>
    <w:rsid w:val="00C2384F"/>
    <w:rsid w:val="00C34616"/>
    <w:rsid w:val="00C37330"/>
    <w:rsid w:val="00C46B76"/>
    <w:rsid w:val="00C52D47"/>
    <w:rsid w:val="00C60BF9"/>
    <w:rsid w:val="00C612D5"/>
    <w:rsid w:val="00C74DBD"/>
    <w:rsid w:val="00C83AA9"/>
    <w:rsid w:val="00C93E76"/>
    <w:rsid w:val="00C95CD7"/>
    <w:rsid w:val="00CA2812"/>
    <w:rsid w:val="00CA50C7"/>
    <w:rsid w:val="00CA6325"/>
    <w:rsid w:val="00CA6767"/>
    <w:rsid w:val="00CB0516"/>
    <w:rsid w:val="00CB5A2C"/>
    <w:rsid w:val="00CC01C0"/>
    <w:rsid w:val="00CC626F"/>
    <w:rsid w:val="00CD0E70"/>
    <w:rsid w:val="00CD32C2"/>
    <w:rsid w:val="00CD533C"/>
    <w:rsid w:val="00CD592C"/>
    <w:rsid w:val="00CE6D18"/>
    <w:rsid w:val="00CF117F"/>
    <w:rsid w:val="00D02B4C"/>
    <w:rsid w:val="00D04C3C"/>
    <w:rsid w:val="00D10064"/>
    <w:rsid w:val="00D10A74"/>
    <w:rsid w:val="00D13920"/>
    <w:rsid w:val="00D15B5F"/>
    <w:rsid w:val="00D23AC1"/>
    <w:rsid w:val="00D2722F"/>
    <w:rsid w:val="00D27CCA"/>
    <w:rsid w:val="00D3023A"/>
    <w:rsid w:val="00D3144C"/>
    <w:rsid w:val="00D3311D"/>
    <w:rsid w:val="00D466DC"/>
    <w:rsid w:val="00D56940"/>
    <w:rsid w:val="00D709A2"/>
    <w:rsid w:val="00D80794"/>
    <w:rsid w:val="00D93F59"/>
    <w:rsid w:val="00D94CA5"/>
    <w:rsid w:val="00D97956"/>
    <w:rsid w:val="00DA2095"/>
    <w:rsid w:val="00DA412A"/>
    <w:rsid w:val="00DA546A"/>
    <w:rsid w:val="00DB217D"/>
    <w:rsid w:val="00DB36DE"/>
    <w:rsid w:val="00DB3C8D"/>
    <w:rsid w:val="00DB5BD7"/>
    <w:rsid w:val="00DC52D2"/>
    <w:rsid w:val="00DC7254"/>
    <w:rsid w:val="00DC7C57"/>
    <w:rsid w:val="00DD1D55"/>
    <w:rsid w:val="00DD33D6"/>
    <w:rsid w:val="00DE25E2"/>
    <w:rsid w:val="00DE2F21"/>
    <w:rsid w:val="00DE49DE"/>
    <w:rsid w:val="00DE4A6D"/>
    <w:rsid w:val="00DE63AE"/>
    <w:rsid w:val="00DE7F31"/>
    <w:rsid w:val="00DF0394"/>
    <w:rsid w:val="00DF2A52"/>
    <w:rsid w:val="00E0199D"/>
    <w:rsid w:val="00E1189F"/>
    <w:rsid w:val="00E24101"/>
    <w:rsid w:val="00E26FCD"/>
    <w:rsid w:val="00E30933"/>
    <w:rsid w:val="00E31B6E"/>
    <w:rsid w:val="00E3322C"/>
    <w:rsid w:val="00E3401A"/>
    <w:rsid w:val="00E434DD"/>
    <w:rsid w:val="00E44628"/>
    <w:rsid w:val="00E5510A"/>
    <w:rsid w:val="00E60986"/>
    <w:rsid w:val="00E63812"/>
    <w:rsid w:val="00E665E4"/>
    <w:rsid w:val="00E67D59"/>
    <w:rsid w:val="00E732F8"/>
    <w:rsid w:val="00E80500"/>
    <w:rsid w:val="00E81886"/>
    <w:rsid w:val="00E86B80"/>
    <w:rsid w:val="00E876CD"/>
    <w:rsid w:val="00E91074"/>
    <w:rsid w:val="00E94137"/>
    <w:rsid w:val="00EA0BC3"/>
    <w:rsid w:val="00EA4FE6"/>
    <w:rsid w:val="00EA6B69"/>
    <w:rsid w:val="00EA7EF9"/>
    <w:rsid w:val="00EB6473"/>
    <w:rsid w:val="00EC3043"/>
    <w:rsid w:val="00ED1CB3"/>
    <w:rsid w:val="00ED3EE0"/>
    <w:rsid w:val="00EE2750"/>
    <w:rsid w:val="00EE2FDF"/>
    <w:rsid w:val="00EF1493"/>
    <w:rsid w:val="00EF5C6B"/>
    <w:rsid w:val="00F0028B"/>
    <w:rsid w:val="00F025C0"/>
    <w:rsid w:val="00F03B3C"/>
    <w:rsid w:val="00F1696A"/>
    <w:rsid w:val="00F16D4C"/>
    <w:rsid w:val="00F210DE"/>
    <w:rsid w:val="00F3132A"/>
    <w:rsid w:val="00F341F3"/>
    <w:rsid w:val="00F37C5A"/>
    <w:rsid w:val="00F42B44"/>
    <w:rsid w:val="00F444D0"/>
    <w:rsid w:val="00F50F85"/>
    <w:rsid w:val="00F56A83"/>
    <w:rsid w:val="00F607DC"/>
    <w:rsid w:val="00F610DA"/>
    <w:rsid w:val="00F67C1C"/>
    <w:rsid w:val="00F71B83"/>
    <w:rsid w:val="00F84298"/>
    <w:rsid w:val="00F86776"/>
    <w:rsid w:val="00F87A73"/>
    <w:rsid w:val="00F91377"/>
    <w:rsid w:val="00F94AD5"/>
    <w:rsid w:val="00FA2F9A"/>
    <w:rsid w:val="00FB26B1"/>
    <w:rsid w:val="00FC0AA1"/>
    <w:rsid w:val="00FC4A84"/>
    <w:rsid w:val="00FD0700"/>
    <w:rsid w:val="00FD0A09"/>
    <w:rsid w:val="00FD1866"/>
    <w:rsid w:val="00FD2B50"/>
    <w:rsid w:val="00FD699B"/>
    <w:rsid w:val="00FE03BF"/>
    <w:rsid w:val="00FE069B"/>
    <w:rsid w:val="00FE10AD"/>
    <w:rsid w:val="00FE1F52"/>
    <w:rsid w:val="00FE487E"/>
    <w:rsid w:val="00FF3B99"/>
    <w:rsid w:val="00FF4683"/>
    <w:rsid w:val="00FF6325"/>
    <w:rsid w:val="00FF7CAE"/>
    <w:rsid w:val="093470A3"/>
    <w:rsid w:val="1C3477FC"/>
    <w:rsid w:val="50064AA7"/>
    <w:rsid w:val="5CF47639"/>
    <w:rsid w:val="5D0113B8"/>
    <w:rsid w:val="5E7E789F"/>
    <w:rsid w:val="60DD22B3"/>
    <w:rsid w:val="626C71C0"/>
    <w:rsid w:val="6A333C30"/>
    <w:rsid w:val="7F287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7101;&#26133;&#24208;&#30340;&#26448;&#26009;\&#38902;&#20851;&#24066;&#27976;&#27743;&#21306;2020&#24180;&#22269;&#27665;&#32463;&#27982;&#21644;&#31038;&#20250;&#21457;&#23637;%20&#35745;&#21010;&#25191;&#34892;&#24773;&#20917;&#19982;2021&#24180;&#35745;&#21010;&#33609;&#26696;&#30340;&#25253;&#21578;\&#38468;&#20214;\&#22270;&#26631;&#22522;&#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7101;&#26133;&#24208;&#30340;&#26448;&#26009;\&#38902;&#20851;&#24066;&#27976;&#27743;&#21306;2020&#24180;&#22269;&#27665;&#32463;&#27982;&#21644;&#31038;&#20250;&#21457;&#23637;%20&#35745;&#21010;&#25191;&#34892;&#24773;&#20917;&#19982;2021&#24180;&#35745;&#21010;&#33609;&#26696;&#30340;&#25253;&#21578;\&#38468;&#20214;\&#22270;&#26631;&#2252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Sheet1!$A$36</c:f>
              <c:strCache>
                <c:ptCount val="1"/>
                <c:pt idx="0">
                  <c:v>增加值（亿元）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Sheet1!$B$35:$I$35</c:f>
              <c:strCache>
                <c:ptCount val="8"/>
                <c:pt idx="0">
                  <c:v>地区生产总值</c:v>
                </c:pt>
                <c:pt idx="1">
                  <c:v>第一产业增加值</c:v>
                </c:pt>
                <c:pt idx="2">
                  <c:v>第二产业增加值</c:v>
                </c:pt>
                <c:pt idx="3">
                  <c:v>第三产业增加值</c:v>
                </c:pt>
                <c:pt idx="4">
                  <c:v>社会消费品零售总额</c:v>
                </c:pt>
                <c:pt idx="5">
                  <c:v>固定资产投资</c:v>
                </c:pt>
                <c:pt idx="6">
                  <c:v>工业增加值</c:v>
                </c:pt>
                <c:pt idx="7">
                  <c:v>一般公共预算收入</c:v>
                </c:pt>
              </c:strCache>
            </c:strRef>
          </c:cat>
          <c:val>
            <c:numRef>
              <c:f>Sheet1!$B$36:$I$36</c:f>
              <c:numCache>
                <c:formatCode>General</c:formatCode>
                <c:ptCount val="8"/>
                <c:pt idx="0">
                  <c:v>194.3</c:v>
                </c:pt>
                <c:pt idx="1">
                  <c:v>8.13</c:v>
                </c:pt>
                <c:pt idx="2">
                  <c:v>52.13</c:v>
                </c:pt>
                <c:pt idx="3">
                  <c:v>134.03</c:v>
                </c:pt>
                <c:pt idx="4">
                  <c:v>115.53</c:v>
                </c:pt>
                <c:pt idx="5">
                  <c:v>57.55</c:v>
                </c:pt>
                <c:pt idx="6">
                  <c:v>32.01</c:v>
                </c:pt>
                <c:pt idx="7">
                  <c:v>4.45</c:v>
                </c:pt>
              </c:numCache>
            </c:numRef>
          </c:val>
        </c:ser>
        <c:dLbls>
          <c:showLegendKey val="0"/>
          <c:showVal val="1"/>
          <c:showCatName val="0"/>
          <c:showSerName val="0"/>
          <c:showPercent val="0"/>
          <c:showBubbleSize val="0"/>
        </c:dLbls>
        <c:gapWidth val="75"/>
        <c:axId val="131576960"/>
        <c:axId val="132806144"/>
      </c:barChart>
      <c:catAx>
        <c:axId val="131576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32806144"/>
        <c:crosses val="autoZero"/>
        <c:auto val="1"/>
        <c:lblAlgn val="ctr"/>
        <c:lblOffset val="100"/>
        <c:noMultiLvlLbl val="0"/>
      </c:catAx>
      <c:valAx>
        <c:axId val="132806144"/>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576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规上工业增加值（亿元）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Sheet1!$B$2:$L$2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Sheet1!$B$3:$L$3</c:f>
              <c:numCache>
                <c:formatCode>General</c:formatCode>
                <c:ptCount val="11"/>
                <c:pt idx="0">
                  <c:v>3.2</c:v>
                </c:pt>
                <c:pt idx="1">
                  <c:v>5</c:v>
                </c:pt>
                <c:pt idx="2">
                  <c:v>7</c:v>
                </c:pt>
                <c:pt idx="3">
                  <c:v>9.3</c:v>
                </c:pt>
                <c:pt idx="4">
                  <c:v>11.7</c:v>
                </c:pt>
                <c:pt idx="5">
                  <c:v>14.2</c:v>
                </c:pt>
                <c:pt idx="6">
                  <c:v>17.1</c:v>
                </c:pt>
                <c:pt idx="7">
                  <c:v>19.6</c:v>
                </c:pt>
                <c:pt idx="8">
                  <c:v>21.9</c:v>
                </c:pt>
                <c:pt idx="9">
                  <c:v>24.9</c:v>
                </c:pt>
                <c:pt idx="10">
                  <c:v>27.9</c:v>
                </c:pt>
              </c:numCache>
            </c:numRef>
          </c:val>
        </c:ser>
        <c:dLbls>
          <c:showLegendKey val="0"/>
          <c:showVal val="1"/>
          <c:showCatName val="0"/>
          <c:showSerName val="0"/>
          <c:showPercent val="0"/>
          <c:showBubbleSize val="0"/>
        </c:dLbls>
        <c:gapWidth val="75"/>
        <c:axId val="132249472"/>
        <c:axId val="132251008"/>
      </c:barChart>
      <c:lineChart>
        <c:grouping val="standard"/>
        <c:varyColors val="0"/>
        <c:ser>
          <c:idx val="1"/>
          <c:order val="1"/>
          <c:tx>
            <c:strRef>
              <c:f>Sheet1!$A$4</c:f>
              <c:strCache>
                <c:ptCount val="1"/>
                <c:pt idx="0">
                  <c:v>同比增长率（%）</c:v>
                </c:pt>
              </c:strCache>
            </c:strRef>
          </c:tx>
          <c:spPr>
            <a:ln w="28575" cap="rnd" cmpd="sng" algn="ctr">
              <a:solidFill>
                <a:schemeClr val="accent2"/>
              </a:solidFill>
              <a:prstDash val="solid"/>
              <a:round/>
            </a:ln>
            <a:effectLst/>
          </c:spPr>
          <c:marker>
            <c:symbol val="none"/>
          </c:marker>
          <c:dLbls>
            <c:delete val="1"/>
          </c:dLbls>
          <c:cat>
            <c:strRef>
              <c:f>Sheet1!$B$2:$L$2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Sheet1!$B$4:$L$4</c:f>
              <c:numCache>
                <c:formatCode>General</c:formatCode>
                <c:ptCount val="11"/>
                <c:pt idx="0">
                  <c:v>-16.5</c:v>
                </c:pt>
                <c:pt idx="1">
                  <c:v>-15.1</c:v>
                </c:pt>
                <c:pt idx="2">
                  <c:v>-12.2</c:v>
                </c:pt>
                <c:pt idx="3">
                  <c:v>-8.3</c:v>
                </c:pt>
                <c:pt idx="4">
                  <c:v>-4.1</c:v>
                </c:pt>
                <c:pt idx="5">
                  <c:v>-3.5</c:v>
                </c:pt>
                <c:pt idx="6">
                  <c:v>-0.4</c:v>
                </c:pt>
                <c:pt idx="7">
                  <c:v>1.9</c:v>
                </c:pt>
                <c:pt idx="8">
                  <c:v>1.1</c:v>
                </c:pt>
                <c:pt idx="9">
                  <c:v>1.6</c:v>
                </c:pt>
                <c:pt idx="10">
                  <c:v>1.8</c:v>
                </c:pt>
              </c:numCache>
            </c:numRef>
          </c:val>
          <c:smooth val="0"/>
        </c:ser>
        <c:dLbls>
          <c:showLegendKey val="0"/>
          <c:showVal val="1"/>
          <c:showCatName val="0"/>
          <c:showSerName val="0"/>
          <c:showPercent val="0"/>
          <c:showBubbleSize val="0"/>
        </c:dLbls>
        <c:marker val="0"/>
        <c:smooth val="0"/>
        <c:axId val="132249472"/>
        <c:axId val="132251008"/>
      </c:lineChart>
      <c:catAx>
        <c:axId val="13224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crossAx val="132251008"/>
        <c:crosses val="autoZero"/>
        <c:auto val="1"/>
        <c:lblAlgn val="ctr"/>
        <c:lblOffset val="100"/>
        <c:noMultiLvlLbl val="0"/>
      </c:catAx>
      <c:valAx>
        <c:axId val="13225100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249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AD9B-4DC8-4886-9C50-39921F94E42F}">
  <ds:schemaRefs/>
</ds:datastoreItem>
</file>

<file path=docProps/app.xml><?xml version="1.0" encoding="utf-8"?>
<Properties xmlns="http://schemas.openxmlformats.org/officeDocument/2006/extended-properties" xmlns:vt="http://schemas.openxmlformats.org/officeDocument/2006/docPropsVTypes">
  <Template>Normal</Template>
  <Pages>20</Pages>
  <Words>1418</Words>
  <Characters>8087</Characters>
  <Lines>67</Lines>
  <Paragraphs>18</Paragraphs>
  <TotalTime>2</TotalTime>
  <ScaleCrop>false</ScaleCrop>
  <LinksUpToDate>false</LinksUpToDate>
  <CharactersWithSpaces>9487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2021-01-18T06:10:00Z</dcterms:created>
  <dc:creator>Administrator</dc:creator>
  <cp:lastModifiedBy>fgj10</cp:lastModifiedBy>
  <cp:lastPrinted>2021-01-18T03:55:00Z</cp:lastPrinted>
  <dcterms:modified xsi:type="dcterms:W3CDTF">2022-05-18T03:53:37Z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CAB9958170C949768D17399828952358</vt:lpwstr>
  </property>
</Properties>
</file>