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Style w:val="5"/>
          <w:rFonts w:hint="eastAsia" w:ascii="方正小标宋简体" w:hAnsi="方正小标宋简体" w:eastAsia="方正小标宋简体" w:cs="方正小标宋简体"/>
          <w:i w:val="0"/>
          <w:iCs w:val="0"/>
          <w:caps w:val="0"/>
          <w:color w:val="000000"/>
          <w:spacing w:val="0"/>
          <w:sz w:val="44"/>
          <w:szCs w:val="44"/>
          <w:lang w:val="en-US" w:eastAsia="zh-CN"/>
        </w:rPr>
      </w:pPr>
      <w:r>
        <w:rPr>
          <w:rStyle w:val="5"/>
          <w:rFonts w:hint="eastAsia" w:ascii="方正小标宋简体" w:hAnsi="方正小标宋简体" w:eastAsia="方正小标宋简体" w:cs="方正小标宋简体"/>
          <w:i w:val="0"/>
          <w:iCs w:val="0"/>
          <w:caps w:val="0"/>
          <w:color w:val="000000"/>
          <w:spacing w:val="0"/>
          <w:sz w:val="44"/>
          <w:szCs w:val="44"/>
          <w:lang w:val="en-US" w:eastAsia="zh-CN"/>
        </w:rPr>
        <w:t>2020年浈江区司法局</w:t>
      </w:r>
      <w:r>
        <w:rPr>
          <w:rStyle w:val="5"/>
          <w:rFonts w:hint="eastAsia" w:ascii="方正小标宋简体" w:hAnsi="方正小标宋简体" w:eastAsia="方正小标宋简体" w:cs="方正小标宋简体"/>
          <w:i w:val="0"/>
          <w:iCs w:val="0"/>
          <w:caps w:val="0"/>
          <w:color w:val="000000"/>
          <w:spacing w:val="0"/>
          <w:sz w:val="44"/>
          <w:szCs w:val="44"/>
        </w:rPr>
        <w:t>“三公”经费</w:t>
      </w:r>
      <w:r>
        <w:rPr>
          <w:rStyle w:val="5"/>
          <w:rFonts w:hint="eastAsia" w:ascii="方正小标宋简体" w:hAnsi="方正小标宋简体" w:eastAsia="方正小标宋简体" w:cs="方正小标宋简体"/>
          <w:i w:val="0"/>
          <w:iCs w:val="0"/>
          <w:caps w:val="0"/>
          <w:color w:val="000000"/>
          <w:spacing w:val="0"/>
          <w:sz w:val="44"/>
          <w:szCs w:val="44"/>
          <w:lang w:val="en-US" w:eastAsia="zh-CN"/>
        </w:rPr>
        <w:t>决算</w:t>
      </w:r>
    </w:p>
    <w:p>
      <w:pPr>
        <w:pStyle w:val="2"/>
        <w:keepNext w:val="0"/>
        <w:keepLines w:val="0"/>
        <w:widowControl/>
        <w:suppressLineNumbers w:val="0"/>
        <w:spacing w:before="75" w:beforeAutospacing="0" w:after="75" w:afterAutospacing="0"/>
        <w:ind w:left="0" w:right="0" w:firstLine="0"/>
        <w:jc w:val="center"/>
        <w:rPr>
          <w:rStyle w:val="5"/>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2"/>
        <w:keepNext w:val="0"/>
        <w:keepLines w:val="0"/>
        <w:widowControl/>
        <w:suppressLineNumbers w:val="0"/>
        <w:spacing w:before="75" w:beforeAutospacing="0" w:after="75" w:afterAutospacing="0"/>
        <w:ind w:left="0" w:right="0" w:firstLine="640" w:firstLineChars="2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2020 年“三公”经费财政拨款支出决算中，因公出国（境）费0万元，占-% ；公务用车购置及运行费支出3.13万元，占95.1% ；公务接待费支出0.13万元，占4.9% 。具体情况如下：</w:t>
      </w:r>
    </w:p>
    <w:p>
      <w:pPr>
        <w:pStyle w:val="2"/>
        <w:keepNext w:val="0"/>
        <w:keepLines w:val="0"/>
        <w:widowControl/>
        <w:suppressLineNumbers w:val="0"/>
        <w:spacing w:before="75" w:beforeAutospacing="0" w:after="75" w:afterAutospacing="0"/>
        <w:ind w:left="0" w:right="0" w:firstLine="640" w:firstLineChars="200"/>
        <w:jc w:val="left"/>
        <w:rPr>
          <w:rFonts w:hint="eastAsia" w:ascii="仿宋_GB2312" w:hAnsi="仿宋_GB2312" w:eastAsia="仿宋_GB2312" w:cs="仿宋_GB2312"/>
          <w:i w:val="0"/>
          <w:iCs w:val="0"/>
          <w:caps w:val="0"/>
          <w:color w:val="000000"/>
          <w:spacing w:val="0"/>
          <w:sz w:val="32"/>
          <w:szCs w:val="32"/>
        </w:rPr>
      </w:pPr>
      <w:bookmarkStart w:id="1" w:name="_GoBack"/>
      <w:bookmarkEnd w:id="1"/>
      <w:r>
        <w:rPr>
          <w:rFonts w:hint="eastAsia" w:ascii="仿宋_GB2312" w:hAnsi="仿宋_GB2312" w:eastAsia="仿宋_GB2312" w:cs="仿宋_GB2312"/>
          <w:i w:val="0"/>
          <w:iCs w:val="0"/>
          <w:caps w:val="0"/>
          <w:color w:val="000000"/>
          <w:spacing w:val="0"/>
          <w:sz w:val="32"/>
          <w:szCs w:val="32"/>
        </w:rPr>
        <w:t>1.因公出国（境）费支出0 万元。全年使用财政拨款安排局机关及下属3 个单位出国团组0 个、累计0 人次。开支内容包括：（1）参加会议支出0万元；（2）出国谈判、工作磋商支出0万元；（3）境外业务培训及考察0万元。</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2.公务用车购置及运行维护费支出3.13 万元，其中：公务用车购置支出为0 万元，2020 年公务用车购置数0 辆。公务用车运行及维护支出3.13 万元，2020年局机关及下属3个单位 公务用车保有量为3 辆，主要用于车辆日常运行和维修等支出。 </w:t>
      </w:r>
    </w:p>
    <w:p>
      <w:pPr>
        <w:pStyle w:val="2"/>
        <w:keepNext w:val="0"/>
        <w:keepLines w:val="0"/>
        <w:widowControl/>
        <w:suppressLineNumbers w:val="0"/>
        <w:spacing w:before="75" w:beforeAutospacing="0" w:after="75" w:afterAutospacing="0"/>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3.公务接待费支出0.16 万元，主要用于接待外单位来访用餐 。2020年，局机关及下属3个单位 共接待国外、境外来访团组0 个，来访外宾0 人次；发生国内接待3 次，接待人数共27 人。主要包括兄弟单位来访和上级督查接待用餐。</w:t>
      </w:r>
    </w:p>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p>
    <w:tbl>
      <w:tblPr>
        <w:tblW w:w="1416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180"/>
        <w:gridCol w:w="1183"/>
        <w:gridCol w:w="1180"/>
        <w:gridCol w:w="1181"/>
        <w:gridCol w:w="1181"/>
        <w:gridCol w:w="1181"/>
        <w:gridCol w:w="1181"/>
        <w:gridCol w:w="1184"/>
        <w:gridCol w:w="1181"/>
        <w:gridCol w:w="1181"/>
        <w:gridCol w:w="1181"/>
        <w:gridCol w:w="116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PrEx>
        <w:tc>
          <w:tcPr>
            <w:tcW w:w="14145" w:type="dxa"/>
            <w:gridSpan w:val="1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Style w:val="5"/>
                <w:rFonts w:hint="default" w:ascii="Helvetica" w:hAnsi="Helvetica" w:eastAsia="Helvetica" w:cs="Helvetica"/>
                <w:i w:val="0"/>
                <w:iCs w:val="0"/>
                <w:caps w:val="0"/>
                <w:color w:val="000000"/>
                <w:spacing w:val="0"/>
                <w:sz w:val="24"/>
                <w:szCs w:val="24"/>
                <w:bdr w:val="none" w:color="auto" w:sz="0" w:space="0"/>
              </w:rPr>
              <w:t>一般公共预算财政拨款“三公”经费支出决算表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635" w:type="dxa"/>
            <w:gridSpan w:val="9"/>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keepNext w:val="0"/>
              <w:keepLines w:val="0"/>
              <w:widowControl/>
              <w:suppressLineNumbers w:val="0"/>
              <w:wordWrap w:val="0"/>
              <w:jc w:val="left"/>
              <w:textAlignment w:val="top"/>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部门（单位）：</w:t>
            </w:r>
            <w:bookmarkStart w:id="0" w:name="PO_part2Table7DivName1"/>
            <w:r>
              <w:rPr>
                <w:rFonts w:hint="default" w:ascii="Helvetica" w:hAnsi="Helvetica" w:eastAsia="Helvetica" w:cs="Helvetica"/>
                <w:i w:val="0"/>
                <w:iCs w:val="0"/>
                <w:caps w:val="0"/>
                <w:color w:val="000000"/>
                <w:spacing w:val="0"/>
                <w:sz w:val="24"/>
                <w:szCs w:val="24"/>
                <w:bdr w:val="none" w:color="auto" w:sz="0" w:space="0"/>
              </w:rPr>
              <w:t xml:space="preserve"> 韶关市浈江区司法局 </w:t>
            </w:r>
            <w:bookmarkEnd w:id="0"/>
          </w:p>
        </w:tc>
        <w:tc>
          <w:tcPr>
            <w:tcW w:w="3540"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单位：万元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7095" w:type="dxa"/>
            <w:gridSpan w:val="6"/>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预算数</w:t>
            </w:r>
          </w:p>
        </w:tc>
        <w:tc>
          <w:tcPr>
            <w:tcW w:w="7080" w:type="dxa"/>
            <w:gridSpan w:val="6"/>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决算数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18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合计</w:t>
            </w:r>
          </w:p>
        </w:tc>
        <w:tc>
          <w:tcPr>
            <w:tcW w:w="118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因公出国（境）费</w:t>
            </w:r>
          </w:p>
        </w:tc>
        <w:tc>
          <w:tcPr>
            <w:tcW w:w="3540"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公务用车购置及运行费</w:t>
            </w:r>
          </w:p>
        </w:tc>
        <w:tc>
          <w:tcPr>
            <w:tcW w:w="118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公务接待费</w:t>
            </w:r>
          </w:p>
        </w:tc>
        <w:tc>
          <w:tcPr>
            <w:tcW w:w="118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合计</w:t>
            </w:r>
          </w:p>
        </w:tc>
        <w:tc>
          <w:tcPr>
            <w:tcW w:w="1185"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因公出国（境）费</w:t>
            </w:r>
          </w:p>
        </w:tc>
        <w:tc>
          <w:tcPr>
            <w:tcW w:w="3540"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公务用车购置及运行费</w:t>
            </w:r>
          </w:p>
        </w:tc>
        <w:tc>
          <w:tcPr>
            <w:tcW w:w="1170"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公务接待费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118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小计</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w:t>
            </w:r>
            <w:r>
              <w:rPr>
                <w:rFonts w:hint="default" w:ascii="Helvetica" w:hAnsi="Helvetica" w:eastAsia="Helvetica" w:cs="Helvetica"/>
                <w:i w:val="0"/>
                <w:iCs w:val="0"/>
                <w:caps w:val="0"/>
                <w:color w:val="000000"/>
                <w:spacing w:val="0"/>
                <w:sz w:val="24"/>
                <w:szCs w:val="24"/>
                <w:bdr w:val="none" w:color="auto" w:sz="0" w:space="0"/>
              </w:rPr>
              <w:br w:type="textWrapping"/>
            </w:r>
            <w:r>
              <w:rPr>
                <w:rFonts w:hint="default" w:ascii="Helvetica" w:hAnsi="Helvetica" w:eastAsia="Helvetica" w:cs="Helvetica"/>
                <w:i w:val="0"/>
                <w:iCs w:val="0"/>
                <w:caps w:val="0"/>
                <w:color w:val="000000"/>
                <w:spacing w:val="0"/>
                <w:sz w:val="24"/>
                <w:szCs w:val="24"/>
                <w:bdr w:val="none" w:color="auto" w:sz="0" w:space="0"/>
              </w:rPr>
              <w:t>购置费</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w:t>
            </w:r>
            <w:r>
              <w:rPr>
                <w:rFonts w:hint="default" w:ascii="Helvetica" w:hAnsi="Helvetica" w:eastAsia="Helvetica" w:cs="Helvetica"/>
                <w:i w:val="0"/>
                <w:iCs w:val="0"/>
                <w:caps w:val="0"/>
                <w:color w:val="000000"/>
                <w:spacing w:val="0"/>
                <w:sz w:val="24"/>
                <w:szCs w:val="24"/>
                <w:bdr w:val="none" w:color="auto" w:sz="0" w:space="0"/>
              </w:rPr>
              <w:br w:type="textWrapping"/>
            </w:r>
            <w:r>
              <w:rPr>
                <w:rFonts w:hint="default" w:ascii="Helvetica" w:hAnsi="Helvetica" w:eastAsia="Helvetica" w:cs="Helvetica"/>
                <w:i w:val="0"/>
                <w:iCs w:val="0"/>
                <w:caps w:val="0"/>
                <w:color w:val="000000"/>
                <w:spacing w:val="0"/>
                <w:sz w:val="24"/>
                <w:szCs w:val="24"/>
                <w:bdr w:val="none" w:color="auto" w:sz="0" w:space="0"/>
              </w:rPr>
              <w:t>运行费</w:t>
            </w:r>
          </w:p>
        </w:tc>
        <w:tc>
          <w:tcPr>
            <w:tcW w:w="118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118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1185"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小计</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w:t>
            </w:r>
            <w:r>
              <w:rPr>
                <w:rFonts w:hint="default" w:ascii="Helvetica" w:hAnsi="Helvetica" w:eastAsia="Helvetica" w:cs="Helvetica"/>
                <w:i w:val="0"/>
                <w:iCs w:val="0"/>
                <w:caps w:val="0"/>
                <w:color w:val="000000"/>
                <w:spacing w:val="0"/>
                <w:sz w:val="24"/>
                <w:szCs w:val="24"/>
                <w:bdr w:val="none" w:color="auto" w:sz="0" w:space="0"/>
              </w:rPr>
              <w:br w:type="textWrapping"/>
            </w:r>
            <w:r>
              <w:rPr>
                <w:rFonts w:hint="default" w:ascii="Helvetica" w:hAnsi="Helvetica" w:eastAsia="Helvetica" w:cs="Helvetica"/>
                <w:i w:val="0"/>
                <w:iCs w:val="0"/>
                <w:caps w:val="0"/>
                <w:color w:val="000000"/>
                <w:spacing w:val="0"/>
                <w:sz w:val="24"/>
                <w:szCs w:val="24"/>
                <w:bdr w:val="none" w:color="auto" w:sz="0" w:space="0"/>
              </w:rPr>
              <w:t>购置费</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公务用车</w:t>
            </w:r>
            <w:r>
              <w:rPr>
                <w:rFonts w:hint="default" w:ascii="Helvetica" w:hAnsi="Helvetica" w:eastAsia="Helvetica" w:cs="Helvetica"/>
                <w:i w:val="0"/>
                <w:iCs w:val="0"/>
                <w:caps w:val="0"/>
                <w:color w:val="000000"/>
                <w:spacing w:val="0"/>
                <w:sz w:val="24"/>
                <w:szCs w:val="24"/>
                <w:bdr w:val="none" w:color="auto" w:sz="0" w:space="0"/>
              </w:rPr>
              <w:br w:type="textWrapping"/>
            </w:r>
            <w:r>
              <w:rPr>
                <w:rFonts w:hint="default" w:ascii="Helvetica" w:hAnsi="Helvetica" w:eastAsia="Helvetica" w:cs="Helvetica"/>
                <w:i w:val="0"/>
                <w:iCs w:val="0"/>
                <w:caps w:val="0"/>
                <w:color w:val="000000"/>
                <w:spacing w:val="0"/>
                <w:sz w:val="24"/>
                <w:szCs w:val="24"/>
                <w:bdr w:val="none" w:color="auto" w:sz="0" w:space="0"/>
              </w:rPr>
              <w:t>运行费</w:t>
            </w:r>
          </w:p>
        </w:tc>
        <w:tc>
          <w:tcPr>
            <w:tcW w:w="1170"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default" w:ascii="sans-serif" w:hAnsi="sans-serif" w:eastAsia="sans-serif" w:cs="sans-serif"/>
                <w:i w:val="0"/>
                <w:iCs w:val="0"/>
                <w:caps w:val="0"/>
                <w:color w:val="000000"/>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1</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2</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3</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4</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5</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6</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7</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8</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9</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10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11</w:t>
            </w:r>
          </w:p>
        </w:tc>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18.1</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0.00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8.80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0.00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8.80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9.30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3.29</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0.00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3.13</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0.00</w:t>
            </w:r>
          </w:p>
        </w:tc>
        <w:tc>
          <w:tcPr>
            <w:tcW w:w="11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3.13</w:t>
            </w:r>
          </w:p>
        </w:tc>
        <w:tc>
          <w:tcPr>
            <w:tcW w:w="11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bdr w:val="none" w:color="auto" w:sz="0" w:space="0"/>
              </w:rPr>
              <w:t>0.16</w:t>
            </w:r>
          </w:p>
        </w:tc>
      </w:tr>
    </w:tbl>
    <w:p>
      <w:pPr>
        <w:pStyle w:val="2"/>
        <w:keepNext w:val="0"/>
        <w:keepLines w:val="0"/>
        <w:widowControl/>
        <w:suppressLineNumbers w:val="0"/>
        <w:spacing w:before="75" w:beforeAutospacing="0" w:after="75" w:afterAutospacing="0"/>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注：本表反映韶关市浈江区司法局本年度“三公”经费支出预决算情况。其中，预算数为“三公”经费全年预算数，反映按规定程序调整后的预算数；决算数是包括当年一般公共预算财政拨款和以前年度结转资金安排的实际支出。</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84D8E"/>
    <w:rsid w:val="0EF84D8E"/>
    <w:rsid w:val="2D6F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2021-09-13T01:33:00Z</dcterms:created>
  <dc:creator>佩佩</dc:creator>
  <cp:lastModifiedBy>佩佩</cp:lastModifiedBy>
  <dcterms:modified xsi:type="dcterms:W3CDTF">2021-09-13T01:34:44Z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7A255FC50CF74027BE9319D9EBC03E8E</vt:lpwstr>
  </property>
</Properties>
</file>