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韶关市浈江区人民政府关于2021年上半年</w:t>
      </w:r>
    </w:p>
    <w:p>
      <w:pPr>
        <w:spacing w:line="58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国民经济和</w:t>
      </w:r>
      <w:r>
        <w:rPr>
          <w:rFonts w:hint="default" w:ascii="方正小标宋简体" w:hAnsi="方正小标宋简体" w:eastAsia="方正小标宋简体" w:cs="方正小标宋简体"/>
          <w:sz w:val="44"/>
          <w:szCs w:val="44"/>
          <w:lang w:val="en-US" w:eastAsia="zh-CN"/>
        </w:rPr>
        <w:t>社会发展计划执行情况</w:t>
      </w:r>
    </w:p>
    <w:p>
      <w:pPr>
        <w:spacing w:line="580" w:lineRule="exact"/>
        <w:jc w:val="center"/>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lang w:val="en-US" w:eastAsia="zh-CN"/>
        </w:rPr>
        <w:t>工作</w:t>
      </w:r>
      <w:r>
        <w:rPr>
          <w:rFonts w:hint="default" w:ascii="方正小标宋简体" w:hAnsi="方正小标宋简体" w:eastAsia="方正小标宋简体" w:cs="方正小标宋简体"/>
          <w:sz w:val="44"/>
          <w:szCs w:val="44"/>
          <w:lang w:val="en-US" w:eastAsia="zh-CN"/>
        </w:rPr>
        <w:t>报告</w:t>
      </w:r>
      <w:r>
        <w:rPr>
          <w:rFonts w:hint="eastAsia" w:ascii="方正小标宋简体" w:hAnsi="方正小标宋简体" w:eastAsia="方正小标宋简体" w:cs="方正小标宋简体"/>
          <w:sz w:val="44"/>
          <w:szCs w:val="44"/>
          <w:lang w:val="en-US" w:eastAsia="zh-CN"/>
        </w:rPr>
        <w:t>（草案）</w:t>
      </w:r>
    </w:p>
    <w:p>
      <w:pPr>
        <w:keepNext w:val="0"/>
        <w:keepLines w:val="0"/>
        <w:widowControl/>
        <w:suppressLineNumbers w:val="0"/>
        <w:ind w:firstLine="620" w:firstLineChars="200"/>
        <w:jc w:val="left"/>
        <w:rPr>
          <w:rFonts w:ascii="黑体" w:hAnsi="宋体" w:eastAsia="黑体" w:cs="黑体"/>
          <w:color w:val="000000"/>
          <w:kern w:val="0"/>
          <w:sz w:val="31"/>
          <w:szCs w:val="31"/>
          <w:lang w:val="en-US" w:eastAsia="zh-CN" w:bidi="ar"/>
        </w:rPr>
      </w:pPr>
    </w:p>
    <w:p>
      <w:pPr>
        <w:spacing w:line="560" w:lineRule="exact"/>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——202</w:t>
      </w:r>
      <w:r>
        <w:rPr>
          <w:rFonts w:hint="eastAsia" w:ascii="楷体_GB2312" w:hAnsi="仿宋_GB2312" w:eastAsia="楷体_GB2312" w:cs="仿宋_GB2312"/>
          <w:sz w:val="32"/>
          <w:szCs w:val="32"/>
          <w:lang w:val="en-US" w:eastAsia="zh-CN"/>
        </w:rPr>
        <w:t>1</w:t>
      </w:r>
      <w:r>
        <w:rPr>
          <w:rFonts w:hint="eastAsia" w:ascii="楷体_GB2312" w:hAnsi="仿宋_GB2312" w:eastAsia="楷体_GB2312" w:cs="仿宋_GB2312"/>
          <w:sz w:val="32"/>
          <w:szCs w:val="32"/>
        </w:rPr>
        <w:t>年8月</w:t>
      </w:r>
      <w:r>
        <w:rPr>
          <w:rFonts w:hint="eastAsia" w:ascii="楷体_GB2312" w:hAnsi="仿宋_GB2312" w:eastAsia="楷体_GB2312" w:cs="仿宋_GB2312"/>
          <w:sz w:val="32"/>
          <w:szCs w:val="32"/>
          <w:lang w:val="en-US" w:eastAsia="zh-CN"/>
        </w:rPr>
        <w:t>31</w:t>
      </w:r>
      <w:r>
        <w:rPr>
          <w:rFonts w:hint="eastAsia" w:ascii="楷体_GB2312" w:hAnsi="仿宋_GB2312" w:eastAsia="楷体_GB2312" w:cs="仿宋_GB2312"/>
          <w:sz w:val="32"/>
          <w:szCs w:val="32"/>
        </w:rPr>
        <w:t>日在浈江区第九届人民代表大会</w:t>
      </w:r>
    </w:p>
    <w:p>
      <w:pPr>
        <w:spacing w:line="560" w:lineRule="exact"/>
        <w:jc w:val="center"/>
        <w:rPr>
          <w:rFonts w:hint="eastAsia" w:ascii="楷体_GB2312" w:hAnsi="仿宋_GB2312" w:eastAsia="楷体_GB2312" w:cs="仿宋_GB2312"/>
          <w:b/>
          <w:bCs/>
          <w:sz w:val="32"/>
          <w:szCs w:val="32"/>
        </w:rPr>
      </w:pPr>
      <w:r>
        <w:rPr>
          <w:rFonts w:hint="eastAsia" w:ascii="楷体_GB2312" w:hAnsi="仿宋_GB2312" w:eastAsia="楷体_GB2312" w:cs="仿宋_GB2312"/>
          <w:sz w:val="32"/>
          <w:szCs w:val="32"/>
        </w:rPr>
        <w:t>常务委员会第</w:t>
      </w:r>
      <w:r>
        <w:rPr>
          <w:rFonts w:hint="eastAsia" w:ascii="楷体_GB2312" w:hAnsi="仿宋_GB2312" w:eastAsia="楷体_GB2312" w:cs="仿宋_GB2312"/>
          <w:sz w:val="32"/>
          <w:szCs w:val="32"/>
          <w:lang w:eastAsia="zh-CN"/>
        </w:rPr>
        <w:t>四十四</w:t>
      </w:r>
      <w:r>
        <w:rPr>
          <w:rFonts w:hint="eastAsia" w:ascii="楷体_GB2312" w:eastAsia="楷体_GB2312"/>
          <w:sz w:val="32"/>
          <w:szCs w:val="32"/>
        </w:rPr>
        <w:t>次</w:t>
      </w:r>
      <w:r>
        <w:rPr>
          <w:rFonts w:hint="eastAsia" w:ascii="楷体_GB2312" w:hAnsi="仿宋_GB2312" w:eastAsia="楷体_GB2312" w:cs="仿宋_GB2312"/>
          <w:sz w:val="32"/>
          <w:szCs w:val="32"/>
        </w:rPr>
        <w:t>会议上</w:t>
      </w:r>
    </w:p>
    <w:p>
      <w:pPr>
        <w:spacing w:line="560" w:lineRule="exact"/>
        <w:jc w:val="center"/>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rPr>
        <w:t xml:space="preserve">浈江区发展和改革局局长  </w:t>
      </w:r>
      <w:r>
        <w:rPr>
          <w:rFonts w:hint="eastAsia" w:ascii="楷体_GB2312" w:hAnsi="仿宋_GB2312" w:eastAsia="楷体_GB2312" w:cs="仿宋_GB2312"/>
          <w:sz w:val="32"/>
          <w:szCs w:val="32"/>
          <w:lang w:eastAsia="zh-CN"/>
        </w:rPr>
        <w:t>吴根平</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主任、各位副主任、各位委员：</w:t>
      </w:r>
    </w:p>
    <w:p>
      <w:pPr>
        <w:widowControl/>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我受区人民政府委托，向区人大常委会报告202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年上半年国民经济和社会发展计划执行情况及下半年工作重点，请予审议。</w:t>
      </w:r>
    </w:p>
    <w:p>
      <w:pPr>
        <w:widowControl/>
        <w:spacing w:beforeLines="0" w:afterLines="0"/>
        <w:ind w:firstLine="620" w:firstLineChars="200"/>
        <w:jc w:val="left"/>
        <w:rPr>
          <w:rFonts w:hint="default"/>
          <w:sz w:val="21"/>
        </w:rPr>
      </w:pPr>
      <w:r>
        <w:rPr>
          <w:rFonts w:hint="eastAsia" w:ascii="黑体" w:hAnsi="宋体" w:eastAsia="黑体"/>
          <w:color w:val="000000"/>
          <w:kern w:val="0"/>
          <w:sz w:val="31"/>
        </w:rPr>
        <w:t>一、2021年上半年国民经济和社会发展计划执行情况</w:t>
      </w:r>
    </w:p>
    <w:p>
      <w:pPr>
        <w:spacing w:beforeLines="0" w:afterLines="0"/>
        <w:ind w:firstLine="640" w:firstLineChars="200"/>
        <w:rPr>
          <w:rFonts w:hint="eastAsia" w:ascii="仿宋_GB2312" w:eastAsia="仿宋_GB2312"/>
          <w:sz w:val="32"/>
        </w:rPr>
      </w:pPr>
      <w:r>
        <w:rPr>
          <w:rFonts w:hint="eastAsia" w:ascii="仿宋_GB2312" w:eastAsia="仿宋_GB2312"/>
          <w:sz w:val="32"/>
        </w:rPr>
        <w:t>2021年上半年，全区上下在区委的正确领导下，在区人大的监督支持下，坚持以习近平新时代中国特色社会主义思想为指导，贯彻落实省委“一核一带一区”发展战略和市委争当粤北地区高质量发展排头兵的战略部署，按照区人大年初通过的经济社会发展目标，稳步推进新型工业化、新型城镇化、农业现代化和资源资产价值化，全力以赴促进浈江经济社会高质量发展，为“十四五”开好头、起好步奠定了良好的基础。上半年，全区完成地区生产总值100.2亿元，为年初目标的48.64%，增长10.6%；工业增加值完成18.32亿元，为年初目标的52.49%，增长14.0%；全社会固定资产投资完成19.63亿元，为年初目标的31.01%，增长-17.6%；社会消费品零售总额59.15亿元，为年初目标的47.86%，增长16.3%，全区进出口完成额同比增长101.3%（1-5月统计数），区本级一般公共预算收入2.66亿元，为年初目标的56.</w:t>
      </w:r>
      <w:r>
        <w:rPr>
          <w:rFonts w:hint="eastAsia" w:ascii="仿宋_GB2312" w:eastAsia="仿宋_GB2312"/>
          <w:sz w:val="32"/>
          <w:lang w:val="en-US" w:eastAsia="zh-CN"/>
        </w:rPr>
        <w:t>4</w:t>
      </w:r>
      <w:r>
        <w:rPr>
          <w:rFonts w:hint="eastAsia" w:ascii="仿宋_GB2312" w:eastAsia="仿宋_GB2312"/>
          <w:sz w:val="32"/>
        </w:rPr>
        <w:t>6%，同比增长30.7%。</w:t>
      </w:r>
    </w:p>
    <w:p>
      <w:pPr>
        <w:spacing w:beforeLines="0" w:afterLines="0"/>
        <w:rPr>
          <w:rFonts w:hint="eastAsia" w:ascii="楷体" w:hAnsi="楷体" w:eastAsia="楷体"/>
          <w:kern w:val="0"/>
          <w:sz w:val="24"/>
        </w:rPr>
      </w:pPr>
      <w:r>
        <w:rPr>
          <w:rFonts w:hint="eastAsia" w:ascii="楷体" w:hAnsi="楷体" w:eastAsia="楷体"/>
          <w:kern w:val="0"/>
          <w:sz w:val="24"/>
        </w:rPr>
        <w:t>图：2021上半年全区财经指标实际值</w:t>
      </w:r>
      <w:r>
        <w:rPr>
          <w:rFonts w:hint="eastAsia" w:ascii="楷体" w:hAnsi="楷体" w:eastAsia="楷体"/>
          <w:kern w:val="0"/>
          <w:sz w:val="24"/>
          <w:lang w:eastAsia="zh-CN"/>
        </w:rPr>
        <w:t>及年度计划完成百分比</w:t>
      </w:r>
      <w:r>
        <w:rPr>
          <w:rFonts w:hint="eastAsia" w:ascii="楷体" w:hAnsi="楷体" w:eastAsia="楷体"/>
          <w:kern w:val="0"/>
          <w:sz w:val="24"/>
        </w:rPr>
        <w:t>（亿元）</w:t>
      </w:r>
    </w:p>
    <w:tbl>
      <w:tblPr>
        <w:tblStyle w:val="7"/>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296"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eastAsia" w:ascii="仿宋" w:hAnsi="仿宋" w:eastAsia="仿宋"/>
                <w:kern w:val="0"/>
                <w:sz w:val="32"/>
              </w:rPr>
            </w:pPr>
            <w:r>
              <w:drawing>
                <wp:inline distT="0" distB="0" distL="114300" distR="114300">
                  <wp:extent cx="5271770" cy="2860675"/>
                  <wp:effectExtent l="4445" t="4445" r="19685" b="1143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pPr>
        <w:spacing w:beforeLines="0" w:afterLines="0"/>
        <w:rPr>
          <w:rFonts w:hint="eastAsia" w:ascii="楷体" w:hAnsi="楷体" w:eastAsia="楷体"/>
          <w:kern w:val="0"/>
          <w:sz w:val="21"/>
          <w:lang w:eastAsia="zh-CN"/>
        </w:rPr>
      </w:pPr>
      <w:r>
        <w:rPr>
          <w:rFonts w:hint="eastAsia" w:ascii="楷体" w:hAnsi="楷体" w:eastAsia="楷体"/>
          <w:kern w:val="0"/>
          <w:sz w:val="21"/>
        </w:rPr>
        <w:t>数据来源：浈江区统计局、财政局</w:t>
      </w:r>
      <w:r>
        <w:rPr>
          <w:rFonts w:hint="eastAsia" w:ascii="楷体" w:hAnsi="楷体" w:eastAsia="楷体"/>
          <w:kern w:val="0"/>
          <w:sz w:val="21"/>
          <w:lang w:eastAsia="zh-CN"/>
        </w:rPr>
        <w:t>、税务局</w:t>
      </w:r>
    </w:p>
    <w:p>
      <w:pPr>
        <w:spacing w:beforeLines="0" w:afterLines="0"/>
        <w:ind w:firstLine="640" w:firstLineChars="200"/>
        <w:rPr>
          <w:rFonts w:hint="eastAsia" w:ascii="仿宋_GB2312" w:eastAsia="仿宋_GB2312"/>
          <w:sz w:val="32"/>
        </w:rPr>
      </w:pPr>
      <w:r>
        <w:rPr>
          <w:rFonts w:hint="eastAsia" w:ascii="仿宋_GB2312" w:eastAsia="仿宋_GB2312"/>
          <w:sz w:val="32"/>
        </w:rPr>
        <w:t>全区经济社会发展工作主要呈现以下五个特点：</w:t>
      </w:r>
    </w:p>
    <w:p>
      <w:pPr>
        <w:numPr>
          <w:ilvl w:val="0"/>
          <w:numId w:val="0"/>
        </w:numPr>
        <w:spacing w:beforeLines="0" w:afterLines="0"/>
        <w:ind w:firstLine="640" w:firstLineChars="200"/>
        <w:rPr>
          <w:rFonts w:hint="eastAsia" w:ascii="楷体_GB2312" w:hAnsi="楷体_GB2312" w:eastAsia="楷体_GB2312"/>
          <w:sz w:val="32"/>
        </w:rPr>
      </w:pPr>
      <w:r>
        <w:rPr>
          <w:rFonts w:hint="eastAsia" w:ascii="楷体_GB2312" w:hAnsi="楷体_GB2312" w:eastAsia="楷体_GB2312"/>
          <w:sz w:val="32"/>
        </w:rPr>
        <w:t>（一）经济复苏态势持续向好</w:t>
      </w:r>
    </w:p>
    <w:p>
      <w:pPr>
        <w:numPr>
          <w:ilvl w:val="0"/>
          <w:numId w:val="0"/>
        </w:numPr>
        <w:spacing w:beforeLines="0" w:afterLines="0"/>
        <w:ind w:firstLine="640"/>
        <w:rPr>
          <w:rFonts w:hint="eastAsia" w:ascii="仿宋_GB2312" w:eastAsia="仿宋_GB2312"/>
          <w:sz w:val="32"/>
        </w:rPr>
      </w:pPr>
      <w:r>
        <w:rPr>
          <w:rFonts w:hint="eastAsia" w:ascii="仿宋_GB2312" w:eastAsia="仿宋_GB2312"/>
          <w:b/>
          <w:sz w:val="32"/>
        </w:rPr>
        <w:t>农业生产快速增长，农产品供给充足。</w:t>
      </w:r>
      <w:r>
        <w:rPr>
          <w:rFonts w:hint="eastAsia" w:ascii="仿宋_GB2312" w:eastAsia="仿宋_GB2312"/>
          <w:sz w:val="32"/>
        </w:rPr>
        <w:t>乡村振兴战略和农业农村现代化战略稳步推进，农业总产值实现高位增长。粮食供给量加速恢复，米袋子、菜篮子、果盘子产品品质稳步提高，上半年生猪出栏量7.8万头，恢复到正常年份水平，完成产值2.55亿元，同比增长183.2%。新型农业经营主体有效培育，新增现代农业经营主体2家，农牧业生产能力建设加快。</w:t>
      </w:r>
    </w:p>
    <w:p>
      <w:pPr>
        <w:numPr>
          <w:ilvl w:val="0"/>
          <w:numId w:val="0"/>
        </w:numPr>
        <w:spacing w:beforeLines="0" w:afterLines="0"/>
        <w:ind w:firstLine="643" w:firstLineChars="200"/>
        <w:rPr>
          <w:rFonts w:hint="eastAsia" w:ascii="仿宋_GB2312" w:eastAsia="仿宋_GB2312"/>
          <w:sz w:val="32"/>
        </w:rPr>
      </w:pPr>
      <w:r>
        <w:rPr>
          <w:rFonts w:hint="eastAsia" w:ascii="仿宋_GB2312" w:eastAsia="仿宋_GB2312"/>
          <w:b/>
          <w:sz w:val="32"/>
        </w:rPr>
        <w:t>工业</w:t>
      </w:r>
      <w:r>
        <w:rPr>
          <w:rFonts w:hint="eastAsia" w:ascii="仿宋_GB2312" w:eastAsia="仿宋_GB2312"/>
          <w:b/>
          <w:sz w:val="32"/>
          <w:lang w:eastAsia="zh-CN"/>
        </w:rPr>
        <w:t>保持较快增长</w:t>
      </w:r>
      <w:r>
        <w:rPr>
          <w:rFonts w:hint="eastAsia" w:ascii="仿宋_GB2312" w:eastAsia="仿宋_GB2312"/>
          <w:b/>
          <w:sz w:val="32"/>
        </w:rPr>
        <w:t>，</w:t>
      </w:r>
      <w:r>
        <w:rPr>
          <w:rFonts w:hint="eastAsia" w:ascii="仿宋_GB2312" w:eastAsia="仿宋_GB2312"/>
          <w:b/>
          <w:sz w:val="32"/>
          <w:lang w:eastAsia="zh-CN"/>
        </w:rPr>
        <w:t>园区承载能力稳步提高</w:t>
      </w:r>
      <w:r>
        <w:rPr>
          <w:rFonts w:hint="eastAsia" w:ascii="仿宋_GB2312" w:eastAsia="仿宋_GB2312"/>
          <w:b/>
          <w:sz w:val="32"/>
        </w:rPr>
        <w:t>。</w:t>
      </w:r>
      <w:r>
        <w:rPr>
          <w:rFonts w:hint="eastAsia" w:ascii="仿宋_GB2312" w:eastAsia="仿宋_GB2312"/>
          <w:sz w:val="32"/>
        </w:rPr>
        <w:t>坚持把新型工业化作为推进浈江经济高质量发展的重要任务来抓。上半年，全区规模以上工业增加值同比增长18.3%，53家规上工业企业中有</w:t>
      </w:r>
      <w:r>
        <w:rPr>
          <w:rFonts w:hint="eastAsia" w:ascii="仿宋_GB2312" w:hAnsi="仿宋_GB2312" w:eastAsia="仿宋_GB2312"/>
          <w:sz w:val="32"/>
        </w:rPr>
        <w:t>37家产值实现正增长，其中增幅超过50%的企业有20家</w:t>
      </w:r>
      <w:r>
        <w:rPr>
          <w:rFonts w:hint="eastAsia" w:ascii="仿宋_GB2312" w:eastAsia="仿宋_GB2312"/>
          <w:sz w:val="32"/>
        </w:rPr>
        <w:t>。浈江产业</w:t>
      </w:r>
      <w:r>
        <w:rPr>
          <w:rFonts w:hint="eastAsia" w:ascii="仿宋_GB2312" w:hAnsi="仿宋_GB2312" w:eastAsia="仿宋_GB2312"/>
          <w:sz w:val="32"/>
        </w:rPr>
        <w:t>园区新型工业聚集发展能力有效增强。</w:t>
      </w:r>
      <w:r>
        <w:rPr>
          <w:rFonts w:hint="eastAsia" w:ascii="仿宋_GB2312" w:eastAsia="仿宋_GB2312"/>
          <w:sz w:val="32"/>
        </w:rPr>
        <w:t>上半年累计投入1.7亿专项债资金用于园区标准厂房等17个基础设施项目建设，园区基础设施建设短板逐渐补齐。</w:t>
      </w:r>
      <w:r>
        <w:rPr>
          <w:rFonts w:hint="eastAsia" w:ascii="仿宋_GB2312" w:eastAsia="仿宋_GB2312"/>
          <w:sz w:val="32"/>
          <w:lang w:eastAsia="zh-CN"/>
        </w:rPr>
        <w:t>新增</w:t>
      </w:r>
      <w:r>
        <w:rPr>
          <w:rFonts w:hint="eastAsia" w:ascii="仿宋_GB2312" w:eastAsia="仿宋_GB2312"/>
          <w:sz w:val="32"/>
        </w:rPr>
        <w:t>签约招商项目6个，其中百亿级项目——正威韶关新材料科技示范城项目投资额</w:t>
      </w:r>
      <w:r>
        <w:rPr>
          <w:rFonts w:hint="eastAsia" w:ascii="仿宋_GB2312" w:eastAsia="仿宋_GB2312"/>
          <w:sz w:val="32"/>
          <w:lang w:eastAsia="zh-CN"/>
        </w:rPr>
        <w:t>达</w:t>
      </w:r>
      <w:r>
        <w:rPr>
          <w:rFonts w:hint="eastAsia" w:ascii="仿宋_GB2312" w:eastAsia="仿宋_GB2312"/>
          <w:sz w:val="32"/>
        </w:rPr>
        <w:t>228亿元。</w:t>
      </w:r>
    </w:p>
    <w:p>
      <w:pPr>
        <w:numPr>
          <w:ilvl w:val="0"/>
          <w:numId w:val="0"/>
        </w:numPr>
        <w:spacing w:beforeLines="0" w:afterLines="0"/>
        <w:ind w:firstLine="643" w:firstLineChars="200"/>
        <w:rPr>
          <w:rFonts w:hint="eastAsia" w:ascii="仿宋_GB2312" w:eastAsia="仿宋_GB2312"/>
          <w:sz w:val="32"/>
        </w:rPr>
      </w:pPr>
      <w:r>
        <w:rPr>
          <w:rFonts w:hint="eastAsia" w:ascii="仿宋_GB2312" w:eastAsia="仿宋_GB2312"/>
          <w:b/>
          <w:sz w:val="32"/>
          <w:lang w:eastAsia="zh-CN"/>
        </w:rPr>
        <w:t>商贸</w:t>
      </w:r>
      <w:r>
        <w:rPr>
          <w:rFonts w:hint="eastAsia" w:ascii="仿宋_GB2312" w:eastAsia="仿宋_GB2312"/>
          <w:b/>
          <w:sz w:val="32"/>
        </w:rPr>
        <w:t>服务业增长稳中</w:t>
      </w:r>
      <w:r>
        <w:rPr>
          <w:rFonts w:hint="eastAsia" w:ascii="仿宋_GB2312" w:eastAsia="仿宋_GB2312"/>
          <w:b/>
          <w:sz w:val="32"/>
          <w:lang w:eastAsia="zh-CN"/>
        </w:rPr>
        <w:t>提速</w:t>
      </w:r>
      <w:r>
        <w:rPr>
          <w:rFonts w:hint="eastAsia" w:ascii="仿宋_GB2312" w:eastAsia="仿宋_GB2312"/>
          <w:b/>
          <w:sz w:val="32"/>
        </w:rPr>
        <w:t>，市场主体焕发活力。</w:t>
      </w:r>
      <w:r>
        <w:rPr>
          <w:rFonts w:hint="eastAsia" w:ascii="仿宋_GB2312" w:hAnsi="Calibri" w:eastAsia="仿宋_GB2312" w:cs="Times New Roman"/>
          <w:b w:val="0"/>
          <w:bCs w:val="0"/>
          <w:sz w:val="32"/>
          <w:szCs w:val="32"/>
          <w:lang w:val="en-US" w:eastAsia="zh-CN"/>
        </w:rPr>
        <w:t>随着前期部分被压制的消费需求逐步释放，社会消费品零售总额</w:t>
      </w:r>
      <w:r>
        <w:rPr>
          <w:rFonts w:hint="eastAsia" w:ascii="仿宋_GB2312" w:hAnsi="Calibri" w:eastAsia="仿宋_GB2312"/>
          <w:sz w:val="32"/>
          <w:szCs w:val="32"/>
        </w:rPr>
        <w:t>59.15</w:t>
      </w:r>
      <w:r>
        <w:rPr>
          <w:rFonts w:hint="eastAsia" w:ascii="仿宋_GB2312" w:hAnsi="Calibri" w:eastAsia="仿宋_GB2312" w:cs="Times New Roman"/>
          <w:b w:val="0"/>
          <w:bCs w:val="0"/>
          <w:sz w:val="32"/>
          <w:szCs w:val="32"/>
          <w:highlight w:val="none"/>
          <w:lang w:val="en-US" w:eastAsia="zh-CN"/>
        </w:rPr>
        <w:t>亿元，同比增长</w:t>
      </w:r>
      <w:r>
        <w:rPr>
          <w:rFonts w:hint="eastAsia" w:ascii="仿宋_GB2312" w:hAnsi="Calibri" w:eastAsia="仿宋_GB2312"/>
          <w:sz w:val="32"/>
          <w:szCs w:val="32"/>
          <w:highlight w:val="none"/>
        </w:rPr>
        <w:t>16.3</w:t>
      </w:r>
      <w:r>
        <w:rPr>
          <w:rFonts w:hint="eastAsia" w:ascii="仿宋_GB2312" w:hAnsi="Calibri" w:eastAsia="仿宋_GB2312" w:cs="Times New Roman"/>
          <w:b w:val="0"/>
          <w:bCs w:val="0"/>
          <w:sz w:val="32"/>
          <w:szCs w:val="32"/>
          <w:highlight w:val="none"/>
          <w:lang w:val="en-US" w:eastAsia="zh-CN"/>
        </w:rPr>
        <w:t>%，</w:t>
      </w:r>
      <w:r>
        <w:rPr>
          <w:rFonts w:hint="eastAsia" w:ascii="仿宋_GB2312" w:hAnsi="Calibri" w:eastAsia="仿宋_GB2312" w:cs="Times New Roman"/>
          <w:sz w:val="32"/>
          <w:szCs w:val="32"/>
          <w:lang w:val="en-US" w:eastAsia="zh-CN"/>
        </w:rPr>
        <w:t>服务业增加值占地区生产总值比重68%，与上年同期基本持平。</w:t>
      </w:r>
      <w:r>
        <w:rPr>
          <w:rFonts w:hint="eastAsia" w:ascii="仿宋_GB2312" w:eastAsia="仿宋_GB2312"/>
          <w:sz w:val="32"/>
        </w:rPr>
        <w:t>传统交通运输业、住宿餐饮业增加值同比增幅超20%。</w:t>
      </w:r>
      <w:r>
        <w:rPr>
          <w:rFonts w:hint="eastAsia" w:ascii="仿宋_GB2312" w:hAnsi="Calibri" w:eastAsia="仿宋_GB2312" w:cs="Times New Roman"/>
          <w:sz w:val="32"/>
          <w:szCs w:val="32"/>
          <w:lang w:val="en-US" w:eastAsia="zh-CN"/>
        </w:rPr>
        <w:t>现代服务业对经济的带动作用加强，</w:t>
      </w:r>
      <w:r>
        <w:rPr>
          <w:rFonts w:hint="eastAsia" w:ascii="仿宋_GB2312" w:eastAsia="仿宋_GB2312"/>
          <w:sz w:val="32"/>
        </w:rPr>
        <w:t>信息传输、软件和信息技术服务业、科学研究和技术服务业等生产性服务业增加值分别增长11.6%和5.4%；</w:t>
      </w:r>
      <w:r>
        <w:rPr>
          <w:rFonts w:hint="eastAsia" w:ascii="仿宋_GB2312" w:hAnsi="Calibri" w:eastAsia="仿宋_GB2312" w:cs="Times New Roman"/>
          <w:sz w:val="32"/>
          <w:szCs w:val="32"/>
          <w:lang w:val="en-US" w:eastAsia="zh-CN"/>
        </w:rPr>
        <w:t>金融支持实体经济力度加大，</w:t>
      </w:r>
      <w:r>
        <w:rPr>
          <w:rFonts w:hint="eastAsia" w:ascii="仿宋_GB2312" w:eastAsia="仿宋_GB2312"/>
          <w:sz w:val="32"/>
        </w:rPr>
        <w:t>增加值同比增长2.6%。</w:t>
      </w:r>
      <w:r>
        <w:rPr>
          <w:rFonts w:hint="eastAsia" w:ascii="仿宋_GB2312" w:hAnsi="Calibri" w:eastAsia="仿宋_GB2312" w:cs="Times New Roman"/>
          <w:sz w:val="32"/>
          <w:szCs w:val="32"/>
          <w:lang w:val="en-US" w:eastAsia="zh-CN"/>
        </w:rPr>
        <w:t>服务业市场主体发展活跃，</w:t>
      </w:r>
      <w:r>
        <w:rPr>
          <w:rFonts w:hint="eastAsia" w:ascii="仿宋_GB2312" w:eastAsia="仿宋_GB2312"/>
          <w:sz w:val="32"/>
        </w:rPr>
        <w:t>工商登记服务业企业303户，同比增长5.76%，占全部工商新登记企业数量的48.87%。</w:t>
      </w:r>
    </w:p>
    <w:p>
      <w:pPr>
        <w:numPr>
          <w:ilvl w:val="0"/>
          <w:numId w:val="0"/>
        </w:numPr>
        <w:spacing w:beforeLines="0" w:afterLines="0" w:line="600" w:lineRule="exact"/>
        <w:ind w:firstLine="640" w:firstLineChars="200"/>
        <w:rPr>
          <w:rFonts w:hint="eastAsia" w:ascii="楷体_GB2312" w:hAnsi="楷体_GB2312" w:eastAsia="楷体_GB2312"/>
          <w:sz w:val="32"/>
        </w:rPr>
      </w:pPr>
      <w:r>
        <w:rPr>
          <w:rFonts w:hint="eastAsia" w:ascii="楷体_GB2312" w:hAnsi="楷体_GB2312" w:eastAsia="楷体_GB2312"/>
          <w:sz w:val="32"/>
        </w:rPr>
        <w:t>（</w:t>
      </w:r>
      <w:r>
        <w:rPr>
          <w:rFonts w:hint="eastAsia" w:ascii="楷体_GB2312" w:hAnsi="楷体_GB2312" w:eastAsia="楷体_GB2312"/>
          <w:sz w:val="32"/>
          <w:lang w:eastAsia="zh-CN"/>
        </w:rPr>
        <w:t>二</w:t>
      </w:r>
      <w:r>
        <w:rPr>
          <w:rFonts w:hint="eastAsia" w:ascii="楷体_GB2312" w:hAnsi="楷体_GB2312" w:eastAsia="楷体_GB2312"/>
          <w:sz w:val="32"/>
        </w:rPr>
        <w:t>）城镇建设和乡村振兴协同推进</w:t>
      </w:r>
    </w:p>
    <w:p>
      <w:pPr>
        <w:spacing w:beforeLines="0" w:afterLines="0"/>
        <w:ind w:firstLine="643" w:firstLineChars="200"/>
        <w:rPr>
          <w:rFonts w:hint="eastAsia" w:ascii="仿宋_GB2312" w:eastAsia="仿宋_GB2312"/>
          <w:sz w:val="32"/>
          <w:lang w:eastAsia="zh-CN"/>
        </w:rPr>
      </w:pPr>
      <w:r>
        <w:rPr>
          <w:rFonts w:hint="eastAsia" w:ascii="仿宋_GB2312" w:eastAsia="仿宋_GB2312"/>
          <w:b/>
          <w:sz w:val="32"/>
        </w:rPr>
        <w:t>持续推进以人为核心的新型城镇化。</w:t>
      </w:r>
      <w:r>
        <w:rPr>
          <w:rFonts w:hint="eastAsia" w:ascii="仿宋_GB2312" w:eastAsia="仿宋_GB2312"/>
          <w:sz w:val="32"/>
        </w:rPr>
        <w:t>城镇化配套制度</w:t>
      </w:r>
      <w:r>
        <w:rPr>
          <w:rFonts w:hint="eastAsia" w:ascii="仿宋_GB2312" w:eastAsia="仿宋_GB2312"/>
          <w:sz w:val="32"/>
          <w:lang w:eastAsia="zh-CN"/>
        </w:rPr>
        <w:t>逐步完善，</w:t>
      </w:r>
      <w:r>
        <w:rPr>
          <w:rFonts w:hint="eastAsia" w:ascii="仿宋_GB2312" w:eastAsia="仿宋_GB2312"/>
          <w:sz w:val="32"/>
        </w:rPr>
        <w:t>深入社区积极宣传“零门槛”落户政策，取消城镇落户限制。配合上级部门开展全区及各镇</w:t>
      </w:r>
      <w:r>
        <w:rPr>
          <w:rFonts w:hint="eastAsia" w:ascii="仿宋_GB2312" w:eastAsia="仿宋_GB2312"/>
          <w:sz w:val="32"/>
          <w:lang w:eastAsia="zh-CN"/>
        </w:rPr>
        <w:t>（</w:t>
      </w:r>
      <w:r>
        <w:rPr>
          <w:rFonts w:hint="eastAsia" w:ascii="仿宋_GB2312" w:eastAsia="仿宋_GB2312"/>
          <w:sz w:val="32"/>
        </w:rPr>
        <w:t>街</w:t>
      </w:r>
      <w:r>
        <w:rPr>
          <w:rFonts w:hint="eastAsia" w:ascii="仿宋_GB2312" w:eastAsia="仿宋_GB2312"/>
          <w:sz w:val="32"/>
          <w:lang w:eastAsia="zh-CN"/>
        </w:rPr>
        <w:t>）</w:t>
      </w:r>
      <w:r>
        <w:rPr>
          <w:rFonts w:hint="eastAsia" w:ascii="仿宋_GB2312" w:eastAsia="仿宋_GB2312"/>
          <w:sz w:val="32"/>
        </w:rPr>
        <w:t>城镇化潜力摸底测算，完成了本年度及2025年城镇化目标编制工作。</w:t>
      </w:r>
      <w:r>
        <w:rPr>
          <w:rFonts w:hint="eastAsia" w:ascii="仿宋_GB2312" w:eastAsia="仿宋_GB2312"/>
          <w:sz w:val="32"/>
          <w:lang w:eastAsia="zh-CN"/>
        </w:rPr>
        <w:t>城镇交通、医疗、教育、住房保障等条件日趋完善，服务农业转移人口能力显著提升。城镇化建设从过去人口要素向城市集中的单一化过程转变为人口、资金、技能等各类要素向城镇集中的多元化过程。农业人口集中带动城市消费、投资效应逐步显现。</w:t>
      </w:r>
    </w:p>
    <w:p>
      <w:pPr>
        <w:spacing w:beforeLines="0" w:afterLines="0"/>
        <w:ind w:firstLine="643" w:firstLineChars="200"/>
        <w:rPr>
          <w:rFonts w:hint="eastAsia" w:ascii="仿宋_GB2312" w:eastAsia="仿宋_GB2312"/>
          <w:sz w:val="32"/>
        </w:rPr>
      </w:pPr>
      <w:r>
        <w:rPr>
          <w:rFonts w:hint="eastAsia" w:ascii="仿宋_GB2312" w:eastAsia="仿宋_GB2312"/>
          <w:b/>
          <w:sz w:val="32"/>
        </w:rPr>
        <w:t>新城建设与老城更新双管齐下。</w:t>
      </w:r>
      <w:r>
        <w:rPr>
          <w:rFonts w:hint="eastAsia" w:ascii="仿宋_GB2312" w:eastAsia="仿宋_GB2312"/>
          <w:sz w:val="32"/>
        </w:rPr>
        <w:t>落实“绣花”功夫推进城市更新改造，实施韶祥路、东堤北等道路整治工程。东部新城公共服务能力建设进一步增强。健康职业学院完成项目地块治污除名工作；广东省南方技师学院完成规划设计，项目规划建设用地386亩；韶关中医院（原韶州人民医院项目）已完成基础工程建设。产业配套</w:t>
      </w:r>
      <w:r>
        <w:rPr>
          <w:rFonts w:hint="eastAsia" w:ascii="仿宋_GB2312" w:eastAsia="仿宋_GB2312"/>
          <w:sz w:val="32"/>
          <w:lang w:eastAsia="zh-CN"/>
        </w:rPr>
        <w:t>设施</w:t>
      </w:r>
      <w:r>
        <w:rPr>
          <w:rFonts w:hint="eastAsia" w:ascii="仿宋_GB2312" w:eastAsia="仿宋_GB2312"/>
          <w:sz w:val="32"/>
        </w:rPr>
        <w:t>逐渐完善。华南农产品交易中心二期仓储配送区正式竣工验收；新供销天韶冷链物流园已完成项目总投资的69%。</w:t>
      </w:r>
    </w:p>
    <w:p>
      <w:pPr>
        <w:spacing w:beforeLines="0" w:afterLines="0"/>
        <w:ind w:firstLine="643" w:firstLineChars="200"/>
        <w:rPr>
          <w:rFonts w:hint="eastAsia" w:ascii="仿宋_GB2312" w:hAnsi="仿宋_GB2312" w:eastAsia="仿宋_GB2312"/>
          <w:snapToGrid w:val="0"/>
          <w:color w:val="000000"/>
          <w:kern w:val="0"/>
          <w:sz w:val="32"/>
        </w:rPr>
      </w:pPr>
      <w:r>
        <w:rPr>
          <w:rFonts w:hint="eastAsia" w:ascii="仿宋_GB2312" w:eastAsia="仿宋_GB2312"/>
          <w:b/>
          <w:sz w:val="32"/>
        </w:rPr>
        <w:t>美丽宜居乡村建设取得新进展。</w:t>
      </w:r>
      <w:r>
        <w:rPr>
          <w:rFonts w:hint="eastAsia" w:ascii="仿宋_GB2312" w:hAnsi="仿宋_GB2312" w:eastAsia="仿宋_GB2312"/>
          <w:snapToGrid w:val="0"/>
          <w:color w:val="000000"/>
          <w:kern w:val="0"/>
          <w:sz w:val="32"/>
        </w:rPr>
        <w:t>农村人居环境显著提升，环丹片区农村人居环境整治工程扎实推进，沙园村、陈江村环境整治工程已进入验收阶段；无害化卫生户厕广泛推广，170座户厕完成无害化改造，覆盖率达100%；安全饮用水和污水处理设施加快补齐，犁市镇、花坪镇污水处理厂技术改造工程相继完工。浈江区犁湾河治理工程、浈江区上坝陂河治理工程相继完成前期工作，进入工程实施阶段。</w:t>
      </w:r>
    </w:p>
    <w:p>
      <w:pPr>
        <w:spacing w:beforeLines="0" w:afterLines="0"/>
        <w:ind w:firstLine="643" w:firstLineChars="200"/>
        <w:rPr>
          <w:rFonts w:hint="eastAsia" w:ascii="仿宋_GB2312" w:hAnsi="仿宋_GB2312" w:eastAsia="仿宋_GB2312"/>
          <w:snapToGrid w:val="0"/>
          <w:color w:val="000000"/>
          <w:kern w:val="0"/>
          <w:sz w:val="32"/>
        </w:rPr>
      </w:pPr>
      <w:r>
        <w:rPr>
          <w:rFonts w:hint="eastAsia" w:ascii="仿宋_GB2312" w:eastAsia="仿宋_GB2312"/>
          <w:b/>
          <w:sz w:val="32"/>
        </w:rPr>
        <w:t>脱贫攻坚成果有效巩固。</w:t>
      </w:r>
      <w:r>
        <w:rPr>
          <w:rFonts w:hint="eastAsia" w:ascii="仿宋_GB2312" w:eastAsia="仿宋_GB2312"/>
          <w:sz w:val="32"/>
        </w:rPr>
        <w:t>制定《浈江区乡村振兴驻镇帮扶扶村工作方案》，完成了五个镇帮扶工作队进驻。</w:t>
      </w:r>
      <w:r>
        <w:rPr>
          <w:rFonts w:hint="eastAsia" w:ascii="仿宋_GB2312" w:hAnsi="仿宋_GB2312" w:eastAsia="仿宋_GB2312"/>
          <w:snapToGrid w:val="0"/>
          <w:color w:val="000000"/>
          <w:kern w:val="0"/>
          <w:sz w:val="32"/>
        </w:rPr>
        <w:t>提高</w:t>
      </w:r>
      <w:r>
        <w:rPr>
          <w:rFonts w:hint="eastAsia" w:ascii="仿宋_GB2312" w:eastAsia="仿宋_GB2312"/>
          <w:sz w:val="32"/>
        </w:rPr>
        <w:t>扶贫资产管理效能，全区</w:t>
      </w:r>
      <w:r>
        <w:rPr>
          <w:rFonts w:hint="eastAsia" w:ascii="仿宋_GB2312" w:hAnsi="仿宋_GB2312" w:eastAsia="仿宋_GB2312"/>
          <w:snapToGrid w:val="0"/>
          <w:color w:val="000000"/>
          <w:kern w:val="0"/>
          <w:sz w:val="32"/>
        </w:rPr>
        <w:t>扶贫项目资金资产交由区公共资产事务中心统一管理。</w:t>
      </w:r>
    </w:p>
    <w:p>
      <w:pPr>
        <w:numPr>
          <w:ilvl w:val="0"/>
          <w:numId w:val="0"/>
        </w:numPr>
        <w:spacing w:beforeLines="0" w:afterLines="0" w:line="600" w:lineRule="exact"/>
        <w:ind w:firstLine="640" w:firstLineChars="200"/>
        <w:rPr>
          <w:rFonts w:hint="eastAsia" w:ascii="楷体_GB2312" w:hAnsi="楷体_GB2312" w:eastAsia="楷体_GB2312"/>
          <w:sz w:val="32"/>
        </w:rPr>
      </w:pPr>
      <w:r>
        <w:rPr>
          <w:rFonts w:hint="eastAsia" w:ascii="楷体_GB2312" w:hAnsi="楷体_GB2312" w:eastAsia="楷体_GB2312"/>
          <w:sz w:val="32"/>
        </w:rPr>
        <w:t>（</w:t>
      </w:r>
      <w:r>
        <w:rPr>
          <w:rFonts w:hint="eastAsia" w:ascii="楷体_GB2312" w:hAnsi="楷体_GB2312" w:eastAsia="楷体_GB2312"/>
          <w:sz w:val="32"/>
          <w:lang w:eastAsia="zh-CN"/>
        </w:rPr>
        <w:t>三</w:t>
      </w:r>
      <w:r>
        <w:rPr>
          <w:rFonts w:hint="eastAsia" w:ascii="楷体_GB2312" w:hAnsi="楷体_GB2312" w:eastAsia="楷体_GB2312"/>
          <w:sz w:val="32"/>
        </w:rPr>
        <w:t>）综合改革活力有效激发</w:t>
      </w:r>
    </w:p>
    <w:p>
      <w:pPr>
        <w:numPr>
          <w:ilvl w:val="0"/>
          <w:numId w:val="0"/>
        </w:numPr>
        <w:spacing w:beforeLines="0" w:afterLines="0"/>
        <w:ind w:firstLine="643" w:firstLineChars="200"/>
        <w:rPr>
          <w:rFonts w:hint="eastAsia" w:ascii="仿宋_GB2312" w:eastAsia="仿宋_GB2312"/>
          <w:sz w:val="32"/>
        </w:rPr>
      </w:pPr>
      <w:r>
        <w:rPr>
          <w:rFonts w:hint="eastAsia" w:ascii="仿宋_GB2312" w:eastAsia="仿宋_GB2312"/>
          <w:b/>
          <w:sz w:val="32"/>
        </w:rPr>
        <w:t>资源资产价值化探索持续深入。</w:t>
      </w:r>
      <w:r>
        <w:rPr>
          <w:rFonts w:hint="eastAsia" w:ascii="仿宋_GB2312" w:eastAsia="仿宋_GB2312"/>
          <w:sz w:val="32"/>
        </w:rPr>
        <w:t>在完成对全区资产清查工作的基础上，积极推进国有资产价值挖掘工作，成功清理出了1631平方米国有商铺和房屋。大宗固废资源循环利用工作取得新进展，完善了煤矸石资源综合利用管理方案，全区上半年综合利用煤矸石57万吨，总计发电16.9亿千瓦。</w:t>
      </w:r>
    </w:p>
    <w:p>
      <w:pPr>
        <w:numPr>
          <w:ilvl w:val="0"/>
          <w:numId w:val="0"/>
        </w:numPr>
        <w:spacing w:beforeLines="0" w:afterLines="0"/>
        <w:ind w:firstLine="643" w:firstLineChars="200"/>
        <w:rPr>
          <w:rFonts w:hint="eastAsia" w:ascii="仿宋_GB2312" w:eastAsia="仿宋_GB2312"/>
          <w:sz w:val="32"/>
        </w:rPr>
      </w:pPr>
      <w:r>
        <w:rPr>
          <w:rFonts w:hint="eastAsia" w:ascii="仿宋_GB2312" w:eastAsia="仿宋_GB2312"/>
          <w:b/>
          <w:sz w:val="32"/>
        </w:rPr>
        <w:t>营商环境综合改革不断深化。</w:t>
      </w:r>
      <w:r>
        <w:rPr>
          <w:rFonts w:hint="eastAsia" w:ascii="仿宋_GB2312" w:eastAsia="仿宋_GB2312"/>
          <w:sz w:val="32"/>
        </w:rPr>
        <w:t>深化项目审批制度改革，政府投资项目审批业务已上线广东省投资项目在线审批监管平台。持续做好区级政府服务大厅建设，区政务服务大厅共进驻机关事业单位30个，政务服务事项覆盖率97.21%。全面推进“一网式、一门式”改革，1338项行政审批事项实现“一窗受理”，92.9%的政务服务事项实现网上办理。</w:t>
      </w:r>
    </w:p>
    <w:p>
      <w:pPr>
        <w:numPr>
          <w:ilvl w:val="0"/>
          <w:numId w:val="0"/>
        </w:numPr>
        <w:spacing w:beforeLines="0" w:afterLines="0" w:line="600" w:lineRule="exact"/>
        <w:ind w:firstLine="640" w:firstLineChars="200"/>
        <w:rPr>
          <w:rFonts w:hint="eastAsia" w:ascii="楷体_GB2312" w:hAnsi="楷体_GB2312" w:eastAsia="楷体_GB2312"/>
          <w:sz w:val="32"/>
        </w:rPr>
      </w:pPr>
      <w:r>
        <w:rPr>
          <w:rFonts w:hint="eastAsia" w:ascii="楷体_GB2312" w:hAnsi="楷体_GB2312" w:eastAsia="楷体_GB2312"/>
          <w:sz w:val="32"/>
          <w:lang w:eastAsia="zh-CN"/>
        </w:rPr>
        <w:t>（四）</w:t>
      </w:r>
      <w:r>
        <w:rPr>
          <w:rFonts w:hint="eastAsia" w:ascii="楷体_GB2312" w:hAnsi="楷体_GB2312" w:eastAsia="楷体_GB2312"/>
          <w:sz w:val="32"/>
        </w:rPr>
        <w:t>民生事业发展成果显著</w:t>
      </w:r>
    </w:p>
    <w:p>
      <w:pPr>
        <w:ind w:firstLine="643" w:firstLineChars="200"/>
        <w:rPr>
          <w:rFonts w:hint="default"/>
          <w:lang w:val="en-US" w:eastAsia="zh-CN"/>
        </w:rPr>
      </w:pPr>
      <w:r>
        <w:rPr>
          <w:rFonts w:hint="eastAsia" w:ascii="仿宋_GB2312" w:eastAsia="仿宋_GB2312"/>
          <w:b/>
          <w:sz w:val="32"/>
        </w:rPr>
        <w:t>抗疫成果获得市级表彰。</w:t>
      </w:r>
      <w:r>
        <w:rPr>
          <w:rFonts w:hint="eastAsia" w:ascii="仿宋_GB2312" w:hAnsi="仿宋_GB2312" w:eastAsia="仿宋_GB2312"/>
          <w:snapToGrid w:val="0"/>
          <w:color w:val="000000"/>
          <w:kern w:val="0"/>
          <w:sz w:val="32"/>
        </w:rPr>
        <w:t>积极部署疫情防控和疫苗接种，有效控制疫情反弹风险，全区疫苗接种43万多剂次，接种总人数超21万人，完成指标排名全市前列。</w:t>
      </w:r>
      <w:r>
        <w:rPr>
          <w:rFonts w:hint="eastAsia" w:ascii="仿宋_GB2312" w:hAnsi="仿宋_GB2312" w:eastAsia="仿宋_GB2312" w:cs="仿宋_GB2312"/>
          <w:snapToGrid w:val="0"/>
          <w:color w:val="000000"/>
          <w:kern w:val="0"/>
          <w:sz w:val="32"/>
          <w:szCs w:val="32"/>
          <w:lang w:val="en-US" w:eastAsia="zh-CN"/>
        </w:rPr>
        <w:t>完成9家远程医疗项目建设，智慧卫生院建设工作正按计划推进。</w:t>
      </w:r>
    </w:p>
    <w:p>
      <w:pPr>
        <w:spacing w:beforeLines="0" w:afterLines="0"/>
        <w:ind w:firstLine="643" w:firstLineChars="200"/>
        <w:rPr>
          <w:rFonts w:hint="eastAsia" w:ascii="仿宋_GB2312" w:hAnsi="仿宋_GB2312" w:eastAsia="仿宋_GB2312"/>
          <w:color w:val="000000"/>
          <w:sz w:val="32"/>
          <w:lang w:eastAsia="zh-CN"/>
        </w:rPr>
      </w:pPr>
      <w:r>
        <w:rPr>
          <w:rFonts w:hint="eastAsia" w:ascii="仿宋_GB2312" w:eastAsia="仿宋_GB2312"/>
          <w:b/>
          <w:sz w:val="32"/>
        </w:rPr>
        <w:t>民生事业投入保障有力。</w:t>
      </w:r>
      <w:r>
        <w:rPr>
          <w:rFonts w:hint="eastAsia" w:ascii="仿宋_GB2312" w:hAnsi="仿宋_GB2312" w:eastAsia="仿宋_GB2312"/>
          <w:color w:val="000000"/>
          <w:sz w:val="32"/>
        </w:rPr>
        <w:t>上半年全区</w:t>
      </w:r>
      <w:r>
        <w:rPr>
          <w:rFonts w:hint="eastAsia" w:ascii="仿宋_GB2312" w:hAnsi="仿宋_GB2312" w:eastAsia="仿宋_GB2312"/>
          <w:snapToGrid w:val="0"/>
          <w:color w:val="000000"/>
          <w:kern w:val="0"/>
          <w:sz w:val="32"/>
        </w:rPr>
        <w:t>保基本民生累计投入2.18亿元，其中</w:t>
      </w:r>
      <w:r>
        <w:rPr>
          <w:rFonts w:hint="eastAsia" w:ascii="仿宋_GB2312" w:hAnsi="仿宋_GB2312" w:eastAsia="仿宋_GB2312"/>
          <w:color w:val="000000"/>
          <w:sz w:val="32"/>
        </w:rPr>
        <w:t>城乡居民基本养老保险财政补助3617.25万元，城乡居民基本医疗保险财政补助7355.76万元</w:t>
      </w:r>
      <w:r>
        <w:rPr>
          <w:rFonts w:hint="eastAsia" w:ascii="仿宋_GB2312" w:hAnsi="仿宋_GB2312" w:eastAsia="仿宋_GB2312"/>
          <w:color w:val="000000"/>
          <w:sz w:val="32"/>
          <w:lang w:eastAsia="zh-CN"/>
        </w:rPr>
        <w:t>，切实满足人民美好生活的诉求，平安、和谐浈江建设迈进一大步。</w:t>
      </w:r>
    </w:p>
    <w:p>
      <w:pPr>
        <w:spacing w:beforeLines="0" w:afterLines="0"/>
        <w:ind w:firstLine="643" w:firstLineChars="200"/>
        <w:rPr>
          <w:rFonts w:hint="eastAsia" w:ascii="仿宋_GB2312" w:hAnsi="仿宋_GB2312" w:eastAsia="仿宋_GB2312"/>
          <w:color w:val="000000"/>
          <w:sz w:val="32"/>
        </w:rPr>
      </w:pPr>
      <w:r>
        <w:rPr>
          <w:rFonts w:hint="eastAsia" w:ascii="仿宋_GB2312" w:hAnsi="仿宋_GB2312" w:eastAsia="仿宋_GB2312"/>
          <w:b/>
          <w:color w:val="000000"/>
          <w:sz w:val="32"/>
        </w:rPr>
        <w:t>就业和</w:t>
      </w:r>
      <w:r>
        <w:rPr>
          <w:rFonts w:hint="eastAsia" w:ascii="仿宋_GB2312" w:eastAsia="仿宋_GB2312"/>
          <w:b/>
          <w:sz w:val="32"/>
        </w:rPr>
        <w:t>社会保障水平有效提高。</w:t>
      </w:r>
      <w:r>
        <w:rPr>
          <w:rFonts w:hint="eastAsia" w:ascii="仿宋_GB2312" w:hAnsi="仿宋_GB2312" w:eastAsia="仿宋_GB2312"/>
          <w:color w:val="000000"/>
          <w:sz w:val="32"/>
        </w:rPr>
        <w:t>就业形势保持稳定，城镇新增就业1503人，城镇登记失业率2.21%；落实各项就业创业扶持政策；组织举办3场线上招聘会和2场线下招聘会；累计举办15场“广东技工”</w:t>
      </w:r>
      <w:bookmarkStart w:id="0" w:name="_GoBack"/>
      <w:bookmarkEnd w:id="0"/>
      <w:r>
        <w:rPr>
          <w:rFonts w:hint="eastAsia" w:ascii="仿宋_GB2312" w:hAnsi="仿宋_GB2312" w:eastAsia="仿宋_GB2312"/>
          <w:color w:val="000000"/>
          <w:sz w:val="32"/>
        </w:rPr>
        <w:t>“粤菜师傅”培训班。社会保障范围逐步扩大，上半年，我区城乡居民养老保险参保42574人，企业职工基本养老保险参保84835人。</w:t>
      </w:r>
    </w:p>
    <w:p>
      <w:pPr>
        <w:spacing w:beforeLines="0" w:afterLines="0"/>
        <w:ind w:firstLine="643" w:firstLineChars="200"/>
        <w:rPr>
          <w:rFonts w:hint="eastAsia" w:ascii="仿宋_GB2312" w:hAnsi="仿宋_GB2312" w:eastAsia="仿宋_GB2312"/>
          <w:color w:val="000000"/>
          <w:sz w:val="32"/>
        </w:rPr>
      </w:pPr>
      <w:r>
        <w:rPr>
          <w:rFonts w:hint="eastAsia" w:ascii="仿宋_GB2312" w:eastAsia="仿宋_GB2312"/>
          <w:b/>
          <w:sz w:val="32"/>
        </w:rPr>
        <w:t>教育项目建设持续推进。</w:t>
      </w:r>
      <w:r>
        <w:rPr>
          <w:rFonts w:hint="eastAsia" w:ascii="仿宋_GB2312" w:hAnsi="仿宋_GB2312" w:eastAsia="仿宋_GB2312"/>
          <w:color w:val="000000"/>
          <w:sz w:val="32"/>
        </w:rPr>
        <w:t>全面提升教育现代化行动有序推进，稳步推进教育类重点项目建设。完成浈江区执信幼儿园搬迁改造项目主体工程，新建犁市镇梅村小学教学综合楼；有序推进校园厕所革命，完成31所学校厕所的改造升级。</w:t>
      </w:r>
    </w:p>
    <w:p>
      <w:pPr>
        <w:numPr>
          <w:ilvl w:val="0"/>
          <w:numId w:val="0"/>
        </w:numPr>
        <w:spacing w:beforeLines="0" w:afterLines="0" w:line="600" w:lineRule="exact"/>
        <w:ind w:leftChars="200" w:firstLine="320" w:firstLineChars="100"/>
        <w:rPr>
          <w:rFonts w:hint="eastAsia" w:ascii="楷体_GB2312" w:hAnsi="楷体_GB2312" w:eastAsia="楷体_GB2312"/>
          <w:sz w:val="32"/>
        </w:rPr>
      </w:pPr>
      <w:r>
        <w:rPr>
          <w:rFonts w:hint="eastAsia" w:ascii="楷体_GB2312" w:hAnsi="楷体_GB2312" w:eastAsia="楷体_GB2312"/>
          <w:sz w:val="32"/>
        </w:rPr>
        <w:t>（</w:t>
      </w:r>
      <w:r>
        <w:rPr>
          <w:rFonts w:hint="eastAsia" w:ascii="楷体_GB2312" w:hAnsi="楷体_GB2312" w:eastAsia="楷体_GB2312"/>
          <w:sz w:val="32"/>
          <w:lang w:eastAsia="zh-CN"/>
        </w:rPr>
        <w:t>五</w:t>
      </w:r>
      <w:r>
        <w:rPr>
          <w:rFonts w:hint="eastAsia" w:ascii="楷体_GB2312" w:hAnsi="楷体_GB2312" w:eastAsia="楷体_GB2312"/>
          <w:sz w:val="32"/>
        </w:rPr>
        <w:t>）生态质量不断提升</w:t>
      </w:r>
    </w:p>
    <w:p>
      <w:pPr>
        <w:numPr>
          <w:ilvl w:val="0"/>
          <w:numId w:val="0"/>
        </w:numPr>
        <w:spacing w:beforeLines="0" w:afterLines="0"/>
        <w:ind w:firstLine="643" w:firstLineChars="200"/>
        <w:rPr>
          <w:rFonts w:hint="eastAsia" w:ascii="仿宋_GB2312" w:eastAsia="仿宋_GB2312"/>
          <w:sz w:val="32"/>
        </w:rPr>
      </w:pPr>
      <w:r>
        <w:rPr>
          <w:rFonts w:hint="eastAsia" w:ascii="仿宋_GB2312" w:eastAsia="仿宋_GB2312"/>
          <w:b/>
          <w:sz w:val="32"/>
        </w:rPr>
        <w:t>生态保护与修复工作稳步推进。</w:t>
      </w:r>
      <w:r>
        <w:rPr>
          <w:rFonts w:hint="eastAsia" w:ascii="仿宋_GB2312" w:eastAsia="仿宋_GB2312"/>
          <w:sz w:val="32"/>
        </w:rPr>
        <w:t>成功申报9个新一批山水林田湖草生态保护修复试点项目，争取到中央奖补资金约1.56亿元。林业项目已基本完工并开始验收工作，水环境治理类项目、地质灾害治理及生态修复工程、煤矸石矿区遗址生态环境修复治理示范工程正加紧施工。</w:t>
      </w:r>
    </w:p>
    <w:p>
      <w:pPr>
        <w:numPr>
          <w:ilvl w:val="0"/>
          <w:numId w:val="0"/>
        </w:numPr>
        <w:spacing w:beforeLines="0" w:afterLines="0"/>
        <w:ind w:firstLine="643" w:firstLineChars="200"/>
        <w:rPr>
          <w:rFonts w:hint="eastAsia" w:ascii="仿宋_GB2312" w:eastAsia="仿宋_GB2312"/>
          <w:sz w:val="32"/>
        </w:rPr>
      </w:pPr>
      <w:r>
        <w:rPr>
          <w:rFonts w:hint="eastAsia" w:ascii="仿宋_GB2312" w:eastAsia="仿宋_GB2312"/>
          <w:b/>
          <w:sz w:val="32"/>
        </w:rPr>
        <w:t>生态工程建设扎实开展。</w:t>
      </w:r>
      <w:r>
        <w:rPr>
          <w:rFonts w:hint="eastAsia" w:ascii="仿宋_GB2312" w:eastAsia="仿宋_GB2312"/>
          <w:sz w:val="32"/>
        </w:rPr>
        <w:t>760亩高质量水源林（水土保持）建设营建项目和2420亩高质量水源林（水土保持）建设新造林抚育项目均已完成；绿美古树乡村建设项目正在进行基建部分建设；松材线虫病飞机撒药防治10万亩工作已完成，有害生物防控（地面防治）已完成第一轮地面喷洒药物工作、诱捕器挂设及春季普查工作。新建1处义务植树基地，面积100亩。</w:t>
      </w:r>
    </w:p>
    <w:p>
      <w:pPr>
        <w:widowControl/>
        <w:spacing w:beforeLines="0" w:afterLines="0"/>
        <w:ind w:firstLine="640" w:firstLineChars="200"/>
        <w:jc w:val="left"/>
        <w:rPr>
          <w:rFonts w:hint="eastAsia" w:ascii="仿宋_GB2312" w:hAnsi="仿宋_GB2312" w:eastAsia="仿宋_GB2312"/>
          <w:sz w:val="32"/>
        </w:rPr>
      </w:pPr>
      <w:r>
        <w:rPr>
          <w:rFonts w:hint="eastAsia" w:ascii="仿宋_GB2312" w:hAnsi="仿宋_GB2312" w:eastAsia="仿宋_GB2312"/>
          <w:sz w:val="32"/>
        </w:rPr>
        <w:t>当前，全球经济受疫情影响，增长明显放缓，国际、国内经济环境中不确定因素明显增多，我区经济情况不容乐观，特别是固定资产投资和重点项目建设及房地产开发投资等几项主要经济指标没有达到预期目标，出现较大的负增长，主要原因：</w:t>
      </w:r>
      <w:r>
        <w:rPr>
          <w:rFonts w:hint="eastAsia" w:ascii="仿宋_GB2312" w:hAnsi="仿宋_GB2312" w:eastAsia="仿宋_GB2312"/>
          <w:b/>
          <w:sz w:val="32"/>
        </w:rPr>
        <w:t>一是</w:t>
      </w:r>
      <w:r>
        <w:rPr>
          <w:rFonts w:hint="eastAsia" w:ascii="仿宋_GB2312" w:hAnsi="仿宋_GB2312" w:eastAsia="仿宋_GB2312"/>
          <w:sz w:val="32"/>
        </w:rPr>
        <w:t>市、区重点项目开工率低，全区48个重点项目中有17个项目至目前无法开工，占比达35.4%；</w:t>
      </w:r>
      <w:r>
        <w:rPr>
          <w:rFonts w:hint="eastAsia" w:ascii="仿宋_GB2312" w:hAnsi="仿宋_GB2312" w:eastAsia="仿宋_GB2312"/>
          <w:b/>
          <w:sz w:val="32"/>
        </w:rPr>
        <w:t>二是</w:t>
      </w:r>
      <w:r>
        <w:rPr>
          <w:rFonts w:hint="eastAsia" w:ascii="仿宋_GB2312" w:hAnsi="仿宋_GB2312" w:eastAsia="仿宋_GB2312"/>
          <w:sz w:val="32"/>
        </w:rPr>
        <w:t>政府投资项目支付慢、不到位，去年全区项目推进中，项目谋划质量不高；</w:t>
      </w:r>
      <w:r>
        <w:rPr>
          <w:rFonts w:hint="eastAsia" w:ascii="仿宋_GB2312" w:hAnsi="仿宋_GB2312" w:eastAsia="仿宋_GB2312"/>
          <w:b/>
          <w:sz w:val="32"/>
        </w:rPr>
        <w:t>三是</w:t>
      </w:r>
      <w:r>
        <w:rPr>
          <w:rFonts w:hint="eastAsia" w:ascii="仿宋_GB2312" w:hAnsi="仿宋_GB2312" w:eastAsia="仿宋_GB2312"/>
          <w:sz w:val="32"/>
        </w:rPr>
        <w:t>工业项目建设少，全区招商引资力度不够，项目储备不多，后劲发展不足；</w:t>
      </w:r>
      <w:r>
        <w:rPr>
          <w:rFonts w:hint="eastAsia" w:ascii="仿宋_GB2312" w:hAnsi="仿宋_GB2312" w:eastAsia="仿宋_GB2312"/>
          <w:b/>
          <w:sz w:val="32"/>
        </w:rPr>
        <w:t>四是</w:t>
      </w:r>
      <w:r>
        <w:rPr>
          <w:rFonts w:hint="eastAsia" w:ascii="仿宋_GB2312" w:hAnsi="仿宋_GB2312" w:eastAsia="仿宋_GB2312"/>
          <w:sz w:val="32"/>
        </w:rPr>
        <w:t>辖区32家房地产开发企业中，只有16家正常运营，但有11家出现负增长，商品房销售面积和销售额同比下降均超过30%，主要受国家宏观经济政策和市场购买力弱等多种因素的影响；</w:t>
      </w:r>
      <w:r>
        <w:rPr>
          <w:rFonts w:hint="eastAsia" w:ascii="仿宋_GB2312" w:hAnsi="仿宋_GB2312" w:eastAsia="仿宋_GB2312"/>
          <w:b/>
          <w:sz w:val="32"/>
        </w:rPr>
        <w:t>五是</w:t>
      </w:r>
      <w:r>
        <w:rPr>
          <w:rFonts w:hint="eastAsia" w:ascii="仿宋_GB2312" w:hAnsi="仿宋_GB2312" w:eastAsia="仿宋_GB2312"/>
          <w:sz w:val="32"/>
        </w:rPr>
        <w:t>各项成本拉升，特别是原材料，影响了项目建设。</w:t>
      </w:r>
    </w:p>
    <w:p>
      <w:pPr>
        <w:widowControl/>
        <w:spacing w:beforeLines="0" w:afterLines="0"/>
        <w:ind w:firstLine="620" w:firstLineChars="200"/>
        <w:jc w:val="left"/>
        <w:rPr>
          <w:rFonts w:hint="default" w:ascii="黑体" w:hAnsi="宋体" w:eastAsia="黑体"/>
          <w:color w:val="000000"/>
          <w:kern w:val="0"/>
          <w:sz w:val="31"/>
          <w:lang w:val="en-US" w:eastAsia="zh-CN"/>
        </w:rPr>
      </w:pPr>
      <w:r>
        <w:rPr>
          <w:rFonts w:hint="eastAsia" w:ascii="黑体" w:hAnsi="宋体" w:eastAsia="黑体"/>
          <w:color w:val="000000"/>
          <w:kern w:val="0"/>
          <w:sz w:val="31"/>
          <w:lang w:val="en-US" w:eastAsia="zh-CN"/>
        </w:rPr>
        <w:t>二、2021年下半年工作计划</w:t>
      </w:r>
    </w:p>
    <w:p>
      <w:pPr>
        <w:pStyle w:val="4"/>
        <w:widowControl w:val="0"/>
        <w:numPr>
          <w:ilvl w:val="0"/>
          <w:numId w:val="0"/>
        </w:numPr>
        <w:ind w:firstLine="640" w:firstLineChars="200"/>
        <w:jc w:val="both"/>
        <w:rPr>
          <w:rFonts w:hint="eastAsia"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下半年，我区将紧紧围绕高质量发展的主题，深化改革创新，推动全区和各镇（办）在区域经济布局中找准定位、发挥优势，着力推进新型工业化、新型城镇化、农业现代化，加快实现资源资产价值化，推动县域经济突破性发展和镇域经济特色化发展，打造全市新型工业化战略重地和全市商贸物流中心、争当韶关城乡融合发展示范区。高标准完成区人大制定的全年增长目标</w:t>
      </w:r>
      <w:r>
        <w:rPr>
          <w:rFonts w:hint="eastAsia" w:cstheme="minorBidi"/>
          <w:kern w:val="2"/>
          <w:sz w:val="32"/>
          <w:szCs w:val="24"/>
          <w:lang w:val="en-US" w:eastAsia="zh-CN" w:bidi="ar-SA"/>
        </w:rPr>
        <w:t>，</w:t>
      </w:r>
      <w:r>
        <w:rPr>
          <w:rFonts w:hint="eastAsia" w:ascii="仿宋_GB2312" w:hAnsi="仿宋_GB2312" w:eastAsia="仿宋_GB2312" w:cstheme="minorBidi"/>
          <w:kern w:val="2"/>
          <w:sz w:val="32"/>
          <w:szCs w:val="24"/>
          <w:lang w:val="en-US" w:eastAsia="zh-CN" w:bidi="ar-SA"/>
        </w:rPr>
        <w:t>实现</w:t>
      </w:r>
      <w:r>
        <w:rPr>
          <w:rFonts w:hint="eastAsia" w:cstheme="minorBidi"/>
          <w:kern w:val="2"/>
          <w:sz w:val="32"/>
          <w:szCs w:val="24"/>
          <w:lang w:val="en-US" w:eastAsia="zh-CN" w:bidi="ar-SA"/>
        </w:rPr>
        <w:t>：</w:t>
      </w:r>
    </w:p>
    <w:p>
      <w:pPr>
        <w:pStyle w:val="4"/>
        <w:widowControl w:val="0"/>
        <w:numPr>
          <w:ilvl w:val="0"/>
          <w:numId w:val="0"/>
        </w:numPr>
        <w:ind w:firstLine="640" w:firstLineChars="200"/>
        <w:jc w:val="both"/>
        <w:rPr>
          <w:rFonts w:hint="eastAsia" w:ascii="仿宋_GB2312" w:hAnsi="仿宋_GB2312" w:eastAsia="仿宋_GB2312" w:cstheme="minorBidi"/>
          <w:kern w:val="2"/>
          <w:sz w:val="32"/>
          <w:szCs w:val="24"/>
          <w:lang w:val="en-US" w:eastAsia="zh-CN" w:bidi="ar-SA"/>
        </w:rPr>
      </w:pPr>
      <w:r>
        <w:rPr>
          <w:rFonts w:hint="eastAsia" w:cstheme="minorBidi"/>
          <w:kern w:val="2"/>
          <w:sz w:val="32"/>
          <w:szCs w:val="24"/>
          <w:lang w:val="en-US" w:eastAsia="zh-CN" w:bidi="ar-SA"/>
        </w:rPr>
        <w:t>——</w:t>
      </w:r>
      <w:r>
        <w:rPr>
          <w:rFonts w:hint="eastAsia" w:ascii="仿宋_GB2312" w:hAnsi="仿宋_GB2312" w:eastAsia="仿宋_GB2312" w:cstheme="minorBidi"/>
          <w:kern w:val="2"/>
          <w:sz w:val="32"/>
          <w:szCs w:val="24"/>
          <w:lang w:val="en-US" w:eastAsia="zh-CN" w:bidi="ar-SA"/>
        </w:rPr>
        <w:t>地区生产总值增长6%，</w:t>
      </w:r>
    </w:p>
    <w:p>
      <w:pPr>
        <w:pStyle w:val="4"/>
        <w:widowControl w:val="0"/>
        <w:numPr>
          <w:ilvl w:val="0"/>
          <w:numId w:val="0"/>
        </w:numPr>
        <w:ind w:firstLine="640" w:firstLineChars="200"/>
        <w:jc w:val="both"/>
        <w:rPr>
          <w:rFonts w:hint="eastAsia" w:ascii="仿宋_GB2312" w:hAnsi="仿宋_GB2312" w:eastAsia="仿宋_GB2312" w:cstheme="minorBidi"/>
          <w:kern w:val="2"/>
          <w:sz w:val="32"/>
          <w:szCs w:val="24"/>
          <w:lang w:val="en-US" w:eastAsia="zh-CN" w:bidi="ar-SA"/>
        </w:rPr>
      </w:pPr>
      <w:r>
        <w:rPr>
          <w:rFonts w:hint="eastAsia" w:cstheme="minorBidi"/>
          <w:kern w:val="2"/>
          <w:sz w:val="32"/>
          <w:szCs w:val="24"/>
          <w:lang w:val="en-US" w:eastAsia="zh-CN" w:bidi="ar-SA"/>
        </w:rPr>
        <w:t>——</w:t>
      </w:r>
      <w:r>
        <w:rPr>
          <w:rFonts w:hint="eastAsia" w:ascii="仿宋_GB2312" w:hAnsi="仿宋_GB2312" w:eastAsia="仿宋_GB2312" w:cstheme="minorBidi"/>
          <w:kern w:val="2"/>
          <w:sz w:val="32"/>
          <w:szCs w:val="24"/>
          <w:lang w:val="en-US" w:eastAsia="zh-CN" w:bidi="ar-SA"/>
        </w:rPr>
        <w:t>固定资产投资增长10%，</w:t>
      </w:r>
    </w:p>
    <w:p>
      <w:pPr>
        <w:pStyle w:val="4"/>
        <w:widowControl w:val="0"/>
        <w:numPr>
          <w:ilvl w:val="0"/>
          <w:numId w:val="0"/>
        </w:numPr>
        <w:ind w:firstLine="640" w:firstLineChars="200"/>
        <w:jc w:val="both"/>
        <w:rPr>
          <w:rFonts w:hint="eastAsia" w:ascii="仿宋_GB2312" w:hAnsi="仿宋_GB2312" w:eastAsia="仿宋_GB2312" w:cstheme="minorBidi"/>
          <w:kern w:val="2"/>
          <w:sz w:val="32"/>
          <w:szCs w:val="24"/>
          <w:lang w:val="en-US" w:eastAsia="zh-CN" w:bidi="ar-SA"/>
        </w:rPr>
      </w:pPr>
      <w:r>
        <w:rPr>
          <w:rFonts w:hint="eastAsia" w:cstheme="minorBidi"/>
          <w:kern w:val="2"/>
          <w:sz w:val="32"/>
          <w:szCs w:val="24"/>
          <w:lang w:val="en-US" w:eastAsia="zh-CN" w:bidi="ar-SA"/>
        </w:rPr>
        <w:t>——</w:t>
      </w:r>
      <w:r>
        <w:rPr>
          <w:rFonts w:hint="eastAsia" w:ascii="仿宋_GB2312" w:hAnsi="仿宋_GB2312" w:eastAsia="仿宋_GB2312" w:cstheme="minorBidi"/>
          <w:kern w:val="2"/>
          <w:sz w:val="32"/>
          <w:szCs w:val="24"/>
          <w:lang w:val="en-US" w:eastAsia="zh-CN" w:bidi="ar-SA"/>
        </w:rPr>
        <w:t>社会消费品零售总额增长7%，</w:t>
      </w:r>
    </w:p>
    <w:p>
      <w:pPr>
        <w:pStyle w:val="4"/>
        <w:widowControl w:val="0"/>
        <w:numPr>
          <w:ilvl w:val="0"/>
          <w:numId w:val="0"/>
        </w:numPr>
        <w:ind w:firstLine="640" w:firstLineChars="200"/>
        <w:jc w:val="both"/>
        <w:rPr>
          <w:rFonts w:hint="eastAsia" w:ascii="仿宋_GB2312" w:hAnsi="仿宋_GB2312" w:eastAsia="仿宋_GB2312" w:cstheme="minorBidi"/>
          <w:kern w:val="2"/>
          <w:sz w:val="32"/>
          <w:szCs w:val="24"/>
          <w:lang w:val="en-US" w:eastAsia="zh-CN" w:bidi="ar-SA"/>
        </w:rPr>
      </w:pPr>
      <w:r>
        <w:rPr>
          <w:rFonts w:hint="eastAsia" w:cstheme="minorBidi"/>
          <w:kern w:val="2"/>
          <w:sz w:val="32"/>
          <w:szCs w:val="24"/>
          <w:lang w:val="en-US" w:eastAsia="zh-CN" w:bidi="ar-SA"/>
        </w:rPr>
        <w:t>——</w:t>
      </w:r>
      <w:r>
        <w:rPr>
          <w:rFonts w:hint="eastAsia" w:ascii="仿宋_GB2312" w:hAnsi="仿宋_GB2312" w:eastAsia="仿宋_GB2312" w:cstheme="minorBidi"/>
          <w:kern w:val="2"/>
          <w:sz w:val="32"/>
          <w:szCs w:val="24"/>
          <w:lang w:val="en-US" w:eastAsia="zh-CN" w:bidi="ar-SA"/>
        </w:rPr>
        <w:t>工业增加值增长9%，</w:t>
      </w:r>
    </w:p>
    <w:p>
      <w:pPr>
        <w:pStyle w:val="4"/>
        <w:widowControl w:val="0"/>
        <w:numPr>
          <w:ilvl w:val="0"/>
          <w:numId w:val="0"/>
        </w:numPr>
        <w:ind w:firstLine="640" w:firstLineChars="200"/>
        <w:jc w:val="both"/>
        <w:rPr>
          <w:rFonts w:hint="eastAsia" w:ascii="仿宋_GB2312" w:hAnsi="仿宋_GB2312" w:eastAsia="仿宋_GB2312" w:cstheme="minorBidi"/>
          <w:kern w:val="2"/>
          <w:sz w:val="32"/>
          <w:szCs w:val="24"/>
          <w:lang w:val="en-US" w:eastAsia="zh-CN" w:bidi="ar-SA"/>
        </w:rPr>
      </w:pPr>
      <w:r>
        <w:rPr>
          <w:rFonts w:hint="eastAsia" w:cstheme="minorBidi"/>
          <w:kern w:val="2"/>
          <w:sz w:val="32"/>
          <w:szCs w:val="24"/>
          <w:lang w:val="en-US" w:eastAsia="zh-CN" w:bidi="ar-SA"/>
        </w:rPr>
        <w:t>——</w:t>
      </w:r>
      <w:r>
        <w:rPr>
          <w:rFonts w:hint="eastAsia" w:ascii="仿宋_GB2312" w:hAnsi="仿宋_GB2312" w:eastAsia="仿宋_GB2312" w:cstheme="minorBidi"/>
          <w:kern w:val="2"/>
          <w:sz w:val="32"/>
          <w:szCs w:val="24"/>
          <w:lang w:val="en-US" w:eastAsia="zh-CN" w:bidi="ar-SA"/>
        </w:rPr>
        <w:t>建筑业增加值增长3%。</w:t>
      </w:r>
    </w:p>
    <w:p>
      <w:pPr>
        <w:pStyle w:val="4"/>
        <w:widowControl w:val="0"/>
        <w:numPr>
          <w:ilvl w:val="0"/>
          <w:numId w:val="0"/>
        </w:numPr>
        <w:ind w:firstLine="640" w:firstLineChars="200"/>
        <w:jc w:val="both"/>
        <w:rPr>
          <w:rFonts w:hint="eastAsia" w:ascii="仿宋_GB2312" w:hAnsi="仿宋_GB2312" w:eastAsia="仿宋_GB2312" w:cstheme="minorBidi"/>
          <w:kern w:val="2"/>
          <w:sz w:val="32"/>
          <w:szCs w:val="24"/>
          <w:lang w:val="en-US" w:eastAsia="zh-CN" w:bidi="ar-SA"/>
        </w:rPr>
      </w:pPr>
      <w:r>
        <w:rPr>
          <w:rFonts w:hint="eastAsia" w:cstheme="minorBidi"/>
          <w:kern w:val="2"/>
          <w:sz w:val="32"/>
          <w:szCs w:val="24"/>
          <w:lang w:val="en-US" w:eastAsia="zh-CN" w:bidi="ar-SA"/>
        </w:rPr>
        <w:t>——完成</w:t>
      </w:r>
      <w:r>
        <w:rPr>
          <w:rFonts w:hint="eastAsia" w:ascii="仿宋_GB2312" w:hAnsi="仿宋_GB2312" w:eastAsia="仿宋_GB2312" w:cstheme="minorBidi"/>
          <w:kern w:val="2"/>
          <w:sz w:val="32"/>
          <w:szCs w:val="24"/>
          <w:lang w:val="en-US" w:eastAsia="zh-CN" w:bidi="ar-SA"/>
        </w:rPr>
        <w:t>重点项目建设投资额48.03亿元。</w:t>
      </w:r>
    </w:p>
    <w:p>
      <w:pPr>
        <w:pStyle w:val="4"/>
        <w:widowControl w:val="0"/>
        <w:numPr>
          <w:ilvl w:val="0"/>
          <w:numId w:val="0"/>
        </w:numPr>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theme="minorBidi"/>
          <w:kern w:val="2"/>
          <w:sz w:val="32"/>
          <w:szCs w:val="24"/>
          <w:lang w:val="en-US" w:eastAsia="zh-CN" w:bidi="ar-SA"/>
        </w:rPr>
        <w:t>在完成区人大目标的基础上争取完成市下达的目标任务</w:t>
      </w:r>
      <w:r>
        <w:rPr>
          <w:rFonts w:hint="eastAsia" w:cstheme="minorBidi"/>
          <w:kern w:val="2"/>
          <w:sz w:val="32"/>
          <w:szCs w:val="24"/>
          <w:lang w:val="en-US" w:eastAsia="zh-CN" w:bidi="ar-SA"/>
        </w:rPr>
        <w:t>——</w:t>
      </w:r>
      <w:r>
        <w:rPr>
          <w:rFonts w:hint="eastAsia" w:ascii="仿宋_GB2312" w:hAnsi="仿宋_GB2312" w:eastAsia="仿宋_GB2312" w:cstheme="minorBidi"/>
          <w:kern w:val="2"/>
          <w:sz w:val="32"/>
          <w:szCs w:val="24"/>
          <w:lang w:val="en-US" w:eastAsia="zh-CN" w:bidi="ar-SA"/>
        </w:rPr>
        <w:t>力争地区生产总值增速突破8%，固定资产投资增速突破13%</w:t>
      </w:r>
      <w:r>
        <w:rPr>
          <w:rFonts w:hint="eastAsia" w:cstheme="minorBidi"/>
          <w:kern w:val="2"/>
          <w:sz w:val="32"/>
          <w:szCs w:val="24"/>
          <w:lang w:val="en-US" w:eastAsia="zh-CN" w:bidi="ar-SA"/>
        </w:rPr>
        <w:t>。</w:t>
      </w:r>
      <w:r>
        <w:rPr>
          <w:rFonts w:hint="eastAsia" w:ascii="仿宋_GB2312" w:hAnsi="仿宋_GB2312" w:eastAsia="仿宋_GB2312" w:cs="仿宋_GB2312"/>
          <w:color w:val="000000"/>
          <w:sz w:val="32"/>
          <w:szCs w:val="32"/>
        </w:rPr>
        <w:t>重点抓好以下工作：</w:t>
      </w:r>
    </w:p>
    <w:p>
      <w:pPr>
        <w:pStyle w:val="4"/>
        <w:widowControl w:val="0"/>
        <w:numPr>
          <w:ilvl w:val="0"/>
          <w:numId w:val="1"/>
        </w:numPr>
        <w:ind w:left="0" w:leftChars="0" w:firstLine="640" w:firstLineChars="200"/>
        <w:jc w:val="both"/>
        <w:rPr>
          <w:rFonts w:hint="eastAsia" w:ascii="楷体_GB2312" w:hAnsi="楷体_GB2312" w:eastAsia="楷体_GB2312" w:cs="楷体_GB2312"/>
          <w:kern w:val="2"/>
          <w:sz w:val="32"/>
          <w:szCs w:val="32"/>
          <w:lang w:val="en-US" w:eastAsia="zh-CN" w:bidi="zh-CN"/>
        </w:rPr>
      </w:pPr>
      <w:r>
        <w:rPr>
          <w:rFonts w:hint="eastAsia" w:ascii="楷体_GB2312" w:hAnsi="楷体_GB2312" w:eastAsia="楷体_GB2312" w:cs="楷体_GB2312"/>
          <w:kern w:val="2"/>
          <w:sz w:val="32"/>
          <w:szCs w:val="32"/>
          <w:lang w:val="en-US" w:eastAsia="zh-CN" w:bidi="zh-CN"/>
        </w:rPr>
        <w:t>推进产业现代化，推动县域镇域经济高质量发展</w:t>
      </w:r>
    </w:p>
    <w:p>
      <w:pPr>
        <w:pStyle w:val="4"/>
        <w:widowControl w:val="0"/>
        <w:numPr>
          <w:ilvl w:val="0"/>
          <w:numId w:val="0"/>
        </w:numPr>
        <w:ind w:firstLine="643" w:firstLineChars="200"/>
        <w:jc w:val="both"/>
        <w:rPr>
          <w:rFonts w:hint="default" w:ascii="仿宋_GB2312" w:hAnsi="仿宋_GB2312" w:eastAsia="仿宋_GB2312" w:cs="仿宋_GB2312"/>
          <w:lang w:val="en-US" w:eastAsia="zh-CN"/>
        </w:rPr>
      </w:pPr>
      <w:r>
        <w:rPr>
          <w:rFonts w:hint="eastAsia" w:ascii="仿宋_GB2312" w:hAnsi="仿宋_GB2312" w:eastAsia="仿宋_GB2312" w:cs="仿宋_GB2312"/>
          <w:b/>
          <w:bCs/>
          <w:lang w:val="en-US" w:eastAsia="zh-CN"/>
        </w:rPr>
        <w:t>推进农业现代化，促进融合发展。</w:t>
      </w:r>
      <w:r>
        <w:rPr>
          <w:rFonts w:hint="eastAsia" w:ascii="仿宋_GB2312" w:hAnsi="仿宋_GB2312" w:eastAsia="仿宋_GB2312" w:cs="仿宋_GB2312"/>
          <w:lang w:val="en-US" w:eastAsia="zh-CN"/>
        </w:rPr>
        <w:t>做大优质稻、蔬菜、水果、</w:t>
      </w:r>
      <w:r>
        <w:rPr>
          <w:rFonts w:hint="eastAsia" w:cs="仿宋_GB2312"/>
          <w:lang w:val="en-US" w:eastAsia="zh-CN"/>
        </w:rPr>
        <w:t>生猪</w:t>
      </w:r>
      <w:r>
        <w:rPr>
          <w:rFonts w:hint="eastAsia" w:ascii="仿宋_GB2312" w:hAnsi="仿宋_GB2312" w:eastAsia="仿宋_GB2312" w:cs="仿宋_GB2312"/>
          <w:lang w:val="en-US" w:eastAsia="zh-CN"/>
        </w:rPr>
        <w:t>、优质鱼等传统产业</w:t>
      </w:r>
      <w:r>
        <w:rPr>
          <w:rFonts w:hint="eastAsia" w:cs="仿宋_GB2312"/>
          <w:lang w:val="en-US" w:eastAsia="zh-CN"/>
        </w:rPr>
        <w:t>，</w:t>
      </w:r>
      <w:r>
        <w:rPr>
          <w:rFonts w:hint="eastAsia" w:ascii="仿宋_GB2312" w:hAnsi="仿宋_GB2312" w:eastAsia="仿宋_GB2312" w:cs="仿宋_GB2312"/>
          <w:lang w:val="en-US" w:eastAsia="zh-CN"/>
        </w:rPr>
        <w:t>做</w:t>
      </w:r>
      <w:r>
        <w:rPr>
          <w:rFonts w:hint="eastAsia" w:cs="仿宋_GB2312"/>
          <w:lang w:val="en-US" w:eastAsia="zh-CN"/>
        </w:rPr>
        <w:t>强</w:t>
      </w:r>
      <w:r>
        <w:rPr>
          <w:rFonts w:hint="eastAsia" w:ascii="仿宋_GB2312" w:hAnsi="仿宋_GB2312" w:eastAsia="仿宋_GB2312" w:cs="仿宋_GB2312"/>
          <w:lang w:val="en-US" w:eastAsia="zh-CN"/>
        </w:rPr>
        <w:t>油茶、兰花</w:t>
      </w:r>
      <w:r>
        <w:rPr>
          <w:rFonts w:hint="eastAsia" w:cs="仿宋_GB2312"/>
          <w:lang w:val="en-US" w:eastAsia="zh-CN"/>
        </w:rPr>
        <w:t>、中药材三大特色</w:t>
      </w:r>
      <w:r>
        <w:rPr>
          <w:rFonts w:hint="eastAsia" w:ascii="仿宋_GB2312" w:hAnsi="仿宋_GB2312" w:eastAsia="仿宋_GB2312" w:cs="仿宋_GB2312"/>
          <w:lang w:val="en-US" w:eastAsia="zh-CN"/>
        </w:rPr>
        <w:t>产业</w:t>
      </w:r>
      <w:r>
        <w:rPr>
          <w:rFonts w:hint="eastAsia" w:cs="仿宋_GB2312"/>
          <w:lang w:val="en-US" w:eastAsia="zh-CN"/>
        </w:rPr>
        <w:t>，</w:t>
      </w:r>
      <w:r>
        <w:rPr>
          <w:rFonts w:hint="eastAsia" w:ascii="仿宋_GB2312" w:hAnsi="仿宋_GB2312" w:eastAsia="仿宋_GB2312" w:cs="仿宋_GB2312"/>
          <w:lang w:val="en-US" w:eastAsia="zh-CN"/>
        </w:rPr>
        <w:t>推进特色农产品</w:t>
      </w:r>
      <w:r>
        <w:rPr>
          <w:rFonts w:hint="eastAsia" w:cs="仿宋_GB2312"/>
          <w:lang w:val="en-US" w:eastAsia="zh-CN"/>
        </w:rPr>
        <w:t>产业链向</w:t>
      </w:r>
      <w:r>
        <w:rPr>
          <w:rFonts w:hint="eastAsia" w:ascii="仿宋_GB2312" w:hAnsi="仿宋_GB2312" w:eastAsia="仿宋_GB2312" w:cs="仿宋_GB2312"/>
          <w:lang w:val="en-US" w:eastAsia="zh-CN"/>
        </w:rPr>
        <w:t>精深加工</w:t>
      </w:r>
      <w:r>
        <w:rPr>
          <w:rFonts w:hint="eastAsia" w:cs="仿宋_GB2312"/>
          <w:lang w:val="en-US" w:eastAsia="zh-CN"/>
        </w:rPr>
        <w:t>、冷链物流等下游高附加值行业延伸，促进一、二、三产业融合发展</w:t>
      </w:r>
      <w:r>
        <w:rPr>
          <w:rFonts w:hint="eastAsia" w:ascii="仿宋_GB2312" w:hAnsi="仿宋_GB2312" w:eastAsia="仿宋_GB2312" w:cs="仿宋_GB2312"/>
          <w:lang w:val="en-US" w:eastAsia="zh-CN"/>
        </w:rPr>
        <w:t>。牢牢守住耕地红线，加强高标准农田建设</w:t>
      </w:r>
      <w:r>
        <w:rPr>
          <w:rFonts w:hint="eastAsia" w:cs="仿宋_GB2312"/>
          <w:lang w:val="en-US" w:eastAsia="zh-CN"/>
        </w:rPr>
        <w:t>，稳步推进水田垦造和拆旧复垦工作</w:t>
      </w:r>
      <w:r>
        <w:rPr>
          <w:rFonts w:hint="eastAsia" w:ascii="仿宋_GB2312" w:hAnsi="仿宋_GB2312" w:eastAsia="仿宋_GB2312" w:cs="仿宋_GB2312"/>
          <w:lang w:val="en-US" w:eastAsia="zh-CN"/>
        </w:rPr>
        <w:t>。</w:t>
      </w:r>
      <w:r>
        <w:rPr>
          <w:rFonts w:hint="eastAsia" w:cs="仿宋_GB2312"/>
          <w:lang w:val="en-US" w:eastAsia="zh-CN"/>
        </w:rPr>
        <w:t>抓好新韶樱花基地建设，大力发展林下经济，率先探索实现林业资源资产价值化。在花坪建成南药种植基地，发展花坪肉鸡特色品牌，推动“一村一品”、“一镇一业”蓬勃发展。</w:t>
      </w:r>
      <w:r>
        <w:rPr>
          <w:rFonts w:hint="eastAsia" w:ascii="仿宋_GB2312" w:hAnsi="仿宋_GB2312" w:eastAsia="仿宋_GB2312" w:cs="仿宋_GB2312"/>
          <w:lang w:val="en-US" w:eastAsia="zh-CN"/>
        </w:rPr>
        <w:t>推进现代农业产业园建设，发展友丰油茶农业产业园、冯氏生态园</w:t>
      </w:r>
      <w:r>
        <w:rPr>
          <w:rFonts w:hint="eastAsia" w:cs="仿宋_GB2312"/>
          <w:lang w:val="en-US" w:eastAsia="zh-CN"/>
        </w:rPr>
        <w:t>等</w:t>
      </w:r>
      <w:r>
        <w:rPr>
          <w:rFonts w:hint="eastAsia" w:ascii="仿宋_GB2312" w:hAnsi="仿宋_GB2312" w:eastAsia="仿宋_GB2312" w:cs="仿宋_GB2312"/>
          <w:lang w:val="en-US" w:eastAsia="zh-CN"/>
        </w:rPr>
        <w:t>规模化经营示范基地。大力推广生态农业、旅游农业、林下</w:t>
      </w:r>
      <w:r>
        <w:rPr>
          <w:rFonts w:hint="eastAsia" w:cs="仿宋_GB2312"/>
          <w:lang w:val="en-US" w:eastAsia="zh-CN"/>
        </w:rPr>
        <w:t>种植</w:t>
      </w:r>
      <w:r>
        <w:rPr>
          <w:rFonts w:hint="eastAsia" w:ascii="仿宋_GB2312" w:hAnsi="仿宋_GB2312" w:eastAsia="仿宋_GB2312" w:cs="仿宋_GB2312"/>
          <w:lang w:val="en-US" w:eastAsia="zh-CN"/>
        </w:rPr>
        <w:t>等特色产业发展新模式，打造一批新经济、新业态示范点。</w:t>
      </w:r>
      <w:r>
        <w:rPr>
          <w:rFonts w:hint="eastAsia" w:cs="仿宋_GB2312"/>
          <w:lang w:val="en-US" w:eastAsia="zh-CN"/>
        </w:rPr>
        <w:t>做好畜禽稳产保供工作，推进海大现代生猪屠宰与冷链物流项目进度。争取新增1家市级以上农业龙头企业</w:t>
      </w:r>
      <w:r>
        <w:rPr>
          <w:rFonts w:hint="eastAsia" w:ascii="仿宋_GB2312" w:hAnsi="仿宋_GB2312" w:eastAsia="仿宋_GB2312" w:cs="仿宋_GB2312"/>
          <w:lang w:val="en-US" w:eastAsia="zh-CN"/>
        </w:rPr>
        <w:t>，</w:t>
      </w:r>
      <w:r>
        <w:rPr>
          <w:rFonts w:hint="eastAsia" w:cs="仿宋_GB2312"/>
          <w:lang w:val="en-US" w:eastAsia="zh-CN"/>
        </w:rPr>
        <w:t>建成“浈江河谷”精致农业产业带，加速构建“一镇一业、一村一品”农业产品经营体系。</w:t>
      </w:r>
    </w:p>
    <w:p>
      <w:pPr>
        <w:pStyle w:val="4"/>
        <w:widowControl w:val="0"/>
        <w:numPr>
          <w:ilvl w:val="0"/>
          <w:numId w:val="0"/>
        </w:numPr>
        <w:ind w:firstLine="643" w:firstLineChars="200"/>
        <w:jc w:val="both"/>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推进新型工业化，</w:t>
      </w:r>
      <w:r>
        <w:rPr>
          <w:rFonts w:hint="eastAsia" w:cs="仿宋_GB2312"/>
          <w:b/>
          <w:bCs/>
          <w:lang w:val="en-US" w:eastAsia="zh-CN"/>
        </w:rPr>
        <w:t>做大做强园区工业。</w:t>
      </w:r>
      <w:r>
        <w:rPr>
          <w:rFonts w:hint="eastAsia" w:ascii="仿宋_GB2312" w:hAnsi="仿宋_GB2312" w:eastAsia="仿宋_GB2312" w:cs="仿宋_GB2312"/>
          <w:b w:val="0"/>
          <w:bCs w:val="0"/>
          <w:lang w:eastAsia="zh-CN"/>
        </w:rPr>
        <w:t>突出园区带动。</w:t>
      </w:r>
      <w:r>
        <w:rPr>
          <w:rFonts w:hint="eastAsia" w:ascii="仿宋_GB2312" w:hAnsi="仿宋_GB2312" w:eastAsia="仿宋_GB2312" w:cs="仿宋_GB2312"/>
          <w:lang w:eastAsia="zh-CN"/>
        </w:rPr>
        <w:t>强化产业园服务企业能力，增强龙头企业辐射带动效应，围绕正威韶关新材料科技示范城等重大项目，在园区范围内合理布局公共服务配套等用地用于完善生活、医疗、教育等公共服务配套；依托国粤电力热能资源，规划打造循环利用产业园区，加快循环产业发展，增强园区可持续发展能力。推进园区土地集约化利用，全面清查土地亩产或容积率低的企业，提升园区土地资源使用效益。</w:t>
      </w:r>
      <w:r>
        <w:rPr>
          <w:rFonts w:hint="eastAsia" w:ascii="仿宋_GB2312" w:hAnsi="仿宋_GB2312" w:eastAsia="仿宋_GB2312" w:cs="仿宋_GB2312"/>
          <w:sz w:val="32"/>
          <w:szCs w:val="32"/>
          <w:lang w:bidi="zh-CN"/>
        </w:rPr>
        <w:t>引进和培育先进装备制造、新兴材料、生物医药、电子信息、食品加工等绿色低碳产业</w:t>
      </w:r>
      <w:r>
        <w:rPr>
          <w:rFonts w:hint="eastAsia" w:cs="仿宋_GB2312"/>
          <w:b/>
          <w:bCs/>
          <w:lang w:val="en-US" w:eastAsia="zh-CN"/>
        </w:rPr>
        <w:t>。</w:t>
      </w:r>
      <w:r>
        <w:rPr>
          <w:rFonts w:hint="eastAsia" w:cs="仿宋_GB2312"/>
          <w:lang w:val="en-US" w:eastAsia="zh-CN"/>
        </w:rPr>
        <w:t>倾力做好正威新材料项目前期准备工作，强化土地、规划等要素保障，力争年底完成一期项目建设。</w:t>
      </w:r>
      <w:r>
        <w:rPr>
          <w:rFonts w:hint="eastAsia" w:ascii="仿宋_GB2312" w:hAnsi="仿宋_GB2312" w:eastAsia="仿宋_GB2312" w:cs="仿宋_GB2312"/>
          <w:sz w:val="32"/>
          <w:szCs w:val="32"/>
          <w:lang w:bidi="zh-CN"/>
        </w:rPr>
        <w:t>推动韶冶“厂区变</w:t>
      </w:r>
      <w:r>
        <w:rPr>
          <w:rFonts w:hint="eastAsia" w:cs="仿宋_GB2312"/>
          <w:sz w:val="32"/>
          <w:szCs w:val="32"/>
          <w:lang w:bidi="zh-CN"/>
        </w:rPr>
        <w:t>园</w:t>
      </w:r>
      <w:r>
        <w:rPr>
          <w:rFonts w:hint="eastAsia" w:ascii="仿宋_GB2312" w:hAnsi="仿宋_GB2312" w:eastAsia="仿宋_GB2312" w:cs="仿宋_GB2312"/>
          <w:sz w:val="32"/>
          <w:szCs w:val="32"/>
          <w:lang w:bidi="zh-CN"/>
        </w:rPr>
        <w:t>区、产区变城区”改革试点工作，支持韶冶利用存量土地招引下游产业，建设中金岭南韶关有色金属新型功能材料绿色制造基地，打造以有色金属新型功能材料、高端智能装备制造、金属二次资源循环利用为主导产业的新型产业园区。做好我区工业和技改投资项目复工复产指导工作，建立工业和技改项目台账；跟进服务磊蒙二期厂房、祺瑞智能环保矿机、韶化民爆工业雷管技改等项目加快建设。</w:t>
      </w:r>
    </w:p>
    <w:p>
      <w:pPr>
        <w:pStyle w:val="4"/>
        <w:widowControl w:val="0"/>
        <w:numPr>
          <w:ilvl w:val="0"/>
          <w:numId w:val="0"/>
        </w:numPr>
        <w:ind w:firstLine="643" w:firstLineChars="200"/>
        <w:jc w:val="both"/>
        <w:rPr>
          <w:rFonts w:hint="default" w:cs="仿宋_GB2312"/>
          <w:lang w:val="en-US" w:eastAsia="zh-CN"/>
        </w:rPr>
      </w:pPr>
      <w:r>
        <w:rPr>
          <w:rFonts w:hint="eastAsia" w:ascii="仿宋_GB2312" w:hAnsi="仿宋_GB2312" w:eastAsia="仿宋_GB2312" w:cs="仿宋_GB2312"/>
          <w:b/>
          <w:bCs/>
          <w:lang w:val="en-US" w:eastAsia="zh-CN"/>
        </w:rPr>
        <w:t>发展现代服务业，</w:t>
      </w:r>
      <w:r>
        <w:rPr>
          <w:rFonts w:hint="eastAsia" w:cs="仿宋_GB2312"/>
          <w:b/>
          <w:bCs/>
          <w:lang w:val="en-US" w:eastAsia="zh-CN"/>
        </w:rPr>
        <w:t>推进服务业高质量发展</w:t>
      </w:r>
      <w:r>
        <w:rPr>
          <w:rFonts w:hint="eastAsia" w:ascii="仿宋_GB2312" w:hAnsi="仿宋_GB2312" w:eastAsia="仿宋_GB2312" w:cs="仿宋_GB2312"/>
          <w:b/>
          <w:bCs/>
          <w:lang w:val="en-US" w:eastAsia="zh-CN"/>
        </w:rPr>
        <w:t>。</w:t>
      </w:r>
      <w:r>
        <w:rPr>
          <w:rFonts w:hint="eastAsia" w:cs="仿宋_GB2312"/>
          <w:lang w:val="en-US" w:eastAsia="zh-CN"/>
        </w:rPr>
        <w:t>加快东部商住商贸文旅融合新城建设，推进华南农产品交易中心三期、新供销天韶冷链物流园等项目建设，打造商贸商住、科技服务、文化旅游等高端产业聚集区。强化现代服务业板块对一、二产业的支撑作用，依托东部创新创业平台集聚优势，发展数据服务、现代物流、电子商务、专业服务等领域，加快构建与新型工业化、农业现代化要求相匹配的现代服务业体系。促进</w:t>
      </w:r>
      <w:r>
        <w:rPr>
          <w:rFonts w:hint="eastAsia" w:ascii="方正仿宋简体" w:hAnsi="方正仿宋简体" w:eastAsia="方正仿宋简体" w:cs="方正仿宋简体"/>
          <w:bCs/>
          <w:sz w:val="32"/>
          <w:szCs w:val="32"/>
        </w:rPr>
        <w:t>粤港澳大湾区一体化算力网络国家枢纽节点核心数据集群落户我区</w:t>
      </w:r>
      <w:r>
        <w:rPr>
          <w:rFonts w:hint="eastAsia" w:ascii="方正仿宋简体" w:hAnsi="方正仿宋简体" w:eastAsia="方正仿宋简体" w:cs="方正仿宋简体"/>
          <w:bCs/>
          <w:sz w:val="32"/>
          <w:szCs w:val="32"/>
          <w:lang w:eastAsia="zh-CN"/>
        </w:rPr>
        <w:t>，规划打造国家级大数据产业集群，培育“数据</w:t>
      </w:r>
      <w:r>
        <w:rPr>
          <w:rFonts w:hint="eastAsia" w:ascii="方正仿宋简体" w:hAnsi="方正仿宋简体" w:eastAsia="方正仿宋简体" w:cs="方正仿宋简体"/>
          <w:bCs/>
          <w:sz w:val="32"/>
          <w:szCs w:val="32"/>
          <w:lang w:val="en-US" w:eastAsia="zh-CN"/>
        </w:rPr>
        <w:t>+</w:t>
      </w:r>
      <w:r>
        <w:rPr>
          <w:rFonts w:hint="eastAsia" w:ascii="方正仿宋简体" w:hAnsi="方正仿宋简体" w:eastAsia="方正仿宋简体" w:cs="方正仿宋简体"/>
          <w:bCs/>
          <w:sz w:val="32"/>
          <w:szCs w:val="32"/>
          <w:lang w:eastAsia="zh-CN"/>
        </w:rPr>
        <w:t>”产业融合新形式，推动经济信息化转型，规划建设“云上浈江”。</w:t>
      </w:r>
      <w:r>
        <w:rPr>
          <w:rFonts w:hint="eastAsia" w:cs="仿宋_GB2312"/>
          <w:lang w:val="en-US" w:eastAsia="zh-CN"/>
        </w:rPr>
        <w:t>健全“文化+旅游”新业态发展机制，借助“生态基因、红色基因、研学基因”，以华南历史研学基地研学旅游擦亮浈江旅游品牌。大力挖掘乡村旅游和康养休闲旅游等旅游新业态，加快推进茶花公园和古樟廊带建设，重点支持阅丹公路十里画廊提标升级，同步打响乡村旅游品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bidi="zh-CN"/>
        </w:rPr>
      </w:pPr>
      <w:r>
        <w:rPr>
          <w:rFonts w:hint="eastAsia" w:ascii="楷体_GB2312" w:hAnsi="楷体_GB2312" w:eastAsia="楷体_GB2312" w:cs="楷体_GB2312"/>
          <w:sz w:val="32"/>
          <w:szCs w:val="32"/>
          <w:lang w:bidi="zh-CN"/>
        </w:rPr>
        <w:t>推进项目建设，强化投资对经济的拉动作用</w:t>
      </w:r>
    </w:p>
    <w:p>
      <w:pPr>
        <w:pStyle w:val="4"/>
        <w:widowControl w:val="0"/>
        <w:numPr>
          <w:ilvl w:val="0"/>
          <w:numId w:val="0"/>
        </w:numPr>
        <w:ind w:firstLine="643" w:firstLineChars="200"/>
        <w:jc w:val="both"/>
        <w:rPr>
          <w:rFonts w:hint="eastAsia"/>
          <w:lang w:eastAsia="zh-CN"/>
        </w:rPr>
      </w:pPr>
      <w:r>
        <w:rPr>
          <w:rFonts w:hint="eastAsia"/>
          <w:b/>
          <w:bCs/>
          <w:lang w:eastAsia="zh-CN"/>
        </w:rPr>
        <w:t>全力促进重点项目建设提速提质。</w:t>
      </w:r>
      <w:r>
        <w:rPr>
          <w:rFonts w:hint="eastAsia"/>
          <w:lang w:eastAsia="zh-CN"/>
        </w:rPr>
        <w:t>加强项目谋划，在深入研究国家、省和市政策的基础上，高效集约利用我区资源要素，谋划一批符合我区产业发展方向的、能显著提升经济发展实力和民生保障水平的项目。严格落实《浈江区2021年区领导挂点联系区重点项目分工方案》，全面贯彻区挂点领导和区责任部门主动对接项目制度，促进项目如期推进，加强固定资产投资和重点项目协调工作，梳理符合条件的项目，力促项目开工建设，确保完成市下达我区的重点项目建设和固定资产投资增长任务。重点做好大型项目推动工作，发挥大型项目对固定资产投资的稳盘作用。倾力做好正威集团、韶冶有色金属产业园首批入园项目落地服务工作；全力争取粤港澳大湾区一体化算力网络国家枢纽节点核心数据集群落户我区，打造千亿级大数据产业集群；加大力度促进华南农产品交易中心三期项目、华南教育历史研学大村基地二期项目开工建设。</w:t>
      </w:r>
    </w:p>
    <w:p>
      <w:pPr>
        <w:pStyle w:val="4"/>
        <w:widowControl w:val="0"/>
        <w:numPr>
          <w:ilvl w:val="0"/>
          <w:numId w:val="0"/>
        </w:numPr>
        <w:ind w:firstLine="643" w:firstLineChars="200"/>
        <w:jc w:val="both"/>
        <w:rPr>
          <w:rFonts w:hint="eastAsia" w:cs="仿宋_GB2312"/>
          <w:lang w:eastAsia="zh-CN"/>
        </w:rPr>
      </w:pPr>
      <w:r>
        <w:rPr>
          <w:rFonts w:hint="eastAsia"/>
          <w:b/>
          <w:bCs/>
          <w:lang w:eastAsia="zh-CN"/>
        </w:rPr>
        <w:t>强化招商引资对经济的提振作用。</w:t>
      </w:r>
      <w:r>
        <w:rPr>
          <w:rFonts w:hint="eastAsia" w:ascii="仿宋_GB2312" w:hAnsi="仿宋_GB2312" w:eastAsia="仿宋_GB2312" w:cs="仿宋_GB2312"/>
          <w:lang w:eastAsia="zh-CN"/>
        </w:rPr>
        <w:t>紧盯大湾区产业溢出机遇，围绕先进材料、先进装备制造、现代轻工产业、现代商贸物流等优势主导产业，以构建现代产业体系为总抓手，全面落实“一把手”招商工作机制，深入实施强链、补链、延链工程，充分发挥项目招引对经济的带动作用。贯彻落实区委全会审议通过的《浈江区关于提高招商引资质量与成效的实施意见》</w:t>
      </w:r>
      <w:r>
        <w:rPr>
          <w:rFonts w:hint="eastAsia" w:cs="仿宋_GB2312"/>
          <w:lang w:eastAsia="zh-CN"/>
        </w:rPr>
        <w:t>，以产业链招商为总抓手，围绕韶冶“厂区变园区、产区变城区”产业链、商贸物流产业链、工业和信息化产业链、文旅康养产业链、现代农业产业链、新型城镇化建设产业链、科教产业链等7个产业链的定位，按照“五个一”工作模式，有重点地开展招商引资工作，严把项目引进关注重龙头项目引进，加强招商引资全流程服务，着力招引项目落地浈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bidi="zh-CN"/>
        </w:rPr>
      </w:pPr>
      <w:r>
        <w:rPr>
          <w:rFonts w:hint="eastAsia" w:ascii="楷体_GB2312" w:hAnsi="楷体_GB2312" w:eastAsia="楷体_GB2312" w:cs="楷体_GB2312"/>
          <w:sz w:val="32"/>
          <w:szCs w:val="32"/>
          <w:lang w:eastAsia="zh-CN" w:bidi="zh-CN"/>
        </w:rPr>
        <w:t>推进新型城镇化，建设城乡融合发展示范区</w:t>
      </w:r>
    </w:p>
    <w:p>
      <w:pPr>
        <w:pStyle w:val="4"/>
        <w:widowControl w:val="0"/>
        <w:numPr>
          <w:ilvl w:val="0"/>
          <w:numId w:val="0"/>
        </w:numPr>
        <w:ind w:firstLine="643" w:firstLineChars="200"/>
        <w:jc w:val="both"/>
        <w:rPr>
          <w:rFonts w:hint="eastAsia" w:ascii="仿宋_GB2312"/>
          <w:lang w:val="en-US" w:eastAsia="zh-CN"/>
        </w:rPr>
      </w:pPr>
      <w:r>
        <w:rPr>
          <w:rFonts w:hint="eastAsia" w:cs="仿宋_GB2312"/>
          <w:b/>
          <w:bCs/>
          <w:sz w:val="32"/>
          <w:szCs w:val="32"/>
          <w:lang w:val="en-US" w:bidi="zh-CN"/>
        </w:rPr>
        <w:t>深化细化</w:t>
      </w:r>
      <w:r>
        <w:rPr>
          <w:rFonts w:hint="eastAsia" w:ascii="仿宋_GB2312" w:hAnsi="仿宋_GB2312" w:eastAsia="仿宋_GB2312" w:cs="仿宋_GB2312"/>
          <w:b/>
          <w:bCs/>
          <w:sz w:val="32"/>
          <w:szCs w:val="32"/>
          <w:lang w:val="en-US" w:bidi="zh-CN"/>
        </w:rPr>
        <w:t>新型城镇化系列改革措施。</w:t>
      </w:r>
      <w:r>
        <w:rPr>
          <w:rFonts w:hint="eastAsia" w:ascii="仿宋_GB2312" w:hAnsi="仿宋_GB2312" w:eastAsia="仿宋_GB2312" w:cs="仿宋_GB2312"/>
          <w:sz w:val="32"/>
          <w:szCs w:val="32"/>
          <w:lang w:val="en-US" w:bidi="zh-CN"/>
        </w:rPr>
        <w:t>全面放开户籍制度限制，</w:t>
      </w:r>
      <w:r>
        <w:rPr>
          <w:rFonts w:hint="eastAsia" w:cs="仿宋_GB2312"/>
          <w:sz w:val="32"/>
          <w:szCs w:val="32"/>
          <w:lang w:val="en-US" w:eastAsia="zh-CN" w:bidi="zh-CN"/>
        </w:rPr>
        <w:t>进一步落实</w:t>
      </w:r>
      <w:r>
        <w:rPr>
          <w:rFonts w:hint="eastAsia" w:ascii="仿宋_GB2312" w:hAnsi="Times New Roman"/>
        </w:rPr>
        <w:t>“</w:t>
      </w:r>
      <w:r>
        <w:rPr>
          <w:rFonts w:hint="eastAsia" w:ascii="仿宋_GB2312"/>
        </w:rPr>
        <w:t>零门槛</w:t>
      </w:r>
      <w:r>
        <w:rPr>
          <w:rFonts w:hint="eastAsia" w:ascii="仿宋_GB2312" w:hAnsi="Times New Roman"/>
        </w:rPr>
        <w:t>”</w:t>
      </w:r>
      <w:r>
        <w:rPr>
          <w:rFonts w:hint="eastAsia" w:ascii="仿宋_GB2312" w:hAnsi="Times New Roman"/>
          <w:lang w:val="en-US" w:eastAsia="zh-CN"/>
        </w:rPr>
        <w:t>入户</w:t>
      </w:r>
      <w:r>
        <w:rPr>
          <w:rFonts w:hint="eastAsia" w:ascii="仿宋_GB2312"/>
        </w:rPr>
        <w:t>政策</w:t>
      </w:r>
      <w:r>
        <w:rPr>
          <w:rFonts w:hint="eastAsia" w:ascii="仿宋_GB2312"/>
          <w:lang w:eastAsia="zh-CN"/>
        </w:rPr>
        <w:t>，</w:t>
      </w:r>
      <w:r>
        <w:rPr>
          <w:rFonts w:hint="eastAsia" w:ascii="仿宋_GB2312"/>
          <w:lang w:val="en-US" w:eastAsia="zh-CN"/>
        </w:rPr>
        <w:t>实行转移入户线上“一站式”办理等便民措施</w:t>
      </w:r>
      <w:r>
        <w:rPr>
          <w:rFonts w:hint="eastAsia"/>
          <w:lang w:val="en-US" w:eastAsia="zh-CN"/>
        </w:rPr>
        <w:t>；参照市关于促进农业转移人口的若干措施，因地制宜制定我区具体行动方案</w:t>
      </w:r>
      <w:r>
        <w:rPr>
          <w:rFonts w:hint="eastAsia" w:ascii="仿宋_GB2312"/>
          <w:lang w:val="en-US" w:eastAsia="zh-CN"/>
        </w:rPr>
        <w:t>；落实对农业转移人口的住房保障政策，全面实行农业转移人口购买住房契税减免政策；大力推动镇改街、村改居工作，加快推进曲仁办事处</w:t>
      </w:r>
      <w:r>
        <w:rPr>
          <w:rFonts w:hint="eastAsia"/>
          <w:lang w:val="en-US" w:eastAsia="zh-CN"/>
        </w:rPr>
        <w:t>改</w:t>
      </w:r>
      <w:r>
        <w:rPr>
          <w:rFonts w:hint="eastAsia" w:ascii="仿宋_GB2312"/>
          <w:lang w:val="en-US" w:eastAsia="zh-CN"/>
        </w:rPr>
        <w:t>设街道办事处，谋划推动乐园镇改为街道办事处，年内启动新韶镇、乐园镇、十里亭镇1-2个村改居试点，加快推进农业转移人口市民化，力争达到市下达的城镇化率目标</w:t>
      </w:r>
      <w:r>
        <w:rPr>
          <w:rFonts w:hint="eastAsia"/>
          <w:lang w:val="en-US" w:eastAsia="zh-CN"/>
        </w:rPr>
        <w:t>；落实公职人员市民化行动，在全面摸清公职人员户籍情况的基础上，全力动员户籍仍在农村而不从事农林牧渔业生产的公职人员将户口迁入城镇。</w:t>
      </w:r>
    </w:p>
    <w:p>
      <w:pPr>
        <w:pStyle w:val="4"/>
        <w:widowControl w:val="0"/>
        <w:numPr>
          <w:ilvl w:val="0"/>
          <w:numId w:val="0"/>
        </w:numPr>
        <w:ind w:firstLine="643" w:firstLineChars="200"/>
        <w:jc w:val="both"/>
        <w:rPr>
          <w:rFonts w:hint="eastAsia" w:ascii="仿宋_GB2312" w:hAnsi="仿宋_GB2312" w:eastAsia="仿宋_GB2312" w:cs="仿宋_GB2312"/>
          <w:sz w:val="32"/>
          <w:szCs w:val="32"/>
        </w:rPr>
      </w:pPr>
      <w:r>
        <w:rPr>
          <w:rFonts w:hint="eastAsia" w:cs="仿宋_GB2312"/>
          <w:b/>
          <w:bCs/>
          <w:sz w:val="32"/>
          <w:szCs w:val="32"/>
          <w:lang w:val="en-US" w:eastAsia="zh-CN"/>
        </w:rPr>
        <w:t>多措并举提升</w:t>
      </w:r>
      <w:r>
        <w:rPr>
          <w:rFonts w:hint="eastAsia" w:ascii="仿宋_GB2312" w:hAnsi="仿宋_GB2312" w:eastAsia="仿宋_GB2312" w:cs="仿宋_GB2312"/>
          <w:b/>
          <w:bCs/>
          <w:sz w:val="32"/>
          <w:szCs w:val="32"/>
          <w:lang w:val="en-US" w:eastAsia="zh-CN"/>
        </w:rPr>
        <w:t>城镇综合承载能力。</w:t>
      </w:r>
      <w:r>
        <w:rPr>
          <w:rFonts w:hint="eastAsia" w:ascii="仿宋_GB2312" w:hAnsi="仿宋_GB2312" w:eastAsia="仿宋_GB2312" w:cs="仿宋_GB2312"/>
          <w:b w:val="0"/>
          <w:bCs w:val="0"/>
          <w:sz w:val="32"/>
          <w:szCs w:val="32"/>
          <w:lang w:val="en-US" w:eastAsia="zh-CN"/>
        </w:rPr>
        <w:t>科学规划城乡发展格局。</w:t>
      </w:r>
      <w:r>
        <w:rPr>
          <w:rFonts w:hint="eastAsia" w:cs="仿宋_GB2312"/>
          <w:lang w:val="en-US" w:eastAsia="zh-CN"/>
        </w:rPr>
        <w:t>做好东部科教园、北部新型工业园、中金岭南（韶关）功能材料产业园（韶冶现址）、南部汽贸园等重点片区、重要节点国土空间详细规划和产业布局；全力补齐农村基础设施和公共服务短板，提升区域发展需求与市级规划匹配度，为未来发展持续拓展空间。</w:t>
      </w:r>
      <w:r>
        <w:rPr>
          <w:rFonts w:hint="eastAsia" w:cs="仿宋_GB2312"/>
          <w:b w:val="0"/>
          <w:bCs w:val="0"/>
          <w:lang w:val="en-US" w:eastAsia="zh-CN"/>
        </w:rPr>
        <w:t>优化城乡交通路网。</w:t>
      </w:r>
      <w:r>
        <w:rPr>
          <w:rFonts w:hint="eastAsia" w:cs="仿宋_GB2312"/>
          <w:lang w:val="en-US" w:eastAsia="zh-CN"/>
        </w:rPr>
        <w:t>推进大村至梅塘、环九龄公园浈江段沥青混凝土路面、县道X849线路面改造工程，为农村旅游项目提供顺畅的交通保障；补齐农村交通设施短板，实施新韶镇陈江山桥、犁市镇双头厂桥和大富桥等危桥改造工程；抓好全域县乡道路项目建设工作</w:t>
      </w:r>
      <w:r>
        <w:rPr>
          <w:rFonts w:hint="eastAsia" w:cs="仿宋_GB2312"/>
          <w:b/>
          <w:bCs/>
          <w:lang w:val="en-US" w:eastAsia="zh-CN"/>
        </w:rPr>
        <w:t>。</w:t>
      </w:r>
      <w:r>
        <w:rPr>
          <w:rFonts w:hint="eastAsia" w:cs="仿宋_GB2312"/>
          <w:b w:val="0"/>
          <w:bCs w:val="0"/>
          <w:lang w:val="en-US" w:eastAsia="zh-CN"/>
        </w:rPr>
        <w:t>优化城市生活品质。</w:t>
      </w:r>
      <w:r>
        <w:rPr>
          <w:rFonts w:hint="eastAsia" w:cs="仿宋_GB2312"/>
          <w:lang w:val="en-US" w:eastAsia="zh-CN"/>
        </w:rPr>
        <w:t>推进“三旧”改造，推动星港城、鸿源众力、广晟冶金机械厂片区等3个改造项目；推进小岛片区风貌提升工程，围绕中山公园和百年东街等休闲文化集聚区，发展运动康养、文化创意新业态；加快实施老旧小区改造，</w:t>
      </w:r>
      <w:r>
        <w:rPr>
          <w:rFonts w:hint="eastAsia" w:ascii="仿宋_GB2312" w:hAnsi="仿宋_GB2312" w:eastAsia="仿宋_GB2312" w:cs="仿宋_GB2312"/>
          <w:sz w:val="32"/>
          <w:szCs w:val="32"/>
          <w:lang w:bidi="zh-CN"/>
        </w:rPr>
        <w:t>推动原中省驻韶单位住宿区</w:t>
      </w:r>
      <w:r>
        <w:rPr>
          <w:rFonts w:hint="eastAsia" w:ascii="仿宋_GB2312" w:hAnsi="仿宋_GB2312" w:eastAsia="仿宋_GB2312" w:cs="仿宋_GB2312"/>
          <w:sz w:val="32"/>
          <w:szCs w:val="32"/>
          <w:lang w:val="en-US" w:bidi="zh-CN"/>
        </w:rPr>
        <w:t>等3个</w:t>
      </w:r>
      <w:r>
        <w:rPr>
          <w:rFonts w:hint="eastAsia" w:ascii="仿宋_GB2312" w:hAnsi="仿宋_GB2312" w:eastAsia="仿宋_GB2312" w:cs="仿宋_GB2312"/>
          <w:sz w:val="32"/>
          <w:szCs w:val="32"/>
          <w:lang w:bidi="zh-CN"/>
        </w:rPr>
        <w:t>老旧小区改造</w:t>
      </w:r>
      <w:r>
        <w:rPr>
          <w:rFonts w:hint="eastAsia" w:ascii="仿宋_GB2312" w:hAnsi="仿宋_GB2312" w:eastAsia="仿宋_GB2312" w:cs="仿宋_GB2312"/>
          <w:sz w:val="32"/>
          <w:szCs w:val="32"/>
          <w:lang w:val="en-US" w:bidi="zh-CN"/>
        </w:rPr>
        <w:t>工程。</w:t>
      </w:r>
      <w:r>
        <w:rPr>
          <w:rFonts w:hint="eastAsia" w:ascii="仿宋_GB2312" w:hAnsi="仿宋_GB2312" w:eastAsia="仿宋_GB2312" w:cs="仿宋_GB2312"/>
          <w:sz w:val="32"/>
          <w:szCs w:val="32"/>
        </w:rPr>
        <w:t>落实</w:t>
      </w:r>
      <w:r>
        <w:rPr>
          <w:rFonts w:hint="cs" w:ascii="仿宋_GB2312" w:hAnsi="仿宋_GB2312" w:eastAsia="仿宋_GB2312" w:cs="仿宋_GB2312"/>
          <w:sz w:val="32"/>
          <w:szCs w:val="32"/>
        </w:rPr>
        <w:t>“</w:t>
      </w:r>
      <w:r>
        <w:rPr>
          <w:rFonts w:hint="eastAsia" w:ascii="仿宋_GB2312" w:hAnsi="仿宋_GB2312" w:eastAsia="仿宋_GB2312" w:cs="仿宋_GB2312"/>
          <w:sz w:val="32"/>
          <w:szCs w:val="32"/>
        </w:rPr>
        <w:t>把乡镇建成服务农民的区域中心</w:t>
      </w:r>
      <w:r>
        <w:rPr>
          <w:rFonts w:hint="cs" w:ascii="仿宋_GB2312" w:hAnsi="仿宋_GB2312" w:eastAsia="仿宋_GB2312" w:cs="仿宋_GB2312"/>
          <w:sz w:val="32"/>
          <w:szCs w:val="32"/>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rPr>
        <w:t>部署，开展镇街</w:t>
      </w:r>
      <w:r>
        <w:rPr>
          <w:rFonts w:hint="cs" w:ascii="仿宋_GB2312" w:hAnsi="仿宋_GB2312" w:eastAsia="仿宋_GB2312" w:cs="仿宋_GB2312"/>
          <w:sz w:val="32"/>
          <w:szCs w:val="32"/>
        </w:rPr>
        <w:t>“</w:t>
      </w:r>
      <w:r>
        <w:rPr>
          <w:rFonts w:ascii="仿宋_GB2312" w:hAnsi="仿宋_GB2312" w:eastAsia="仿宋_GB2312" w:cs="仿宋_GB2312"/>
          <w:sz w:val="32"/>
          <w:szCs w:val="32"/>
        </w:rPr>
        <w:t>139</w:t>
      </w:r>
      <w:r>
        <w:rPr>
          <w:rFonts w:hint="cs" w:ascii="仿宋_GB2312" w:hAnsi="仿宋_GB2312" w:eastAsia="仿宋_GB2312" w:cs="仿宋_GB2312"/>
          <w:sz w:val="32"/>
          <w:szCs w:val="32"/>
        </w:rPr>
        <w:t>”</w:t>
      </w:r>
      <w:r>
        <w:rPr>
          <w:rFonts w:hint="eastAsia" w:ascii="仿宋_GB2312" w:hAnsi="仿宋_GB2312" w:eastAsia="仿宋_GB2312" w:cs="仿宋_GB2312"/>
          <w:sz w:val="32"/>
          <w:szCs w:val="32"/>
        </w:rPr>
        <w:t>行动计划，</w:t>
      </w:r>
      <w:r>
        <w:rPr>
          <w:rFonts w:hint="eastAsia" w:ascii="仿宋_GB2312" w:hAnsi="仿宋_GB2312" w:eastAsia="仿宋_GB2312" w:cs="仿宋_GB2312"/>
          <w:sz w:val="32"/>
          <w:szCs w:val="32"/>
          <w:lang w:val="en-US" w:eastAsia="zh-CN"/>
        </w:rPr>
        <w:t>完善镇级基础设施建设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完善镇街经济监测体制，争取出台</w:t>
      </w:r>
      <w:r>
        <w:rPr>
          <w:rFonts w:hint="eastAsia" w:ascii="仿宋_GB2312" w:hAnsi="仿宋_GB2312" w:eastAsia="仿宋_GB2312" w:cs="仿宋_GB2312"/>
          <w:sz w:val="32"/>
          <w:szCs w:val="32"/>
        </w:rPr>
        <w:t>乡镇企业生产总值核算工作方案。</w:t>
      </w:r>
    </w:p>
    <w:p>
      <w:pPr>
        <w:pStyle w:val="4"/>
        <w:widowControl w:val="0"/>
        <w:numPr>
          <w:ilvl w:val="0"/>
          <w:numId w:val="1"/>
        </w:numPr>
        <w:ind w:left="0" w:leftChars="0" w:firstLine="640" w:firstLineChars="200"/>
        <w:jc w:val="both"/>
        <w:rPr>
          <w:rFonts w:hint="eastAsia" w:ascii="楷体_GB2312" w:hAnsi="楷体_GB2312" w:eastAsia="楷体_GB2312" w:cs="楷体_GB2312"/>
          <w:kern w:val="2"/>
          <w:sz w:val="32"/>
          <w:szCs w:val="32"/>
          <w:lang w:val="en-US" w:eastAsia="zh-CN" w:bidi="zh-CN"/>
        </w:rPr>
      </w:pPr>
      <w:r>
        <w:rPr>
          <w:rFonts w:hint="eastAsia" w:ascii="楷体_GB2312" w:hAnsi="楷体_GB2312" w:eastAsia="楷体_GB2312" w:cs="楷体_GB2312"/>
          <w:kern w:val="2"/>
          <w:sz w:val="32"/>
          <w:szCs w:val="32"/>
          <w:lang w:val="en-US" w:eastAsia="zh-CN" w:bidi="zh-CN"/>
        </w:rPr>
        <w:t>推进乡村振兴，建设新型美丽宜居乡村</w:t>
      </w:r>
    </w:p>
    <w:p>
      <w:pPr>
        <w:pStyle w:val="4"/>
        <w:widowControl w:val="0"/>
        <w:numPr>
          <w:ilvl w:val="0"/>
          <w:numId w:val="0"/>
        </w:numPr>
        <w:ind w:firstLine="643" w:firstLineChars="200"/>
        <w:jc w:val="both"/>
        <w:rPr>
          <w:rFonts w:hint="eastAsia" w:ascii="仿宋_GB2312" w:hAnsi="仿宋_GB2312" w:eastAsia="仿宋_GB2312" w:cs="仿宋_GB2312"/>
          <w:sz w:val="32"/>
          <w:szCs w:val="32"/>
          <w:lang w:bidi="zh-CN"/>
        </w:rPr>
      </w:pPr>
      <w:r>
        <w:rPr>
          <w:rFonts w:hint="eastAsia" w:cs="仿宋_GB2312"/>
          <w:b/>
          <w:bCs/>
          <w:sz w:val="32"/>
          <w:szCs w:val="32"/>
          <w:lang w:val="en-US" w:eastAsia="zh-CN"/>
        </w:rPr>
        <w:t>大力推进农村基础设施和宜居工程建设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Courier New"/>
          <w:sz w:val="32"/>
          <w:szCs w:val="32"/>
          <w:shd w:val="clear" w:color="auto" w:fill="FFFFFF"/>
        </w:rPr>
        <w:t>启动花坪、犁市垃圾填埋场工作</w:t>
      </w:r>
      <w:r>
        <w:rPr>
          <w:rFonts w:hint="eastAsia" w:ascii="仿宋_GB2312" w:hAnsi="仿宋_GB2312" w:eastAsia="仿宋_GB2312" w:cs="Courier New"/>
          <w:sz w:val="32"/>
          <w:szCs w:val="32"/>
          <w:shd w:val="clear" w:color="auto" w:fill="FFFFFF"/>
          <w:lang w:eastAsia="zh-CN"/>
        </w:rPr>
        <w:t>；抓好农村生活污水治理；</w:t>
      </w:r>
      <w:r>
        <w:rPr>
          <w:rFonts w:hint="eastAsia" w:ascii="仿宋_GB2312" w:hAnsi="仿宋_GB2312" w:eastAsia="仿宋_GB2312" w:cs="仿宋_GB2312"/>
          <w:sz w:val="32"/>
          <w:szCs w:val="32"/>
        </w:rPr>
        <w:t>启动全域农村人居环境综合整治项目，推进环丹片区、省道S248（机场路）沿线人居环境整治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bidi="zh-CN"/>
        </w:rPr>
        <w:t>抓紧落实2021年垦造水田项目前期工作，按时完成1400亩建设任务，加快现有新韶、花坪、乐园等29个约382亩拆旧复垦项目的验收进度。</w:t>
      </w:r>
    </w:p>
    <w:p>
      <w:pPr>
        <w:pStyle w:val="4"/>
        <w:widowControl w:val="0"/>
        <w:numPr>
          <w:ilvl w:val="0"/>
          <w:numId w:val="0"/>
        </w:numPr>
        <w:ind w:firstLine="643" w:firstLineChars="200"/>
        <w:jc w:val="both"/>
        <w:rPr>
          <w:rFonts w:hint="eastAsia" w:ascii="仿宋_GB2312" w:hAnsi="仿宋_GB2312" w:eastAsia="仿宋_GB2312" w:cs="仿宋_GB2312"/>
          <w:sz w:val="32"/>
          <w:szCs w:val="32"/>
          <w:lang w:bidi="zh-CN"/>
        </w:rPr>
      </w:pPr>
      <w:r>
        <w:rPr>
          <w:rFonts w:hint="eastAsia" w:cs="仿宋_GB2312"/>
          <w:b/>
          <w:bCs/>
          <w:sz w:val="32"/>
          <w:szCs w:val="32"/>
          <w:lang w:val="en-US" w:eastAsia="zh-CN"/>
        </w:rPr>
        <w:t>切实巩固脱贫攻坚成果。</w:t>
      </w:r>
      <w:r>
        <w:rPr>
          <w:rFonts w:hint="eastAsia" w:ascii="仿宋_GB2312" w:hAnsi="仿宋_GB2312" w:eastAsia="仿宋_GB2312" w:cs="仿宋_GB2312"/>
          <w:sz w:val="32"/>
          <w:szCs w:val="32"/>
          <w:lang w:bidi="zh-CN"/>
        </w:rPr>
        <w:t>拓展全区脱贫人口和3个省定贫困村已脱贫成果，完善防止返贫监测和帮扶机制</w:t>
      </w:r>
      <w:r>
        <w:rPr>
          <w:rFonts w:hint="eastAsia" w:cs="仿宋_GB2312"/>
          <w:sz w:val="32"/>
          <w:szCs w:val="32"/>
          <w:lang w:bidi="zh-CN"/>
        </w:rPr>
        <w:t>，</w:t>
      </w:r>
      <w:r>
        <w:rPr>
          <w:rFonts w:hint="eastAsia" w:ascii="仿宋_GB2312" w:hAnsi="仿宋_GB2312" w:eastAsia="仿宋_GB2312" w:cs="仿宋_GB2312"/>
          <w:sz w:val="32"/>
          <w:szCs w:val="32"/>
          <w:lang w:bidi="zh-CN"/>
        </w:rPr>
        <w:t>力争进驻</w:t>
      </w:r>
      <w:r>
        <w:rPr>
          <w:rFonts w:hint="eastAsia" w:cs="仿宋_GB2312"/>
          <w:sz w:val="32"/>
          <w:szCs w:val="32"/>
          <w:lang w:bidi="zh-CN"/>
        </w:rPr>
        <w:t>驻村</w:t>
      </w:r>
      <w:r>
        <w:rPr>
          <w:rFonts w:hint="eastAsia" w:ascii="仿宋_GB2312" w:hAnsi="仿宋_GB2312" w:eastAsia="仿宋_GB2312" w:cs="仿宋_GB2312"/>
          <w:sz w:val="32"/>
          <w:szCs w:val="32"/>
          <w:lang w:bidi="zh-CN"/>
        </w:rPr>
        <w:t>帮扶队取得帮镇扶村新进展。加快探索土地承包经营权、宅基地使用权和集体收益分配权退出转让机制，打通农村土地资源资产出租、转让、抵押、入股的渠道，扩大“三权”退出转让收入等经营性收入在农民收入中的比例。坚持增减挂钩、占比平衡原则，鼓励闲置土地通过市场化交易流入规模化农业产业经营组织以实现农业产业规模化经营，切实提高农业生产效率，有效保障产业扶贫成效。</w:t>
      </w:r>
    </w:p>
    <w:p>
      <w:pPr>
        <w:pStyle w:val="4"/>
        <w:widowControl w:val="0"/>
        <w:numPr>
          <w:ilvl w:val="0"/>
          <w:numId w:val="1"/>
        </w:numPr>
        <w:ind w:left="0" w:leftChars="0" w:firstLine="640" w:firstLineChars="200"/>
        <w:jc w:val="both"/>
        <w:rPr>
          <w:rFonts w:hint="eastAsia" w:ascii="楷体_GB2312" w:hAnsi="楷体_GB2312" w:eastAsia="楷体_GB2312" w:cs="楷体_GB2312"/>
          <w:kern w:val="2"/>
          <w:sz w:val="32"/>
          <w:szCs w:val="32"/>
          <w:lang w:val="en-US" w:eastAsia="zh-CN" w:bidi="zh-CN"/>
        </w:rPr>
      </w:pPr>
      <w:r>
        <w:rPr>
          <w:rFonts w:hint="eastAsia" w:ascii="楷体_GB2312" w:hAnsi="楷体_GB2312" w:eastAsia="楷体_GB2312" w:cs="楷体_GB2312"/>
          <w:kern w:val="2"/>
          <w:sz w:val="32"/>
          <w:szCs w:val="32"/>
          <w:lang w:val="en-US" w:eastAsia="zh-CN" w:bidi="zh-CN"/>
        </w:rPr>
        <w:t>推进资源资产价值化改革和营商环境综合改革</w:t>
      </w:r>
    </w:p>
    <w:p>
      <w:pPr>
        <w:pStyle w:val="4"/>
        <w:widowControl w:val="0"/>
        <w:numPr>
          <w:ilvl w:val="0"/>
          <w:numId w:val="0"/>
        </w:numPr>
        <w:ind w:firstLine="643" w:firstLineChars="200"/>
        <w:jc w:val="both"/>
        <w:rPr>
          <w:rFonts w:hint="default" w:ascii="仿宋_GB2312" w:hAnsi="仿宋_GB2312" w:eastAsia="仿宋_GB2312" w:cs="仿宋_GB2312"/>
          <w:sz w:val="32"/>
          <w:szCs w:val="32"/>
          <w:lang w:val="en-US" w:eastAsia="zh-CN" w:bidi="zh-CN"/>
        </w:rPr>
      </w:pPr>
      <w:r>
        <w:rPr>
          <w:rFonts w:hint="eastAsia" w:ascii="仿宋_GB2312" w:hAnsi="仿宋_GB2312" w:eastAsia="仿宋_GB2312" w:cs="仿宋_GB2312"/>
          <w:b/>
          <w:bCs/>
          <w:sz w:val="32"/>
          <w:szCs w:val="32"/>
          <w:lang w:val="en-US" w:bidi="zh-CN"/>
        </w:rPr>
        <w:t>实现资源资产价值化。</w:t>
      </w:r>
      <w:r>
        <w:rPr>
          <w:rFonts w:hint="eastAsia" w:ascii="仿宋_GB2312" w:hAnsi="仿宋_GB2312" w:eastAsia="仿宋_GB2312" w:cs="仿宋_GB2312"/>
          <w:sz w:val="32"/>
          <w:szCs w:val="32"/>
          <w:lang w:val="en-US" w:eastAsia="zh-CN" w:bidi="zh-CN"/>
        </w:rPr>
        <w:t>推进</w:t>
      </w:r>
      <w:r>
        <w:rPr>
          <w:rFonts w:hint="eastAsia" w:ascii="仿宋_GB2312" w:hAnsi="仿宋_GB2312" w:eastAsia="仿宋_GB2312" w:cs="仿宋_GB2312"/>
          <w:sz w:val="32"/>
          <w:szCs w:val="32"/>
          <w:lang w:val="en-US" w:bidi="zh-CN"/>
        </w:rPr>
        <w:t>国有资产</w:t>
      </w:r>
      <w:r>
        <w:rPr>
          <w:rFonts w:hint="eastAsia" w:ascii="仿宋_GB2312" w:hAnsi="仿宋_GB2312" w:eastAsia="仿宋_GB2312" w:cs="仿宋_GB2312"/>
          <w:sz w:val="32"/>
          <w:szCs w:val="32"/>
          <w:lang w:val="en-US" w:eastAsia="zh-CN" w:bidi="zh-CN"/>
        </w:rPr>
        <w:t>价值化招商</w:t>
      </w:r>
      <w:r>
        <w:rPr>
          <w:rFonts w:hint="eastAsia" w:ascii="仿宋_GB2312" w:hAnsi="仿宋_GB2312" w:eastAsia="仿宋_GB2312" w:cs="仿宋_GB2312"/>
          <w:sz w:val="32"/>
          <w:szCs w:val="32"/>
          <w:lang w:val="en-US" w:bidi="zh-CN"/>
        </w:rPr>
        <w:t>，将闲置</w:t>
      </w:r>
      <w:r>
        <w:rPr>
          <w:rFonts w:hint="eastAsia" w:ascii="仿宋_GB2312" w:hAnsi="仿宋_GB2312" w:eastAsia="仿宋_GB2312" w:cs="仿宋_GB2312"/>
          <w:sz w:val="32"/>
          <w:szCs w:val="32"/>
          <w:lang w:val="en-US" w:eastAsia="zh-CN" w:bidi="zh-CN"/>
        </w:rPr>
        <w:t>国有</w:t>
      </w:r>
      <w:r>
        <w:rPr>
          <w:rFonts w:hint="eastAsia" w:ascii="仿宋_GB2312" w:hAnsi="仿宋_GB2312" w:eastAsia="仿宋_GB2312" w:cs="仿宋_GB2312"/>
          <w:sz w:val="32"/>
          <w:szCs w:val="32"/>
          <w:lang w:val="en-US" w:bidi="zh-CN"/>
        </w:rPr>
        <w:t>资产</w:t>
      </w:r>
      <w:r>
        <w:rPr>
          <w:rFonts w:hint="eastAsia" w:ascii="仿宋_GB2312" w:hAnsi="仿宋_GB2312" w:eastAsia="仿宋_GB2312" w:cs="仿宋_GB2312"/>
          <w:sz w:val="32"/>
          <w:szCs w:val="32"/>
          <w:lang w:val="en-US" w:eastAsia="zh-CN" w:bidi="zh-CN"/>
        </w:rPr>
        <w:t>通过“二次招商”的形式</w:t>
      </w:r>
      <w:r>
        <w:rPr>
          <w:rFonts w:hint="eastAsia" w:ascii="仿宋_GB2312" w:hAnsi="仿宋_GB2312" w:eastAsia="仿宋_GB2312" w:cs="仿宋_GB2312"/>
          <w:sz w:val="32"/>
          <w:szCs w:val="32"/>
          <w:lang w:val="en-US" w:bidi="zh-CN"/>
        </w:rPr>
        <w:t>实现国有资产保值增值</w:t>
      </w:r>
      <w:r>
        <w:rPr>
          <w:rFonts w:hint="eastAsia" w:ascii="仿宋_GB2312" w:hAnsi="仿宋_GB2312" w:eastAsia="仿宋_GB2312" w:cs="仿宋_GB2312"/>
          <w:sz w:val="32"/>
          <w:szCs w:val="32"/>
          <w:lang w:val="en-US" w:eastAsia="zh-CN" w:bidi="zh-CN"/>
        </w:rPr>
        <w:t>。推进土地资源资产价值化，盘活产业园区、东部新城等重点开发区域闲置土地，积极争取收回武江监狱农场的土地使用权。推进林地资源资产价值化，发展林下种植、林下旅游等新兴产业，壮大油茶、中药材、兰花等新型农业经营主体规模，充分挖掘森林资源价值。推进水资源资产价值化，统筹开发利用水资源，继续巩固发展供水、水电等方面的优势资源，以与水资源相关的矿业权、水库所有权、水域经营权开发利用为重点，进一步整合资源，充分挖掘各类涉水资源价值潜力。高效利用矿石资源和固废资源，以网上公开竞争交易方式对拟设矿区出让采矿权，提高煤矸石资源综合利用效率，加强煤矸石资源取用监管。</w:t>
      </w:r>
    </w:p>
    <w:p>
      <w:pPr>
        <w:pStyle w:val="4"/>
        <w:widowControl w:val="0"/>
        <w:numPr>
          <w:ilvl w:val="0"/>
          <w:numId w:val="0"/>
        </w:numPr>
        <w:ind w:firstLine="643" w:firstLineChars="200"/>
        <w:jc w:val="both"/>
        <w:rPr>
          <w:rFonts w:hint="eastAsia" w:ascii="仿宋_GB2312" w:hAnsi="仿宋_GB2312" w:eastAsia="仿宋_GB2312" w:cs="仿宋_GB2312"/>
          <w:sz w:val="32"/>
          <w:szCs w:val="32"/>
          <w:lang w:bidi="zh-CN"/>
        </w:rPr>
      </w:pPr>
      <w:r>
        <w:rPr>
          <w:rFonts w:hint="eastAsia" w:ascii="仿宋_GB2312" w:hAnsi="仿宋_GB2312" w:eastAsia="仿宋_GB2312" w:cs="仿宋_GB2312"/>
          <w:b/>
          <w:bCs/>
          <w:sz w:val="32"/>
          <w:szCs w:val="32"/>
          <w:lang w:val="en-US" w:bidi="zh-CN"/>
        </w:rPr>
        <w:t>深化营商环境综合改革</w:t>
      </w:r>
      <w:r>
        <w:rPr>
          <w:rFonts w:hint="eastAsia" w:ascii="仿宋_GB2312" w:hAnsi="仿宋_GB2312" w:eastAsia="仿宋_GB2312" w:cs="仿宋_GB2312"/>
          <w:b/>
          <w:bCs/>
          <w:sz w:val="32"/>
          <w:szCs w:val="32"/>
          <w:lang w:bidi="zh-CN"/>
        </w:rPr>
        <w:t>。</w:t>
      </w:r>
      <w:r>
        <w:rPr>
          <w:rFonts w:hint="eastAsia" w:ascii="仿宋_GB2312" w:hAnsi="仿宋_GB2312" w:eastAsia="仿宋_GB2312" w:cs="仿宋_GB2312"/>
          <w:sz w:val="32"/>
          <w:szCs w:val="32"/>
          <w:lang w:val="en-US" w:eastAsia="zh-CN"/>
        </w:rPr>
        <w:t>不断提升政务服务效能，</w:t>
      </w:r>
      <w:r>
        <w:rPr>
          <w:rFonts w:hint="eastAsia" w:ascii="仿宋_GB2312" w:hAnsi="仿宋_GB2312" w:eastAsia="仿宋_GB2312" w:cs="仿宋_GB2312"/>
          <w:sz w:val="32"/>
          <w:szCs w:val="32"/>
          <w:lang w:bidi="zh-CN"/>
        </w:rPr>
        <w:t>有效压缩项目帮办时间，落实惠企政策，切实降低企业在缴税、用地、用电、运输、社会保险、制度性交易等方面的成本；深化以奖代补方式推动企业“小升规”、工业技改，培育壮大一批中小企业</w:t>
      </w:r>
      <w:r>
        <w:rPr>
          <w:rFonts w:hint="eastAsia" w:cs="仿宋_GB2312"/>
          <w:sz w:val="32"/>
          <w:szCs w:val="32"/>
          <w:lang w:bidi="zh-CN"/>
        </w:rPr>
        <w:t>。</w:t>
      </w:r>
      <w:r>
        <w:rPr>
          <w:rFonts w:hint="eastAsia" w:ascii="仿宋_GB2312" w:hAnsi="仿宋_GB2312" w:eastAsia="仿宋_GB2312" w:cs="仿宋_GB2312"/>
          <w:sz w:val="32"/>
          <w:szCs w:val="32"/>
          <w:lang w:bidi="zh-CN"/>
        </w:rPr>
        <w:t>严格落实省委《关于深入整治官商勾结问题构建亲清新型政商关系的意见》，全方位促浈江改革优化营商环境提质增效。</w:t>
      </w:r>
    </w:p>
    <w:p>
      <w:pPr>
        <w:pStyle w:val="4"/>
        <w:widowControl w:val="0"/>
        <w:numPr>
          <w:ilvl w:val="0"/>
          <w:numId w:val="1"/>
        </w:numPr>
        <w:ind w:left="0" w:leftChars="0" w:firstLine="640" w:firstLineChars="200"/>
        <w:jc w:val="both"/>
        <w:rPr>
          <w:rFonts w:hint="eastAsia" w:ascii="楷体_GB2312" w:hAnsi="楷体_GB2312" w:eastAsia="楷体_GB2312" w:cs="楷体_GB2312"/>
          <w:kern w:val="2"/>
          <w:sz w:val="32"/>
          <w:szCs w:val="32"/>
          <w:lang w:val="en-US" w:eastAsia="zh-CN" w:bidi="zh-CN"/>
        </w:rPr>
      </w:pPr>
      <w:r>
        <w:rPr>
          <w:rFonts w:hint="eastAsia" w:ascii="楷体_GB2312" w:hAnsi="楷体_GB2312" w:eastAsia="楷体_GB2312" w:cs="楷体_GB2312"/>
          <w:kern w:val="2"/>
          <w:sz w:val="32"/>
          <w:szCs w:val="32"/>
          <w:lang w:val="en-US" w:eastAsia="zh-CN" w:bidi="zh-CN"/>
        </w:rPr>
        <w:t>推进公共社会事业建设，增进民生福祉</w:t>
      </w:r>
    </w:p>
    <w:p>
      <w:pPr>
        <w:ind w:firstLine="643" w:firstLineChars="200"/>
        <w:rPr>
          <w:rFonts w:hint="eastAsia" w:ascii="Times New Roman" w:hAnsi="仿宋_GB2312" w:eastAsia="仿宋_GB2312" w:cs="仿宋_GB2312"/>
          <w:kern w:val="2"/>
          <w:sz w:val="32"/>
          <w:szCs w:val="32"/>
          <w:lang w:val="en-US" w:eastAsia="zh-CN" w:bidi="zh-CN"/>
        </w:rPr>
      </w:pPr>
      <w:r>
        <w:rPr>
          <w:rFonts w:hint="eastAsia" w:ascii="Times New Roman" w:hAnsi="仿宋_GB2312" w:eastAsia="仿宋_GB2312" w:cs="仿宋_GB2312"/>
          <w:b/>
          <w:bCs/>
          <w:kern w:val="2"/>
          <w:sz w:val="32"/>
          <w:szCs w:val="32"/>
          <w:lang w:val="en-US" w:eastAsia="zh-CN" w:bidi="zh-CN"/>
        </w:rPr>
        <w:t>完善社会保障体系。</w:t>
      </w:r>
      <w:r>
        <w:rPr>
          <w:rFonts w:hint="eastAsia" w:ascii="Times New Roman" w:hAnsi="仿宋_GB2312" w:eastAsia="仿宋_GB2312" w:cs="仿宋_GB2312"/>
          <w:kern w:val="2"/>
          <w:sz w:val="32"/>
          <w:szCs w:val="32"/>
          <w:lang w:val="en-US" w:eastAsia="zh-CN" w:bidi="zh-CN"/>
        </w:rPr>
        <w:t>持续扩大社会保险覆盖范围，</w:t>
      </w:r>
      <w:r>
        <w:rPr>
          <w:rFonts w:hint="eastAsia" w:ascii="仿宋_GB2312" w:hAnsi="仿宋" w:eastAsia="仿宋_GB2312"/>
          <w:sz w:val="32"/>
          <w:szCs w:val="32"/>
        </w:rPr>
        <w:t>引导企业、职工</w:t>
      </w:r>
      <w:r>
        <w:rPr>
          <w:rFonts w:hint="eastAsia" w:ascii="仿宋_GB2312" w:hAnsi="仿宋" w:eastAsia="仿宋_GB2312"/>
          <w:sz w:val="32"/>
          <w:szCs w:val="32"/>
          <w:lang w:eastAsia="zh-CN"/>
        </w:rPr>
        <w:t>等各类群体</w:t>
      </w:r>
      <w:r>
        <w:rPr>
          <w:rFonts w:hint="eastAsia" w:ascii="仿宋_GB2312" w:hAnsi="仿宋" w:eastAsia="仿宋_GB2312"/>
          <w:sz w:val="32"/>
          <w:szCs w:val="32"/>
        </w:rPr>
        <w:t>积极参加社会保险</w:t>
      </w:r>
      <w:r>
        <w:rPr>
          <w:rFonts w:hint="eastAsia" w:ascii="仿宋_GB2312" w:hAnsi="仿宋" w:eastAsia="仿宋_GB2312"/>
          <w:sz w:val="32"/>
          <w:szCs w:val="32"/>
          <w:lang w:eastAsia="zh-CN"/>
        </w:rPr>
        <w:t>，</w:t>
      </w:r>
      <w:r>
        <w:rPr>
          <w:rFonts w:hint="eastAsia" w:ascii="Times New Roman" w:hAnsi="仿宋_GB2312" w:eastAsia="仿宋_GB2312" w:cs="仿宋_GB2312"/>
          <w:kern w:val="2"/>
          <w:sz w:val="32"/>
          <w:szCs w:val="32"/>
          <w:lang w:val="en-US" w:eastAsia="zh-CN" w:bidi="zh-CN"/>
        </w:rPr>
        <w:t>加大失业保险援企稳岗力度。落实就业创业相关政策，继续做好“市促就业十条3.0版”政策宣传工作。深入推进三项工程工作，开展“粤菜师傅”、“南粤家政”培训班和“企业学徒”培养工程。</w:t>
      </w:r>
    </w:p>
    <w:p>
      <w:pPr>
        <w:ind w:firstLine="643" w:firstLineChars="200"/>
        <w:rPr>
          <w:rFonts w:hint="default" w:ascii="Times New Roman" w:hAnsi="仿宋_GB2312" w:eastAsia="仿宋_GB2312" w:cs="仿宋_GB2312"/>
          <w:kern w:val="2"/>
          <w:sz w:val="32"/>
          <w:szCs w:val="32"/>
          <w:lang w:val="en-US" w:eastAsia="zh-CN" w:bidi="zh-CN"/>
        </w:rPr>
      </w:pPr>
      <w:r>
        <w:rPr>
          <w:rFonts w:hint="eastAsia" w:ascii="Times New Roman" w:hAnsi="仿宋_GB2312" w:eastAsia="仿宋_GB2312" w:cs="仿宋_GB2312"/>
          <w:b/>
          <w:bCs/>
          <w:kern w:val="2"/>
          <w:sz w:val="32"/>
          <w:szCs w:val="32"/>
          <w:lang w:val="en-US" w:eastAsia="zh-CN" w:bidi="zh-CN"/>
        </w:rPr>
        <w:t>大力发展社会事业。</w:t>
      </w:r>
      <w:r>
        <w:rPr>
          <w:rFonts w:hint="eastAsia" w:ascii="Times New Roman" w:hAnsi="仿宋_GB2312" w:eastAsia="仿宋_GB2312" w:cs="仿宋_GB2312"/>
          <w:kern w:val="2"/>
          <w:sz w:val="32"/>
          <w:szCs w:val="32"/>
          <w:lang w:val="en-US" w:eastAsia="zh-CN" w:bidi="zh-CN"/>
        </w:rPr>
        <w:t>努力发展让人民满意的教育。加快推进公办园建设，新建、改扩建一批幼儿园，回购一批民办普惠幼儿园，把公办园占比提高到14.1%，实现省市要求的“50、80”目标；改善办学条件，继续推进厕所革命，优化校园环境；加强教师队伍建设，扎实推进“县管校聘”教师制度改革，全面提升教师队伍整体素质。提升基层卫生机构医疗服务能力，推进犁市镇中心卫生院创建全国“优质服务基层行”先进单位；完成智慧卫生院建设项目，推进“互联网+健康”项目建设。提升全区新冠病毒疫苗接种水平，进一步做好全民疫苗接种工作。加快完善公共文化服务体系建设，充分发挥浈江区图书馆、文化馆、博物馆新优势，提升公共文化服务水平，不断提满足群众的精神文化需求。</w:t>
      </w:r>
    </w:p>
    <w:p>
      <w:pPr>
        <w:pStyle w:val="4"/>
        <w:widowControl w:val="0"/>
        <w:numPr>
          <w:ilvl w:val="0"/>
          <w:numId w:val="1"/>
        </w:numPr>
        <w:ind w:left="0" w:leftChars="0" w:firstLine="640" w:firstLineChars="200"/>
        <w:jc w:val="both"/>
        <w:rPr>
          <w:rFonts w:hint="eastAsia" w:ascii="楷体_GB2312" w:hAnsi="楷体_GB2312" w:eastAsia="楷体_GB2312" w:cs="楷体_GB2312"/>
          <w:kern w:val="2"/>
          <w:sz w:val="32"/>
          <w:szCs w:val="32"/>
          <w:lang w:val="en-US" w:eastAsia="zh-CN" w:bidi="zh-CN"/>
        </w:rPr>
      </w:pPr>
      <w:r>
        <w:rPr>
          <w:rFonts w:hint="eastAsia" w:ascii="楷体_GB2312" w:hAnsi="楷体_GB2312" w:eastAsia="楷体_GB2312" w:cs="楷体_GB2312"/>
          <w:kern w:val="2"/>
          <w:sz w:val="32"/>
          <w:szCs w:val="32"/>
          <w:lang w:val="en-US" w:eastAsia="zh-CN" w:bidi="zh-CN"/>
        </w:rPr>
        <w:t>推进“森林城镇”建设，创建生态宜居城镇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全面加强生态环境保护。</w:t>
      </w:r>
      <w:r>
        <w:rPr>
          <w:rFonts w:hint="eastAsia" w:ascii="仿宋_GB2312" w:hAnsi="仿宋_GB2312" w:eastAsia="仿宋_GB2312" w:cs="仿宋_GB2312"/>
          <w:sz w:val="32"/>
          <w:szCs w:val="32"/>
        </w:rPr>
        <w:t>加大大气污染整治力度，实施大气重点治理工程。持续改善水环境质量，落实水环境问题整改，强化饮用水源保护。落实河长制，加强河道清漂整治，强化“三条红线”管理，完善防洪减灾体系。做好全域国家森林城市创建和南岭国家公园建设工作，</w:t>
      </w:r>
      <w:r>
        <w:rPr>
          <w:rFonts w:hint="eastAsia" w:ascii="仿宋_GB2312" w:hAnsi="仿宋_GB2312" w:eastAsia="仿宋_GB2312" w:cs="仿宋_GB2312"/>
          <w:sz w:val="32"/>
          <w:szCs w:val="32"/>
          <w:lang w:eastAsia="zh-CN"/>
        </w:rPr>
        <w:t>配合做好“森林城镇”创建，</w:t>
      </w:r>
      <w:r>
        <w:rPr>
          <w:rFonts w:hint="eastAsia" w:ascii="仿宋_GB2312" w:hAnsi="仿宋_GB2312" w:eastAsia="仿宋_GB2312" w:cs="仿宋_GB2312"/>
          <w:sz w:val="32"/>
          <w:szCs w:val="32"/>
        </w:rPr>
        <w:t>持续推进造林绿化，重点抓好碳汇造林、绿美古树乡村建设，确保森林覆盖率达到任务目标。强化森林资源保护管理，严格执行林地保护利用规划。</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bCs w:val="0"/>
          <w:sz w:val="32"/>
          <w:szCs w:val="28"/>
        </w:rPr>
        <w:t>统筹推进山水林田湖草生态修复。</w:t>
      </w:r>
      <w:r>
        <w:rPr>
          <w:rFonts w:hint="eastAsia" w:ascii="仿宋_GB2312" w:hAnsi="仿宋_GB2312" w:eastAsia="仿宋_GB2312" w:cs="仿宋_GB2312"/>
          <w:sz w:val="32"/>
          <w:szCs w:val="32"/>
        </w:rPr>
        <w:t>将山水林田湖草生态修复工作列为生态发展重点工作，综合运用土地、生态环境、财税等政策，积极开展矿山治理及土壤修复、生态系统与生物多样性保护、流域水环境保护和提升管理能力等修复工程，形成生态保护修复的长效机制。</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主任、各位副主任、各位委员：</w:t>
      </w:r>
    </w:p>
    <w:p>
      <w:pPr>
        <w:widowControl/>
        <w:spacing w:line="56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上半年，我区经济和社会发展</w:t>
      </w:r>
      <w:r>
        <w:rPr>
          <w:rFonts w:hint="eastAsia" w:ascii="仿宋_GB2312" w:hAnsi="仿宋_GB2312" w:eastAsia="仿宋_GB2312" w:cs="仿宋_GB2312"/>
          <w:sz w:val="32"/>
          <w:szCs w:val="32"/>
          <w:lang w:eastAsia="zh-CN"/>
        </w:rPr>
        <w:t>实现了良好的开局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下半年，我们将在区委的坚强领导下，在区人大及其常委会的监督支持下，</w:t>
      </w:r>
      <w:r>
        <w:rPr>
          <w:rFonts w:hint="eastAsia" w:ascii="仿宋_GB2312" w:hAnsi="仿宋_GB2312" w:eastAsia="仿宋_GB2312" w:cs="仿宋_GB2312"/>
          <w:sz w:val="32"/>
          <w:szCs w:val="32"/>
          <w:shd w:val="clear" w:color="auto" w:fill="FFFFFF"/>
          <w:lang w:eastAsia="zh-CN"/>
        </w:rPr>
        <w:t>闻鸡起舞，只争朝夕，拼搏进取</w:t>
      </w:r>
      <w:r>
        <w:rPr>
          <w:rFonts w:hint="eastAsia" w:ascii="仿宋_GB2312" w:hAnsi="仿宋_GB2312" w:eastAsia="仿宋_GB2312" w:cs="仿宋_GB2312"/>
          <w:sz w:val="32"/>
          <w:szCs w:val="32"/>
          <w:shd w:val="clear" w:color="auto" w:fill="FFFFFF"/>
        </w:rPr>
        <w:t>，努力完成区人大九届</w:t>
      </w:r>
      <w:r>
        <w:rPr>
          <w:rFonts w:hint="eastAsia" w:ascii="仿宋_GB2312" w:hAnsi="仿宋_GB2312" w:eastAsia="仿宋_GB2312" w:cs="仿宋_GB2312"/>
          <w:sz w:val="32"/>
          <w:szCs w:val="32"/>
          <w:shd w:val="clear" w:color="auto" w:fill="FFFFFF"/>
          <w:lang w:eastAsia="zh-CN"/>
        </w:rPr>
        <w:t>六</w:t>
      </w:r>
      <w:r>
        <w:rPr>
          <w:rFonts w:hint="eastAsia" w:ascii="仿宋_GB2312" w:hAnsi="仿宋_GB2312" w:eastAsia="仿宋_GB2312" w:cs="仿宋_GB2312"/>
          <w:sz w:val="32"/>
          <w:szCs w:val="32"/>
          <w:shd w:val="clear" w:color="auto" w:fill="FFFFFF"/>
        </w:rPr>
        <w:t>次会议</w:t>
      </w:r>
      <w:r>
        <w:rPr>
          <w:rFonts w:hint="eastAsia" w:ascii="仿宋_GB2312" w:hAnsi="仿宋_GB2312" w:eastAsia="仿宋_GB2312" w:cs="仿宋_GB2312"/>
          <w:sz w:val="32"/>
          <w:szCs w:val="32"/>
          <w:shd w:val="clear" w:color="auto" w:fill="FFFFFF"/>
          <w:lang w:eastAsia="zh-CN"/>
        </w:rPr>
        <w:t>批准</w:t>
      </w:r>
      <w:r>
        <w:rPr>
          <w:rFonts w:hint="eastAsia" w:ascii="仿宋_GB2312" w:hAnsi="仿宋_GB2312" w:eastAsia="仿宋_GB2312" w:cs="仿宋_GB2312"/>
          <w:sz w:val="32"/>
          <w:szCs w:val="32"/>
          <w:shd w:val="clear" w:color="auto" w:fill="FFFFFF"/>
        </w:rPr>
        <w:t>的202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年国民经济和社会发展目标任务！</w:t>
      </w:r>
    </w:p>
    <w:p>
      <w:pPr>
        <w:widowControl/>
        <w:spacing w:line="560" w:lineRule="exact"/>
        <w:ind w:left="1273" w:leftChars="0" w:hanging="1273" w:hangingChars="398"/>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1.202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年上半年浈江区国民经济和社会发展计划执行情况表</w:t>
      </w:r>
    </w:p>
    <w:p>
      <w:pPr>
        <w:widowControl/>
        <w:spacing w:line="560" w:lineRule="exact"/>
        <w:ind w:left="1908" w:leftChars="400" w:hanging="1068" w:hangingChars="334"/>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浈江区2021年上半年重点建设项目推进情况表</w:t>
      </w:r>
    </w:p>
    <w:tbl>
      <w:tblPr>
        <w:tblStyle w:val="7"/>
        <w:tblpPr w:leftFromText="180" w:rightFromText="180" w:vertAnchor="text" w:horzAnchor="page" w:tblpX="1619" w:tblpY="85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5"/>
        <w:gridCol w:w="4146"/>
        <w:gridCol w:w="264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vMerge w:val="restart"/>
            <w:noWrap w:val="0"/>
            <w:vAlign w:val="center"/>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指标名称</w:t>
            </w:r>
          </w:p>
        </w:tc>
        <w:tc>
          <w:tcPr>
            <w:tcW w:w="1459" w:type="pct"/>
            <w:tcBorders>
              <w:bottom w:val="single" w:color="auto" w:sz="4" w:space="0"/>
            </w:tcBorders>
            <w:noWrap w:val="0"/>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202</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年计划安排</w:t>
            </w:r>
          </w:p>
        </w:tc>
        <w:tc>
          <w:tcPr>
            <w:tcW w:w="1705" w:type="pct"/>
            <w:gridSpan w:val="2"/>
            <w:tcBorders>
              <w:bottom w:val="single" w:color="auto" w:sz="4" w:space="0"/>
            </w:tcBorders>
            <w:noWrap w:val="0"/>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202</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年上半年完成情况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vMerge w:val="continue"/>
            <w:noWrap w:val="0"/>
            <w:vAlign w:val="center"/>
          </w:tcPr>
          <w:p>
            <w:pPr>
              <w:spacing w:line="580" w:lineRule="exact"/>
              <w:rPr>
                <w:rFonts w:hint="eastAsia" w:ascii="仿宋_GB2312" w:hAnsi="仿宋_GB2312" w:eastAsia="仿宋_GB2312" w:cs="仿宋_GB2312"/>
                <w:b/>
                <w:bCs/>
                <w:sz w:val="28"/>
                <w:szCs w:val="28"/>
              </w:rPr>
            </w:pPr>
          </w:p>
        </w:tc>
        <w:tc>
          <w:tcPr>
            <w:tcW w:w="1459" w:type="pct"/>
            <w:noWrap w:val="0"/>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增长（%）</w:t>
            </w:r>
          </w:p>
        </w:tc>
        <w:tc>
          <w:tcPr>
            <w:tcW w:w="931" w:type="pct"/>
            <w:noWrap w:val="0"/>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实际值</w:t>
            </w:r>
          </w:p>
        </w:tc>
        <w:tc>
          <w:tcPr>
            <w:tcW w:w="773" w:type="pct"/>
            <w:noWrap w:val="0"/>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地区</w:t>
            </w:r>
            <w:r>
              <w:rPr>
                <w:rFonts w:hint="eastAsia" w:ascii="仿宋_GB2312" w:hAnsi="仿宋_GB2312" w:eastAsia="仿宋_GB2312" w:cs="仿宋_GB2312"/>
                <w:bCs/>
                <w:sz w:val="28"/>
                <w:szCs w:val="28"/>
              </w:rPr>
              <w:t>生产总值（亿元）</w:t>
            </w:r>
          </w:p>
        </w:tc>
        <w:tc>
          <w:tcPr>
            <w:tcW w:w="1459" w:type="pct"/>
            <w:noWrap w:val="0"/>
            <w:vAlign w:val="center"/>
          </w:tcPr>
          <w:p>
            <w:pPr>
              <w:spacing w:line="360" w:lineRule="auto"/>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w w:val="90"/>
                <w:sz w:val="28"/>
                <w:szCs w:val="28"/>
                <w:lang w:val="en-US" w:eastAsia="zh-CN"/>
              </w:rPr>
              <w:t>6</w:t>
            </w:r>
          </w:p>
        </w:tc>
        <w:tc>
          <w:tcPr>
            <w:tcW w:w="931"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100.20</w:t>
            </w:r>
          </w:p>
        </w:tc>
        <w:tc>
          <w:tcPr>
            <w:tcW w:w="773"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其中：第一产业（亿元）</w:t>
            </w:r>
          </w:p>
        </w:tc>
        <w:tc>
          <w:tcPr>
            <w:tcW w:w="1459"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4.5</w:t>
            </w:r>
          </w:p>
        </w:tc>
        <w:tc>
          <w:tcPr>
            <w:tcW w:w="931"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3.30</w:t>
            </w:r>
          </w:p>
        </w:tc>
        <w:tc>
          <w:tcPr>
            <w:tcW w:w="773"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第二产业（亿元）</w:t>
            </w:r>
          </w:p>
        </w:tc>
        <w:tc>
          <w:tcPr>
            <w:tcW w:w="1459"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6.5</w:t>
            </w:r>
          </w:p>
        </w:tc>
        <w:tc>
          <w:tcPr>
            <w:tcW w:w="931"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28.72</w:t>
            </w:r>
          </w:p>
        </w:tc>
        <w:tc>
          <w:tcPr>
            <w:tcW w:w="773"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#工业增加值（亿元）</w:t>
            </w:r>
          </w:p>
        </w:tc>
        <w:tc>
          <w:tcPr>
            <w:tcW w:w="1459" w:type="pct"/>
            <w:noWrap w:val="0"/>
            <w:vAlign w:val="center"/>
          </w:tcPr>
          <w:p>
            <w:pPr>
              <w:spacing w:line="360" w:lineRule="auto"/>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9</w:t>
            </w:r>
          </w:p>
        </w:tc>
        <w:tc>
          <w:tcPr>
            <w:tcW w:w="931" w:type="pct"/>
            <w:noWrap w:val="0"/>
            <w:vAlign w:val="center"/>
          </w:tcPr>
          <w:p>
            <w:pPr>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18.32</w:t>
            </w:r>
          </w:p>
        </w:tc>
        <w:tc>
          <w:tcPr>
            <w:tcW w:w="773" w:type="pct"/>
            <w:noWrap w:val="0"/>
            <w:vAlign w:val="center"/>
          </w:tcPr>
          <w:p>
            <w:pPr>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#建筑业增加值（亿元）</w:t>
            </w:r>
          </w:p>
        </w:tc>
        <w:tc>
          <w:tcPr>
            <w:tcW w:w="1459" w:type="pct"/>
            <w:noWrap w:val="0"/>
            <w:vAlign w:val="center"/>
          </w:tcPr>
          <w:p>
            <w:pPr>
              <w:spacing w:line="360" w:lineRule="auto"/>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w w:val="90"/>
                <w:sz w:val="28"/>
                <w:szCs w:val="28"/>
                <w:lang w:val="en-US" w:eastAsia="zh-CN"/>
              </w:rPr>
              <w:t>3</w:t>
            </w:r>
          </w:p>
        </w:tc>
        <w:tc>
          <w:tcPr>
            <w:tcW w:w="931" w:type="pct"/>
            <w:noWrap w:val="0"/>
            <w:vAlign w:val="center"/>
          </w:tcPr>
          <w:p>
            <w:pPr>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10.43</w:t>
            </w:r>
          </w:p>
        </w:tc>
        <w:tc>
          <w:tcPr>
            <w:tcW w:w="773" w:type="pct"/>
            <w:noWrap w:val="0"/>
            <w:vAlign w:val="center"/>
          </w:tcPr>
          <w:p>
            <w:pPr>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第三产业（亿元）</w:t>
            </w:r>
          </w:p>
        </w:tc>
        <w:tc>
          <w:tcPr>
            <w:tcW w:w="1459" w:type="pct"/>
            <w:noWrap w:val="0"/>
            <w:vAlign w:val="center"/>
          </w:tcPr>
          <w:p>
            <w:pPr>
              <w:spacing w:line="36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931" w:type="pct"/>
            <w:noWrap w:val="0"/>
            <w:vAlign w:val="center"/>
          </w:tcPr>
          <w:p>
            <w:pPr>
              <w:jc w:val="center"/>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68.17</w:t>
            </w:r>
          </w:p>
        </w:tc>
        <w:tc>
          <w:tcPr>
            <w:tcW w:w="773" w:type="pct"/>
            <w:noWrap w:val="0"/>
            <w:vAlign w:val="center"/>
          </w:tcPr>
          <w:p>
            <w:pPr>
              <w:jc w:val="center"/>
              <w:rPr>
                <w:rFonts w:hint="default" w:ascii="仿宋_GB2312" w:hAnsi="仿宋_GB2312" w:eastAsia="仿宋_GB2312" w:cs="仿宋_GB2312"/>
                <w:bCs/>
                <w:color w:val="FF0000"/>
                <w:sz w:val="28"/>
                <w:szCs w:val="28"/>
                <w:lang w:val="en-US" w:eastAsia="zh-CN"/>
              </w:rPr>
            </w:pPr>
            <w:r>
              <w:rPr>
                <w:rFonts w:hint="eastAsia" w:ascii="仿宋_GB2312" w:hAnsi="仿宋_GB2312" w:eastAsia="仿宋_GB2312" w:cs="仿宋_GB2312"/>
                <w:bCs/>
                <w:sz w:val="28"/>
                <w:szCs w:val="28"/>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人均</w:t>
            </w:r>
            <w:r>
              <w:rPr>
                <w:rFonts w:hint="eastAsia" w:ascii="仿宋_GB2312" w:hAnsi="仿宋_GB2312" w:eastAsia="仿宋_GB2312" w:cs="仿宋_GB2312"/>
                <w:bCs/>
                <w:sz w:val="28"/>
                <w:szCs w:val="28"/>
                <w:lang w:eastAsia="zh-CN"/>
              </w:rPr>
              <w:t>地区</w:t>
            </w:r>
            <w:r>
              <w:rPr>
                <w:rFonts w:hint="eastAsia" w:ascii="仿宋_GB2312" w:hAnsi="仿宋_GB2312" w:eastAsia="仿宋_GB2312" w:cs="仿宋_GB2312"/>
                <w:bCs/>
                <w:sz w:val="28"/>
                <w:szCs w:val="28"/>
              </w:rPr>
              <w:t>生产总值（万元）</w:t>
            </w:r>
          </w:p>
        </w:tc>
        <w:tc>
          <w:tcPr>
            <w:tcW w:w="1459" w:type="pct"/>
            <w:noWrap w:val="0"/>
            <w:vAlign w:val="center"/>
          </w:tcPr>
          <w:p>
            <w:pPr>
              <w:spacing w:line="36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5.8</w:t>
            </w:r>
          </w:p>
        </w:tc>
        <w:tc>
          <w:tcPr>
            <w:tcW w:w="1705" w:type="pct"/>
            <w:gridSpan w:val="2"/>
            <w:noWrap w:val="0"/>
            <w:vAlign w:val="center"/>
          </w:tcPr>
          <w:p>
            <w:pPr>
              <w:spacing w:line="360" w:lineRule="auto"/>
              <w:jc w:val="center"/>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每年核算一次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固定资产投资（亿元）</w:t>
            </w:r>
          </w:p>
        </w:tc>
        <w:tc>
          <w:tcPr>
            <w:tcW w:w="1459"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10</w:t>
            </w:r>
          </w:p>
        </w:tc>
        <w:tc>
          <w:tcPr>
            <w:tcW w:w="931"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19.63</w:t>
            </w:r>
          </w:p>
        </w:tc>
        <w:tc>
          <w:tcPr>
            <w:tcW w:w="773"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社会消费品零售总额（亿元）</w:t>
            </w:r>
          </w:p>
        </w:tc>
        <w:tc>
          <w:tcPr>
            <w:tcW w:w="1459" w:type="pct"/>
            <w:noWrap w:val="0"/>
            <w:vAlign w:val="center"/>
          </w:tcPr>
          <w:p>
            <w:pPr>
              <w:spacing w:line="360" w:lineRule="auto"/>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7</w:t>
            </w:r>
          </w:p>
        </w:tc>
        <w:tc>
          <w:tcPr>
            <w:tcW w:w="931"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59.15</w:t>
            </w:r>
          </w:p>
        </w:tc>
        <w:tc>
          <w:tcPr>
            <w:tcW w:w="773"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区本级一般公共预算收入</w:t>
            </w:r>
            <w:r>
              <w:rPr>
                <w:rFonts w:hint="eastAsia" w:ascii="仿宋_GB2312" w:hAnsi="仿宋_GB2312" w:eastAsia="仿宋_GB2312" w:cs="仿宋_GB2312"/>
                <w:bCs/>
                <w:sz w:val="28"/>
                <w:szCs w:val="28"/>
              </w:rPr>
              <w:t>（亿元）</w:t>
            </w:r>
          </w:p>
        </w:tc>
        <w:tc>
          <w:tcPr>
            <w:tcW w:w="1459" w:type="pct"/>
            <w:noWrap w:val="0"/>
            <w:vAlign w:val="center"/>
          </w:tcPr>
          <w:p>
            <w:pPr>
              <w:spacing w:line="36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931"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2.66</w:t>
            </w:r>
          </w:p>
        </w:tc>
        <w:tc>
          <w:tcPr>
            <w:tcW w:w="773"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外贸进出口（万元）</w:t>
            </w:r>
          </w:p>
        </w:tc>
        <w:tc>
          <w:tcPr>
            <w:tcW w:w="1459" w:type="pct"/>
            <w:noWrap w:val="0"/>
            <w:vAlign w:val="center"/>
          </w:tcPr>
          <w:p>
            <w:pPr>
              <w:spacing w:line="36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931" w:type="pct"/>
            <w:noWrap w:val="0"/>
            <w:vAlign w:val="center"/>
          </w:tcPr>
          <w:p>
            <w:pPr>
              <w:spacing w:line="360" w:lineRule="auto"/>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32324（1-5月）</w:t>
            </w:r>
          </w:p>
        </w:tc>
        <w:tc>
          <w:tcPr>
            <w:tcW w:w="773"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实际利用外资（万美元）</w:t>
            </w:r>
          </w:p>
        </w:tc>
        <w:tc>
          <w:tcPr>
            <w:tcW w:w="1459" w:type="pct"/>
            <w:noWrap w:val="0"/>
            <w:vAlign w:val="center"/>
          </w:tcPr>
          <w:p>
            <w:pPr>
              <w:spacing w:line="360" w:lineRule="auto"/>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5</w:t>
            </w:r>
          </w:p>
        </w:tc>
        <w:tc>
          <w:tcPr>
            <w:tcW w:w="931"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0</w:t>
            </w:r>
          </w:p>
        </w:tc>
        <w:tc>
          <w:tcPr>
            <w:tcW w:w="773" w:type="pct"/>
            <w:noWrap w:val="0"/>
            <w:vAlign w:val="center"/>
          </w:tcPr>
          <w:p>
            <w:pPr>
              <w:spacing w:line="360" w:lineRule="auto"/>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城乡居民人均可支配收入（元）</w:t>
            </w:r>
          </w:p>
        </w:tc>
        <w:tc>
          <w:tcPr>
            <w:tcW w:w="1459" w:type="pct"/>
            <w:noWrap w:val="0"/>
            <w:vAlign w:val="center"/>
          </w:tcPr>
          <w:p>
            <w:pPr>
              <w:spacing w:line="360" w:lineRule="auto"/>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7</w:t>
            </w:r>
          </w:p>
        </w:tc>
        <w:tc>
          <w:tcPr>
            <w:tcW w:w="1705" w:type="pct"/>
            <w:gridSpan w:val="2"/>
            <w:noWrap w:val="0"/>
            <w:vAlign w:val="center"/>
          </w:tcPr>
          <w:p>
            <w:pPr>
              <w:spacing w:line="360" w:lineRule="auto"/>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bCs/>
                <w:sz w:val="28"/>
                <w:szCs w:val="28"/>
              </w:rPr>
              <w:t>每年核算一次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城镇登记失业率（%）</w:t>
            </w:r>
          </w:p>
        </w:tc>
        <w:tc>
          <w:tcPr>
            <w:tcW w:w="1459" w:type="pct"/>
            <w:noWrap w:val="0"/>
            <w:vAlign w:val="center"/>
          </w:tcPr>
          <w:p>
            <w:pPr>
              <w:spacing w:line="36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&lt;</w:t>
            </w:r>
            <w:r>
              <w:rPr>
                <w:rFonts w:hint="eastAsia" w:ascii="仿宋_GB2312" w:hAnsi="仿宋_GB2312" w:eastAsia="仿宋_GB2312" w:cs="仿宋_GB2312"/>
                <w:bCs/>
                <w:sz w:val="28"/>
                <w:szCs w:val="28"/>
              </w:rPr>
              <w:t>3.5</w:t>
            </w:r>
          </w:p>
        </w:tc>
        <w:tc>
          <w:tcPr>
            <w:tcW w:w="1705" w:type="pct"/>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人口自然增长率（‰）</w:t>
            </w:r>
          </w:p>
        </w:tc>
        <w:tc>
          <w:tcPr>
            <w:tcW w:w="1459" w:type="pct"/>
            <w:noWrap w:val="0"/>
            <w:vAlign w:val="center"/>
          </w:tcPr>
          <w:p>
            <w:pPr>
              <w:spacing w:line="36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完成上级下达的目标任务</w:t>
            </w:r>
          </w:p>
        </w:tc>
        <w:tc>
          <w:tcPr>
            <w:tcW w:w="1705" w:type="pct"/>
            <w:gridSpan w:val="2"/>
            <w:noWrap w:val="0"/>
            <w:vAlign w:val="center"/>
          </w:tcPr>
          <w:p>
            <w:pPr>
              <w:spacing w:line="5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1835" w:type="pct"/>
            <w:noWrap w:val="0"/>
            <w:vAlign w:val="center"/>
          </w:tcPr>
          <w:p>
            <w:pPr>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节能减排指标</w:t>
            </w:r>
          </w:p>
        </w:tc>
        <w:tc>
          <w:tcPr>
            <w:tcW w:w="1459" w:type="pct"/>
            <w:noWrap w:val="0"/>
            <w:vAlign w:val="center"/>
          </w:tcPr>
          <w:p>
            <w:pPr>
              <w:spacing w:line="36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w w:val="90"/>
                <w:sz w:val="28"/>
                <w:szCs w:val="28"/>
              </w:rPr>
              <w:t>完成市下达的目标任务</w:t>
            </w:r>
          </w:p>
        </w:tc>
        <w:tc>
          <w:tcPr>
            <w:tcW w:w="1705" w:type="pct"/>
            <w:gridSpan w:val="2"/>
            <w:noWrap w:val="0"/>
            <w:vAlign w:val="center"/>
          </w:tcPr>
          <w:p>
            <w:pPr>
              <w:spacing w:line="5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lang w:val="en-US" w:eastAsia="zh-CN"/>
              </w:rPr>
              <w:t xml:space="preserve">  3.55</w:t>
            </w:r>
          </w:p>
        </w:tc>
      </w:tr>
    </w:tbl>
    <w:p>
      <w:pPr>
        <w:spacing w:line="580" w:lineRule="exact"/>
        <w:jc w:val="left"/>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宋体" w:hAnsi="宋体" w:cs="宋体"/>
          <w:sz w:val="28"/>
          <w:szCs w:val="28"/>
          <w:lang w:eastAsia="zh-CN"/>
        </w:rPr>
        <w:t>附件</w:t>
      </w:r>
      <w:r>
        <w:rPr>
          <w:rFonts w:hint="eastAsia" w:ascii="宋体" w:hAnsi="宋体" w:cs="宋体"/>
          <w:sz w:val="28"/>
          <w:szCs w:val="28"/>
          <w:lang w:val="en-US" w:eastAsia="zh-CN"/>
        </w:rPr>
        <w:t xml:space="preserve">1 </w:t>
      </w:r>
      <w:r>
        <w:rPr>
          <w:rFonts w:hint="eastAsia" w:ascii="宋体" w:hAnsi="宋体" w:cs="宋体"/>
          <w:sz w:val="40"/>
          <w:szCs w:val="40"/>
          <w:lang w:val="en-US" w:eastAsia="zh-CN"/>
        </w:rPr>
        <w:t xml:space="preserve">       </w:t>
      </w:r>
      <w:r>
        <w:rPr>
          <w:rFonts w:hint="eastAsia" w:ascii="宋体" w:hAnsi="宋体" w:cs="宋体"/>
          <w:sz w:val="40"/>
          <w:szCs w:val="40"/>
        </w:rPr>
        <w:t>202</w:t>
      </w:r>
      <w:r>
        <w:rPr>
          <w:rFonts w:hint="eastAsia" w:ascii="宋体" w:hAnsi="宋体" w:cs="宋体"/>
          <w:sz w:val="40"/>
          <w:szCs w:val="40"/>
          <w:lang w:val="en-US" w:eastAsia="zh-CN"/>
        </w:rPr>
        <w:t>1</w:t>
      </w:r>
      <w:r>
        <w:rPr>
          <w:rFonts w:hint="eastAsia" w:ascii="宋体" w:hAnsi="宋体" w:cs="宋体"/>
          <w:sz w:val="40"/>
          <w:szCs w:val="40"/>
        </w:rPr>
        <w:t>年上半年浈江区国民经济和社会发展计划执行情况表</w:t>
      </w: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jc w:val="center"/>
      <w:rPr>
        <w:rStyle w:val="10"/>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w:t>
    </w:r>
    <w:r>
      <w:rPr>
        <w:rFonts w:hint="eastAsia" w:ascii="方正小标宋简体" w:hAnsi="方正小标宋简体" w:eastAsia="方正小标宋简体" w:cs="方正小标宋简体"/>
        <w:sz w:val="28"/>
        <w:szCs w:val="28"/>
      </w:rPr>
      <w:fldChar w:fldCharType="begin"/>
    </w:r>
    <w:r>
      <w:rPr>
        <w:rStyle w:val="10"/>
        <w:rFonts w:hint="eastAsia" w:ascii="方正小标宋简体" w:hAnsi="方正小标宋简体" w:eastAsia="方正小标宋简体" w:cs="方正小标宋简体"/>
        <w:sz w:val="28"/>
        <w:szCs w:val="28"/>
      </w:rPr>
      <w:instrText xml:space="preserve">PAGE  </w:instrText>
    </w:r>
    <w:r>
      <w:rPr>
        <w:rFonts w:hint="eastAsia" w:ascii="方正小标宋简体" w:hAnsi="方正小标宋简体" w:eastAsia="方正小标宋简体" w:cs="方正小标宋简体"/>
        <w:sz w:val="28"/>
        <w:szCs w:val="28"/>
      </w:rPr>
      <w:fldChar w:fldCharType="separate"/>
    </w:r>
    <w:r>
      <w:rPr>
        <w:rStyle w:val="10"/>
        <w:rFonts w:ascii="方正小标宋简体" w:hAnsi="方正小标宋简体" w:eastAsia="方正小标宋简体" w:cs="方正小标宋简体"/>
        <w:sz w:val="28"/>
        <w:szCs w:val="28"/>
      </w:rPr>
      <w:t>12</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bCs/>
      </w:rPr>
    </w:pPr>
    <w:r>
      <w:rPr>
        <w:rFonts w:hint="eastAsia"/>
        <w:bCs/>
      </w:rPr>
      <w:t>附件1：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A580B"/>
    <w:multiLevelType w:val="singleLevel"/>
    <w:tmpl w:val="6CCA58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376B"/>
    <w:rsid w:val="00217312"/>
    <w:rsid w:val="00BF5179"/>
    <w:rsid w:val="00CF7834"/>
    <w:rsid w:val="00F2160D"/>
    <w:rsid w:val="01104F48"/>
    <w:rsid w:val="01426C9F"/>
    <w:rsid w:val="018A021F"/>
    <w:rsid w:val="01B238AB"/>
    <w:rsid w:val="01F047C1"/>
    <w:rsid w:val="023174D8"/>
    <w:rsid w:val="027608CE"/>
    <w:rsid w:val="02865589"/>
    <w:rsid w:val="02FB0A05"/>
    <w:rsid w:val="03241F68"/>
    <w:rsid w:val="03766B5F"/>
    <w:rsid w:val="03EB03B0"/>
    <w:rsid w:val="04397145"/>
    <w:rsid w:val="04885A29"/>
    <w:rsid w:val="04A20357"/>
    <w:rsid w:val="04B678E0"/>
    <w:rsid w:val="04DE7AE3"/>
    <w:rsid w:val="055E06A0"/>
    <w:rsid w:val="058002B1"/>
    <w:rsid w:val="06352A5A"/>
    <w:rsid w:val="064D7990"/>
    <w:rsid w:val="06A42564"/>
    <w:rsid w:val="06AB6966"/>
    <w:rsid w:val="06C25F43"/>
    <w:rsid w:val="06CD15B2"/>
    <w:rsid w:val="07193D43"/>
    <w:rsid w:val="07F65608"/>
    <w:rsid w:val="0845242C"/>
    <w:rsid w:val="085B5CF7"/>
    <w:rsid w:val="087944BB"/>
    <w:rsid w:val="08D9321C"/>
    <w:rsid w:val="098B6DE5"/>
    <w:rsid w:val="09A7523E"/>
    <w:rsid w:val="09E8227A"/>
    <w:rsid w:val="0A9813BA"/>
    <w:rsid w:val="0B000644"/>
    <w:rsid w:val="0B865C48"/>
    <w:rsid w:val="0C40280E"/>
    <w:rsid w:val="0C5D2CF8"/>
    <w:rsid w:val="0C776BCB"/>
    <w:rsid w:val="0C925218"/>
    <w:rsid w:val="0D201327"/>
    <w:rsid w:val="0D726B55"/>
    <w:rsid w:val="0D964E30"/>
    <w:rsid w:val="0FCE7986"/>
    <w:rsid w:val="104B6692"/>
    <w:rsid w:val="10720841"/>
    <w:rsid w:val="11007865"/>
    <w:rsid w:val="114C25EC"/>
    <w:rsid w:val="11706FBC"/>
    <w:rsid w:val="11C13734"/>
    <w:rsid w:val="11F20C25"/>
    <w:rsid w:val="12243FE4"/>
    <w:rsid w:val="12B755FC"/>
    <w:rsid w:val="13021A1B"/>
    <w:rsid w:val="1398785D"/>
    <w:rsid w:val="139F0B9C"/>
    <w:rsid w:val="14284768"/>
    <w:rsid w:val="1450117E"/>
    <w:rsid w:val="14966BCF"/>
    <w:rsid w:val="14994345"/>
    <w:rsid w:val="14D6111C"/>
    <w:rsid w:val="156F46E7"/>
    <w:rsid w:val="15BD3659"/>
    <w:rsid w:val="15D169CD"/>
    <w:rsid w:val="15F128FF"/>
    <w:rsid w:val="163A2985"/>
    <w:rsid w:val="166F6F52"/>
    <w:rsid w:val="16780EC6"/>
    <w:rsid w:val="16B361C4"/>
    <w:rsid w:val="16F6779E"/>
    <w:rsid w:val="171E7F88"/>
    <w:rsid w:val="173C3A1B"/>
    <w:rsid w:val="17470648"/>
    <w:rsid w:val="1767310B"/>
    <w:rsid w:val="17B2408E"/>
    <w:rsid w:val="186A30E2"/>
    <w:rsid w:val="18A11F20"/>
    <w:rsid w:val="18B5312C"/>
    <w:rsid w:val="18CE5CCC"/>
    <w:rsid w:val="190C5766"/>
    <w:rsid w:val="19116FC4"/>
    <w:rsid w:val="198B218D"/>
    <w:rsid w:val="1A266324"/>
    <w:rsid w:val="1B672F16"/>
    <w:rsid w:val="1B8F28D2"/>
    <w:rsid w:val="1BA84439"/>
    <w:rsid w:val="1BAC1D03"/>
    <w:rsid w:val="1BB97B9B"/>
    <w:rsid w:val="1BBF1FF3"/>
    <w:rsid w:val="1C007725"/>
    <w:rsid w:val="1C084B92"/>
    <w:rsid w:val="1CD51A52"/>
    <w:rsid w:val="1D561EC8"/>
    <w:rsid w:val="1DB44D19"/>
    <w:rsid w:val="1DBE6749"/>
    <w:rsid w:val="1DC176C1"/>
    <w:rsid w:val="1DD24CB0"/>
    <w:rsid w:val="1E241B91"/>
    <w:rsid w:val="1E8E6EF6"/>
    <w:rsid w:val="1EF32027"/>
    <w:rsid w:val="1F3831DB"/>
    <w:rsid w:val="1F5F72AD"/>
    <w:rsid w:val="1F8669A5"/>
    <w:rsid w:val="1FD45398"/>
    <w:rsid w:val="1FE95DD5"/>
    <w:rsid w:val="200B65BE"/>
    <w:rsid w:val="20455A31"/>
    <w:rsid w:val="20A81856"/>
    <w:rsid w:val="20BB524A"/>
    <w:rsid w:val="21283473"/>
    <w:rsid w:val="21EA760F"/>
    <w:rsid w:val="21F54EF8"/>
    <w:rsid w:val="2218103A"/>
    <w:rsid w:val="22251706"/>
    <w:rsid w:val="225C1F5C"/>
    <w:rsid w:val="228F631A"/>
    <w:rsid w:val="234F1BF3"/>
    <w:rsid w:val="23644394"/>
    <w:rsid w:val="23B03E92"/>
    <w:rsid w:val="23B83980"/>
    <w:rsid w:val="23C54FFB"/>
    <w:rsid w:val="24E17B5D"/>
    <w:rsid w:val="25802A56"/>
    <w:rsid w:val="25E33EBE"/>
    <w:rsid w:val="25F92D62"/>
    <w:rsid w:val="26AA5A13"/>
    <w:rsid w:val="27347C6B"/>
    <w:rsid w:val="274D0070"/>
    <w:rsid w:val="27816DA6"/>
    <w:rsid w:val="28005C91"/>
    <w:rsid w:val="289A21C8"/>
    <w:rsid w:val="28C61C5F"/>
    <w:rsid w:val="294C47F7"/>
    <w:rsid w:val="29815A11"/>
    <w:rsid w:val="29835DC2"/>
    <w:rsid w:val="2A3E792F"/>
    <w:rsid w:val="2A41295D"/>
    <w:rsid w:val="2AFF32CC"/>
    <w:rsid w:val="2B60287B"/>
    <w:rsid w:val="2B812E63"/>
    <w:rsid w:val="2B9102AC"/>
    <w:rsid w:val="2CBC18F9"/>
    <w:rsid w:val="2CF56B5A"/>
    <w:rsid w:val="2CF61082"/>
    <w:rsid w:val="2D0A3FBB"/>
    <w:rsid w:val="2DCA24D4"/>
    <w:rsid w:val="2DD73848"/>
    <w:rsid w:val="2E836CA8"/>
    <w:rsid w:val="2EAF46B9"/>
    <w:rsid w:val="2EC269EC"/>
    <w:rsid w:val="2EC834BC"/>
    <w:rsid w:val="2EE313C3"/>
    <w:rsid w:val="2F6F3F57"/>
    <w:rsid w:val="309849F3"/>
    <w:rsid w:val="3114761F"/>
    <w:rsid w:val="312501FE"/>
    <w:rsid w:val="314F0879"/>
    <w:rsid w:val="315D2017"/>
    <w:rsid w:val="319054FC"/>
    <w:rsid w:val="33504F50"/>
    <w:rsid w:val="338108B3"/>
    <w:rsid w:val="342747B4"/>
    <w:rsid w:val="34D5774E"/>
    <w:rsid w:val="34F97C44"/>
    <w:rsid w:val="35272540"/>
    <w:rsid w:val="35715F83"/>
    <w:rsid w:val="35966F71"/>
    <w:rsid w:val="35DB1AFC"/>
    <w:rsid w:val="35EF0D05"/>
    <w:rsid w:val="35FC1009"/>
    <w:rsid w:val="36112FCB"/>
    <w:rsid w:val="36346537"/>
    <w:rsid w:val="37393165"/>
    <w:rsid w:val="37B00622"/>
    <w:rsid w:val="37F81027"/>
    <w:rsid w:val="381540A9"/>
    <w:rsid w:val="38171B49"/>
    <w:rsid w:val="38517AEE"/>
    <w:rsid w:val="38782890"/>
    <w:rsid w:val="38947B05"/>
    <w:rsid w:val="394F1ED6"/>
    <w:rsid w:val="39626661"/>
    <w:rsid w:val="39647C84"/>
    <w:rsid w:val="39F3143C"/>
    <w:rsid w:val="3A06572D"/>
    <w:rsid w:val="3A821A75"/>
    <w:rsid w:val="3A8B2ABC"/>
    <w:rsid w:val="3A960606"/>
    <w:rsid w:val="3A9D50F4"/>
    <w:rsid w:val="3CCE0FC4"/>
    <w:rsid w:val="3D8C0461"/>
    <w:rsid w:val="3EAC58F9"/>
    <w:rsid w:val="3F3F7074"/>
    <w:rsid w:val="40756D86"/>
    <w:rsid w:val="409C57DF"/>
    <w:rsid w:val="4184302F"/>
    <w:rsid w:val="42BA52D3"/>
    <w:rsid w:val="42FC78D9"/>
    <w:rsid w:val="43177D4F"/>
    <w:rsid w:val="43BE23F7"/>
    <w:rsid w:val="43F331F7"/>
    <w:rsid w:val="44054EC8"/>
    <w:rsid w:val="44350AFA"/>
    <w:rsid w:val="44D06831"/>
    <w:rsid w:val="45F27880"/>
    <w:rsid w:val="46741431"/>
    <w:rsid w:val="46AD7313"/>
    <w:rsid w:val="46AF683C"/>
    <w:rsid w:val="46DD1081"/>
    <w:rsid w:val="47074D74"/>
    <w:rsid w:val="4721799B"/>
    <w:rsid w:val="473579C7"/>
    <w:rsid w:val="47464E83"/>
    <w:rsid w:val="47D2565C"/>
    <w:rsid w:val="48243D87"/>
    <w:rsid w:val="48411BDF"/>
    <w:rsid w:val="49B654EB"/>
    <w:rsid w:val="49B95BB8"/>
    <w:rsid w:val="4A6B200A"/>
    <w:rsid w:val="4A8A2869"/>
    <w:rsid w:val="4AB52C07"/>
    <w:rsid w:val="4B227CB8"/>
    <w:rsid w:val="4BAA744B"/>
    <w:rsid w:val="4BEC328D"/>
    <w:rsid w:val="4BFC7D6D"/>
    <w:rsid w:val="4C25193C"/>
    <w:rsid w:val="4C3169ED"/>
    <w:rsid w:val="4C691AE2"/>
    <w:rsid w:val="4CAA79E3"/>
    <w:rsid w:val="4CDC5562"/>
    <w:rsid w:val="4CE33624"/>
    <w:rsid w:val="4CEF66AE"/>
    <w:rsid w:val="4D771FFD"/>
    <w:rsid w:val="4DFD3634"/>
    <w:rsid w:val="4E8A4553"/>
    <w:rsid w:val="4E9374DB"/>
    <w:rsid w:val="4ED4331B"/>
    <w:rsid w:val="4F107289"/>
    <w:rsid w:val="4F4F2DB6"/>
    <w:rsid w:val="4FAE17C0"/>
    <w:rsid w:val="4FED642B"/>
    <w:rsid w:val="50143054"/>
    <w:rsid w:val="507B618D"/>
    <w:rsid w:val="50CD6C10"/>
    <w:rsid w:val="519319D9"/>
    <w:rsid w:val="52024B05"/>
    <w:rsid w:val="52046C79"/>
    <w:rsid w:val="52597964"/>
    <w:rsid w:val="525F1C01"/>
    <w:rsid w:val="526E2BB1"/>
    <w:rsid w:val="527B6791"/>
    <w:rsid w:val="52AF7366"/>
    <w:rsid w:val="52BC05C8"/>
    <w:rsid w:val="52BC602C"/>
    <w:rsid w:val="52E64358"/>
    <w:rsid w:val="53090607"/>
    <w:rsid w:val="53567EF5"/>
    <w:rsid w:val="541E1143"/>
    <w:rsid w:val="54702F46"/>
    <w:rsid w:val="55A94FD2"/>
    <w:rsid w:val="55B6003C"/>
    <w:rsid w:val="55DB7FC6"/>
    <w:rsid w:val="56154432"/>
    <w:rsid w:val="565D4B93"/>
    <w:rsid w:val="576362B3"/>
    <w:rsid w:val="577C3DF1"/>
    <w:rsid w:val="57952F2A"/>
    <w:rsid w:val="58920DBF"/>
    <w:rsid w:val="58D51F0A"/>
    <w:rsid w:val="594C5A2B"/>
    <w:rsid w:val="5961792B"/>
    <w:rsid w:val="59D4107E"/>
    <w:rsid w:val="5A645B6E"/>
    <w:rsid w:val="5A99169C"/>
    <w:rsid w:val="5AB17FD1"/>
    <w:rsid w:val="5AE56C01"/>
    <w:rsid w:val="5B6E661E"/>
    <w:rsid w:val="5BA63D67"/>
    <w:rsid w:val="5BA84289"/>
    <w:rsid w:val="5C262679"/>
    <w:rsid w:val="5C9B60FE"/>
    <w:rsid w:val="5D092729"/>
    <w:rsid w:val="5D5D740D"/>
    <w:rsid w:val="5D91147C"/>
    <w:rsid w:val="5DE27E7B"/>
    <w:rsid w:val="5E7B603D"/>
    <w:rsid w:val="5EB46C68"/>
    <w:rsid w:val="5EEF6C8E"/>
    <w:rsid w:val="5F146813"/>
    <w:rsid w:val="5FD21BD6"/>
    <w:rsid w:val="5FDD7EA3"/>
    <w:rsid w:val="5FEA0B33"/>
    <w:rsid w:val="6003528D"/>
    <w:rsid w:val="60231905"/>
    <w:rsid w:val="60B16C00"/>
    <w:rsid w:val="60C05064"/>
    <w:rsid w:val="60F65EB6"/>
    <w:rsid w:val="6151555C"/>
    <w:rsid w:val="617B1F1B"/>
    <w:rsid w:val="61BF53A9"/>
    <w:rsid w:val="61C62C9B"/>
    <w:rsid w:val="62373F19"/>
    <w:rsid w:val="63145854"/>
    <w:rsid w:val="632C5B88"/>
    <w:rsid w:val="63905E14"/>
    <w:rsid w:val="63F77460"/>
    <w:rsid w:val="64061C2D"/>
    <w:rsid w:val="646678FA"/>
    <w:rsid w:val="653B1150"/>
    <w:rsid w:val="65657BF5"/>
    <w:rsid w:val="659A5184"/>
    <w:rsid w:val="65D4615C"/>
    <w:rsid w:val="66045804"/>
    <w:rsid w:val="66065EA3"/>
    <w:rsid w:val="660B3C89"/>
    <w:rsid w:val="660F129C"/>
    <w:rsid w:val="66275AAA"/>
    <w:rsid w:val="665448DD"/>
    <w:rsid w:val="671D2B5C"/>
    <w:rsid w:val="673D798A"/>
    <w:rsid w:val="68703243"/>
    <w:rsid w:val="68C54EB4"/>
    <w:rsid w:val="694D698C"/>
    <w:rsid w:val="69550E77"/>
    <w:rsid w:val="696E065F"/>
    <w:rsid w:val="69836D50"/>
    <w:rsid w:val="69C52C32"/>
    <w:rsid w:val="69C7250C"/>
    <w:rsid w:val="69DD6EC3"/>
    <w:rsid w:val="6A9E0147"/>
    <w:rsid w:val="6B102055"/>
    <w:rsid w:val="6B593277"/>
    <w:rsid w:val="6B5E60F1"/>
    <w:rsid w:val="6B985BAF"/>
    <w:rsid w:val="6BBF2C86"/>
    <w:rsid w:val="6BC23628"/>
    <w:rsid w:val="6C335739"/>
    <w:rsid w:val="6CB4127E"/>
    <w:rsid w:val="6D3A3D0D"/>
    <w:rsid w:val="6D4B116A"/>
    <w:rsid w:val="6D686F65"/>
    <w:rsid w:val="6ECE5F4F"/>
    <w:rsid w:val="6EEB6D73"/>
    <w:rsid w:val="6FFB4EF5"/>
    <w:rsid w:val="708D3436"/>
    <w:rsid w:val="709A65B6"/>
    <w:rsid w:val="70B7154E"/>
    <w:rsid w:val="710E0F37"/>
    <w:rsid w:val="72661864"/>
    <w:rsid w:val="72B431CC"/>
    <w:rsid w:val="73A66545"/>
    <w:rsid w:val="73BF3D06"/>
    <w:rsid w:val="742C54A6"/>
    <w:rsid w:val="75306748"/>
    <w:rsid w:val="759203D0"/>
    <w:rsid w:val="75A67364"/>
    <w:rsid w:val="75AC4D8F"/>
    <w:rsid w:val="75E557D3"/>
    <w:rsid w:val="772701FF"/>
    <w:rsid w:val="77291FA1"/>
    <w:rsid w:val="77B104AC"/>
    <w:rsid w:val="77B458C4"/>
    <w:rsid w:val="782E3E91"/>
    <w:rsid w:val="787B1E81"/>
    <w:rsid w:val="78AD6EF9"/>
    <w:rsid w:val="78BA3396"/>
    <w:rsid w:val="78F14BB8"/>
    <w:rsid w:val="79544ECE"/>
    <w:rsid w:val="7A207C00"/>
    <w:rsid w:val="7AA80A3E"/>
    <w:rsid w:val="7AC27F79"/>
    <w:rsid w:val="7AF55147"/>
    <w:rsid w:val="7AFB7D20"/>
    <w:rsid w:val="7BD71AA2"/>
    <w:rsid w:val="7C3A721B"/>
    <w:rsid w:val="7C484E0C"/>
    <w:rsid w:val="7CDF6B34"/>
    <w:rsid w:val="7DB2415B"/>
    <w:rsid w:val="7DC333D7"/>
    <w:rsid w:val="7E323926"/>
    <w:rsid w:val="7E364B87"/>
    <w:rsid w:val="7E840B45"/>
    <w:rsid w:val="7E866F4E"/>
    <w:rsid w:val="7EA24FE3"/>
    <w:rsid w:val="7F120649"/>
    <w:rsid w:val="7F423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_99ab5e1f-fa7d-4907-a8f1-2bfcb26a9b93"/>
    <w:basedOn w:val="1"/>
    <w:qFormat/>
    <w:uiPriority w:val="0"/>
    <w:pPr>
      <w:ind w:firstLine="420" w:firstLineChars="200"/>
    </w:pPr>
    <w:rPr>
      <w:rFonts w:ascii="宋体" w:hAnsi="宋体"/>
    </w:rPr>
  </w:style>
  <w:style w:type="paragraph" w:styleId="3">
    <w:name w:val="annotation text"/>
    <w:basedOn w:val="1"/>
    <w:qFormat/>
    <w:uiPriority w:val="0"/>
    <w:pPr>
      <w:jc w:val="left"/>
    </w:pPr>
  </w:style>
  <w:style w:type="paragraph" w:styleId="4">
    <w:name w:val="Body Text"/>
    <w:basedOn w:val="1"/>
    <w:qFormat/>
    <w:uiPriority w:val="0"/>
    <w:rPr>
      <w:rFonts w:ascii="仿宋_GB2312" w:hAnsi="仿宋_GB2312" w:eastAsia="仿宋_GB2312" w:cs="仿宋_GB2312"/>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xdcl\2021&#24180;&#19978;&#21322;&#24180;&#22269;&#27665;&#32463;&#27982;&#21644;&#35745;&#21010;\2021&#19978;&#21322;&#24180;&#22270;&#34920;&#2252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[2021上半年图表基表.xlsx]Sheet1!$A$2</c:f>
              <c:strCache>
                <c:ptCount val="1"/>
                <c:pt idx="0">
                  <c:v>上半年完成经济指标（亿元）</c:v>
                </c:pt>
              </c:strCache>
            </c:strRef>
          </c:tx>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r>
                      <a:t>100.2（</a:t>
                    </a:r>
                    <a:r>
                      <a:rPr lang="en-US" altLang="zh-CN"/>
                      <a:t>48.64%</a:t>
                    </a:r>
                    <a:r>
                      <a:rPr altLang="en-US"/>
                      <a:t>）</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r>
                      <a:t>3.3（</a:t>
                    </a:r>
                    <a:r>
                      <a:rPr lang="en-US" altLang="zh-CN"/>
                      <a:t>38.84%</a:t>
                    </a:r>
                    <a:r>
                      <a:rPr altLang="en-US"/>
                      <a:t>）</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r>
                      <a:t>28.72（</a:t>
                    </a:r>
                    <a:r>
                      <a:rPr lang="en-US" altLang="zh-CN"/>
                      <a:t>51.73%</a:t>
                    </a:r>
                    <a:r>
                      <a:rPr altLang="en-US"/>
                      <a:t>）</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00398936170212766"/>
                  <c:y val="0.00658906215681968"/>
                </c:manualLayout>
              </c:layout>
              <c:tx>
                <c:rich>
                  <a:bodyPr rot="0" spcFirstLastPara="1"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r>
                      <a:t>68.17（</a:t>
                    </a:r>
                    <a:r>
                      <a:rPr lang="en-US" altLang="zh-CN"/>
                      <a:t>48.01%</a:t>
                    </a:r>
                    <a:r>
                      <a:rPr altLang="en-US"/>
                      <a:t>）</a:t>
                    </a:r>
                    <a:endParaRPr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rot="0" spcFirstLastPara="1"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r>
                      <a:t>18.32（</a:t>
                    </a:r>
                    <a:r>
                      <a:rPr lang="en-US" altLang="zh-CN"/>
                      <a:t>52.49%</a:t>
                    </a:r>
                    <a:r>
                      <a:rPr altLang="en-US"/>
                      <a:t>）</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1"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r>
                      <a:t>19.63（</a:t>
                    </a:r>
                    <a:r>
                      <a:rPr lang="en-US" altLang="zh-CN"/>
                      <a:t>31.01%</a:t>
                    </a:r>
                    <a:r>
                      <a:rPr altLang="en-US"/>
                      <a:t>）</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1"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r>
                      <a:t>59.15（</a:t>
                    </a:r>
                    <a:r>
                      <a:rPr lang="en-US" altLang="zh-CN"/>
                      <a:t>47.86%</a:t>
                    </a:r>
                    <a:r>
                      <a:rPr altLang="en-US"/>
                      <a:t>）</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1"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r>
                      <a:t>2.66（</a:t>
                    </a:r>
                    <a:r>
                      <a:rPr lang="en-US" altLang="zh-CN"/>
                      <a:t>56.46%</a:t>
                    </a:r>
                    <a:r>
                      <a:rPr altLang="en-US"/>
                      <a:t>）</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1"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r>
                      <a:t>2.14（</a:t>
                    </a:r>
                    <a:r>
                      <a:rPr lang="en-US" altLang="zh-CN"/>
                      <a:t>56.65%</a:t>
                    </a:r>
                    <a:r>
                      <a:rPr altLang="en-US"/>
                      <a:t>）</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tx1">
                        <a:lumMod val="75000"/>
                        <a:lumOff val="25000"/>
                      </a:schemeClr>
                    </a:solidFill>
                    <a:latin typeface="仿宋" panose="02010609060101010101" charset="-122"/>
                    <a:ea typeface="仿宋" panose="0201060906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[2021上半年图表基表.xlsx]Sheet1!$B$1:$K$1</c:f>
              <c:strCache>
                <c:ptCount val="10"/>
                <c:pt idx="0">
                  <c:v>地区生产总值</c:v>
                </c:pt>
                <c:pt idx="1">
                  <c:v>第一产业增加值</c:v>
                </c:pt>
                <c:pt idx="2">
                  <c:v>第二产业增加值</c:v>
                </c:pt>
                <c:pt idx="3">
                  <c:v>第三产业增加值</c:v>
                </c:pt>
                <c:pt idx="4">
                  <c:v>工业增加值</c:v>
                </c:pt>
                <c:pt idx="5">
                  <c:v>规上工业增加值</c:v>
                </c:pt>
                <c:pt idx="6">
                  <c:v>固定资产投资</c:v>
                </c:pt>
                <c:pt idx="7">
                  <c:v>社会消费品零售总额</c:v>
                </c:pt>
                <c:pt idx="8">
                  <c:v>区本级一般公共预算收入</c:v>
                </c:pt>
                <c:pt idx="9">
                  <c:v>税收收入</c:v>
                </c:pt>
              </c:strCache>
            </c:strRef>
          </c:cat>
          <c:val>
            <c:numRef>
              <c:f>[2021上半年图表基表.xlsx]Sheet1!$B$2:$K$2</c:f>
              <c:numCache>
                <c:formatCode>General</c:formatCode>
                <c:ptCount val="10"/>
                <c:pt idx="0">
                  <c:v>100.2</c:v>
                </c:pt>
                <c:pt idx="1">
                  <c:v>3.3</c:v>
                </c:pt>
                <c:pt idx="2">
                  <c:v>28.72</c:v>
                </c:pt>
                <c:pt idx="3">
                  <c:v>68.17</c:v>
                </c:pt>
                <c:pt idx="4">
                  <c:v>18.32</c:v>
                </c:pt>
                <c:pt idx="5">
                  <c:v>15.95</c:v>
                </c:pt>
                <c:pt idx="6">
                  <c:v>19.63</c:v>
                </c:pt>
                <c:pt idx="7">
                  <c:v>59.15</c:v>
                </c:pt>
                <c:pt idx="8">
                  <c:v>2.66</c:v>
                </c:pt>
                <c:pt idx="9">
                  <c:v>2.14</c:v>
                </c:pt>
              </c:numCache>
            </c:numRef>
          </c:val>
        </c:ser>
        <c:dLbls>
          <c:showLegendKey val="0"/>
          <c:showVal val="1"/>
          <c:showCatName val="0"/>
          <c:showSerName val="0"/>
          <c:showPercent val="0"/>
          <c:showBubbleSize val="0"/>
        </c:dLbls>
        <c:gapWidth val="75"/>
        <c:axId val="505959320"/>
        <c:axId val="505959976"/>
      </c:barChart>
      <c:catAx>
        <c:axId val="5059593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100" b="1" i="0" u="none" strike="noStrike" kern="1200" baseline="0">
                <a:solidFill>
                  <a:schemeClr val="tx1">
                    <a:lumMod val="65000"/>
                    <a:lumOff val="35000"/>
                  </a:schemeClr>
                </a:solidFill>
                <a:latin typeface="仿宋" panose="02010609060101010101" charset="-122"/>
                <a:ea typeface="仿宋" panose="02010609060101010101" charset="-122"/>
                <a:cs typeface="+mn-cs"/>
              </a:defRPr>
            </a:pPr>
          </a:p>
        </c:txPr>
        <c:crossAx val="505959976"/>
        <c:crosses val="autoZero"/>
        <c:auto val="1"/>
        <c:lblAlgn val="ctr"/>
        <c:lblOffset val="100"/>
        <c:noMultiLvlLbl val="0"/>
      </c:catAx>
      <c:valAx>
        <c:axId val="505959976"/>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959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2021-07-25T01:46:00Z</dcterms:created>
  <dc:creator>sjyl6</dc:creator>
  <cp:lastModifiedBy>gxlabcdefg</cp:lastModifiedBy>
  <cp:lastPrinted>2021-08-24T07:08:00Z</cp:lastPrinted>
  <dcterms:modified xsi:type="dcterms:W3CDTF">2021-08-30T09:43:20Z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CA57F55CD8044BF3BA925CCEFD252747</vt:lpwstr>
  </property>
  <property fmtid="{D5CDD505-2E9C-101B-9397-08002B2CF9AE}" pid="4" name="KSOSaveFontToCloudKey">
    <vt:lpwstr>314682025_btnclosed</vt:lpwstr>
  </property>
</Properties>
</file>